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74E57" w14:textId="77777777" w:rsidR="00A50906" w:rsidRPr="00D11A5A" w:rsidRDefault="00A50906" w:rsidP="008A1C91">
      <w:pPr>
        <w:pStyle w:val="References"/>
        <w:rPr>
          <w:lang w:val="en-AU"/>
        </w:rPr>
      </w:pPr>
    </w:p>
    <w:p w14:paraId="02454344" w14:textId="77777777" w:rsidR="00A50906" w:rsidRPr="00D11A5A" w:rsidRDefault="00A50906" w:rsidP="008A1C91">
      <w:pPr>
        <w:pStyle w:val="References"/>
        <w:rPr>
          <w:lang w:val="en-AU"/>
        </w:rPr>
      </w:pPr>
    </w:p>
    <w:p w14:paraId="36322B25" w14:textId="77777777" w:rsidR="00A50906" w:rsidRPr="00D11A5A" w:rsidRDefault="00A50906" w:rsidP="008A1C91">
      <w:pPr>
        <w:pStyle w:val="References"/>
        <w:rPr>
          <w:lang w:val="en-AU"/>
        </w:rPr>
      </w:pPr>
    </w:p>
    <w:p w14:paraId="3DAE0110" w14:textId="77777777" w:rsidR="00796887" w:rsidRPr="00D11A5A" w:rsidRDefault="00796887" w:rsidP="008A1C91">
      <w:pPr>
        <w:pStyle w:val="References"/>
        <w:rPr>
          <w:lang w:val="en-AU"/>
        </w:rPr>
      </w:pPr>
    </w:p>
    <w:p w14:paraId="576B8C64" w14:textId="46D3FE49" w:rsidR="00796887" w:rsidRPr="00D11A5A" w:rsidRDefault="006B0CE1" w:rsidP="008A1C91">
      <w:pPr>
        <w:pStyle w:val="References"/>
        <w:rPr>
          <w:lang w:val="en-AU"/>
        </w:rPr>
      </w:pPr>
      <w:r>
        <w:rPr>
          <w:noProof/>
          <w:lang w:val="en-AU" w:eastAsia="en-AU"/>
        </w:rPr>
        <mc:AlternateContent>
          <mc:Choice Requires="wps">
            <w:drawing>
              <wp:anchor distT="0" distB="0" distL="114300" distR="114300" simplePos="0" relativeHeight="251657728" behindDoc="0" locked="0" layoutInCell="1" allowOverlap="1" wp14:anchorId="4AB74D9E" wp14:editId="08FF57B2">
                <wp:simplePos x="0" y="0"/>
                <wp:positionH relativeFrom="page">
                  <wp:posOffset>2799080</wp:posOffset>
                </wp:positionH>
                <wp:positionV relativeFrom="paragraph">
                  <wp:posOffset>4902200</wp:posOffset>
                </wp:positionV>
                <wp:extent cx="4095115" cy="1447165"/>
                <wp:effectExtent l="0" t="0" r="635" b="63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447165"/>
                        </a:xfrm>
                        <a:prstGeom prst="rect">
                          <a:avLst/>
                        </a:prstGeom>
                        <a:solidFill>
                          <a:srgbClr val="FFFFFF"/>
                        </a:solidFill>
                        <a:ln>
                          <a:noFill/>
                        </a:ln>
                        <a:extLst/>
                      </wps:spPr>
                      <wps:txbx>
                        <w:txbxContent>
                          <w:p w14:paraId="5E471D1A" w14:textId="77777777" w:rsidR="00E41BC3" w:rsidRPr="00DB0AD7" w:rsidRDefault="00E41BC3" w:rsidP="00EF19E9">
                            <w:pPr>
                              <w:pStyle w:val="CoverReport"/>
                              <w:rPr>
                                <w:sz w:val="48"/>
                                <w:szCs w:val="48"/>
                              </w:rPr>
                            </w:pPr>
                            <w:r>
                              <w:rPr>
                                <w:sz w:val="48"/>
                                <w:szCs w:val="48"/>
                              </w:rPr>
                              <w:t>Final report</w:t>
                            </w:r>
                            <w:r w:rsidRPr="00DB0AD7">
                              <w:rPr>
                                <w:sz w:val="48"/>
                                <w:szCs w:val="48"/>
                              </w:rPr>
                              <w:t xml:space="preserve"> </w:t>
                            </w:r>
                          </w:p>
                          <w:p w14:paraId="6934637B" w14:textId="77777777" w:rsidR="00E41BC3" w:rsidRDefault="00E41BC3" w:rsidP="00EF19E9">
                            <w:pPr>
                              <w:pStyle w:val="CoverReport"/>
                            </w:pPr>
                            <w:r>
                              <w:t xml:space="preserve">Tariff Structure Review 2016–17 </w:t>
                            </w:r>
                          </w:p>
                          <w:p w14:paraId="19D95B40" w14:textId="77777777" w:rsidR="00E41BC3" w:rsidRDefault="00E41BC3" w:rsidP="00EF19E9">
                            <w:pPr>
                              <w:pStyle w:val="CoverReportNumMonth"/>
                            </w:pPr>
                            <w:r>
                              <w:t>Regulated water and sewerage services</w:t>
                            </w:r>
                            <w:bookmarkStart w:id="0" w:name="_Toc265597563"/>
                            <w:r w:rsidRPr="00166C87">
                              <w:t xml:space="preserve"> </w:t>
                            </w:r>
                          </w:p>
                          <w:p w14:paraId="428E5980" w14:textId="1CAC7820" w:rsidR="00E41BC3" w:rsidRPr="00E729F4" w:rsidRDefault="00E41BC3" w:rsidP="00EF19E9">
                            <w:pPr>
                              <w:pStyle w:val="CoverReportNumMonth"/>
                              <w:rPr>
                                <w:rStyle w:val="Bold"/>
                              </w:rPr>
                            </w:pPr>
                            <w:r w:rsidRPr="00E729F4">
                              <w:rPr>
                                <w:rStyle w:val="Bold"/>
                              </w:rPr>
                              <w:t xml:space="preserve">Report </w:t>
                            </w:r>
                            <w:r>
                              <w:rPr>
                                <w:rStyle w:val="Bold"/>
                              </w:rPr>
                              <w:t>3</w:t>
                            </w:r>
                            <w:r w:rsidRPr="00E729F4">
                              <w:rPr>
                                <w:rStyle w:val="Bold"/>
                              </w:rPr>
                              <w:t xml:space="preserve"> of 201</w:t>
                            </w:r>
                            <w:r>
                              <w:rPr>
                                <w:rStyle w:val="Bold"/>
                              </w:rPr>
                              <w:t>7</w:t>
                            </w:r>
                            <w:r w:rsidRPr="00E729F4">
                              <w:rPr>
                                <w:rStyle w:val="Bold"/>
                              </w:rPr>
                              <w:t xml:space="preserve">, </w:t>
                            </w:r>
                            <w:r>
                              <w:rPr>
                                <w:rStyle w:val="Bold"/>
                              </w:rPr>
                              <w:t xml:space="preserve">March </w:t>
                            </w:r>
                            <w:r w:rsidRPr="00E729F4">
                              <w:rPr>
                                <w:rStyle w:val="Bold"/>
                              </w:rPr>
                              <w:t>201</w:t>
                            </w:r>
                            <w:bookmarkEnd w:id="0"/>
                            <w:r>
                              <w:rPr>
                                <w:rStyle w:val="Bold"/>
                              </w:rPr>
                              <w:t>7</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B74D9E" id="_x0000_t202" coordsize="21600,21600" o:spt="202" path="m,l,21600r21600,l21600,xe">
                <v:stroke joinstyle="miter"/>
                <v:path gradientshapeok="t" o:connecttype="rect"/>
              </v:shapetype>
              <v:shape id="Text Box 2" o:spid="_x0000_s1026" type="#_x0000_t202" style="position:absolute;left:0;text-align:left;margin-left:220.4pt;margin-top:386pt;width:322.45pt;height:113.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" stroked="f">
                <v:textbox>
                  <w:txbxContent>
                    <w:p w14:paraId="5E471D1A" w14:textId="77777777" w:rsidR="00E41BC3" w:rsidRPr="00DB0AD7" w:rsidRDefault="00E41BC3" w:rsidP="00EF19E9">
                      <w:pPr>
                        <w:pStyle w:val="CoverReport"/>
                        <w:rPr>
                          <w:sz w:val="48"/>
                          <w:szCs w:val="48"/>
                        </w:rPr>
                      </w:pPr>
                      <w:r>
                        <w:rPr>
                          <w:sz w:val="48"/>
                          <w:szCs w:val="48"/>
                        </w:rPr>
                        <w:t>Final report</w:t>
                      </w:r>
                      <w:r w:rsidRPr="00DB0AD7">
                        <w:rPr>
                          <w:sz w:val="48"/>
                          <w:szCs w:val="48"/>
                        </w:rPr>
                        <w:t xml:space="preserve"> </w:t>
                      </w:r>
                    </w:p>
                    <w:p w14:paraId="6934637B" w14:textId="77777777" w:rsidR="00E41BC3" w:rsidRDefault="00E41BC3" w:rsidP="00EF19E9">
                      <w:pPr>
                        <w:pStyle w:val="CoverReport"/>
                      </w:pPr>
                      <w:r>
                        <w:t xml:space="preserve">Tariff Structure Review 2016–17 </w:t>
                      </w:r>
                    </w:p>
                    <w:p w14:paraId="19D95B40" w14:textId="77777777" w:rsidR="00E41BC3" w:rsidRDefault="00E41BC3" w:rsidP="00EF19E9">
                      <w:pPr>
                        <w:pStyle w:val="CoverReportNumMonth"/>
                      </w:pPr>
                      <w:r>
                        <w:t>Regulated water and sewerage services</w:t>
                      </w:r>
                      <w:bookmarkStart w:id="1" w:name="_Toc265597563"/>
                      <w:r w:rsidRPr="00166C87">
                        <w:t xml:space="preserve"> </w:t>
                      </w:r>
                    </w:p>
                    <w:p w14:paraId="428E5980" w14:textId="1CAC7820" w:rsidR="00E41BC3" w:rsidRPr="00E729F4" w:rsidRDefault="00E41BC3" w:rsidP="00EF19E9">
                      <w:pPr>
                        <w:pStyle w:val="CoverReportNumMonth"/>
                        <w:rPr>
                          <w:rStyle w:val="Bold"/>
                        </w:rPr>
                      </w:pPr>
                      <w:r w:rsidRPr="00E729F4">
                        <w:rPr>
                          <w:rStyle w:val="Bold"/>
                        </w:rPr>
                        <w:t xml:space="preserve">Report </w:t>
                      </w:r>
                      <w:r>
                        <w:rPr>
                          <w:rStyle w:val="Bold"/>
                        </w:rPr>
                        <w:t>3</w:t>
                      </w:r>
                      <w:r w:rsidRPr="00E729F4">
                        <w:rPr>
                          <w:rStyle w:val="Bold"/>
                        </w:rPr>
                        <w:t xml:space="preserve"> of 201</w:t>
                      </w:r>
                      <w:r>
                        <w:rPr>
                          <w:rStyle w:val="Bold"/>
                        </w:rPr>
                        <w:t>7</w:t>
                      </w:r>
                      <w:r w:rsidRPr="00E729F4">
                        <w:rPr>
                          <w:rStyle w:val="Bold"/>
                        </w:rPr>
                        <w:t xml:space="preserve">, </w:t>
                      </w:r>
                      <w:r>
                        <w:rPr>
                          <w:rStyle w:val="Bold"/>
                        </w:rPr>
                        <w:t xml:space="preserve">March </w:t>
                      </w:r>
                      <w:r w:rsidRPr="00E729F4">
                        <w:rPr>
                          <w:rStyle w:val="Bold"/>
                        </w:rPr>
                        <w:t>201</w:t>
                      </w:r>
                      <w:bookmarkEnd w:id="1"/>
                      <w:r>
                        <w:rPr>
                          <w:rStyle w:val="Bold"/>
                        </w:rPr>
                        <w:t>7</w:t>
                      </w:r>
                    </w:p>
                  </w:txbxContent>
                </v:textbox>
                <w10:wrap anchorx="page"/>
              </v:shape>
            </w:pict>
          </mc:Fallback>
        </mc:AlternateContent>
      </w:r>
    </w:p>
    <w:p w14:paraId="53F5C067" w14:textId="77777777" w:rsidR="00796887" w:rsidRPr="004A66E2" w:rsidRDefault="00796887" w:rsidP="008A1C91">
      <w:pPr>
        <w:pStyle w:val="References"/>
        <w:sectPr w:rsidR="00796887" w:rsidRPr="004A66E2" w:rsidSect="00662C7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1" w:name="_Toc27649604"/>
      <w:bookmarkStart w:id="2" w:name="_Toc43786474"/>
      <w:bookmarkStart w:id="3" w:name="_Toc44217184"/>
    </w:p>
    <w:p w14:paraId="2CB7DB14" w14:textId="77777777" w:rsidR="00324DF2" w:rsidRPr="00B5530C" w:rsidRDefault="00324DF2" w:rsidP="00324DF2">
      <w:pPr>
        <w:pStyle w:val="References"/>
        <w:jc w:val="center"/>
      </w:pPr>
      <w:bookmarkStart w:id="4" w:name="_Toc44217186"/>
      <w:bookmarkStart w:id="5" w:name="_Toc118359366"/>
      <w:bookmarkEnd w:id="1"/>
      <w:bookmarkEnd w:id="2"/>
      <w:bookmarkEnd w:id="3"/>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t xml:space="preserve">the </w:t>
      </w:r>
      <w:r w:rsidRPr="00B5530C">
        <w:t xml:space="preserve">ICRC Act). </w:t>
      </w:r>
      <w:proofErr w:type="gramStart"/>
      <w:r w:rsidRPr="00B5530C">
        <w:t>The Commission is constituted under the ICRC Act by one or more standing</w:t>
      </w:r>
      <w:r>
        <w:t xml:space="preserve"> commissioners and </w:t>
      </w:r>
      <w:r w:rsidRPr="00B5530C">
        <w:t>any associated commissioners appointed for particular purposes</w:t>
      </w:r>
      <w:proofErr w:type="gramEnd"/>
      <w:r w:rsidRPr="00B5530C">
        <w:t>. Commissioners are statutory appointments</w:t>
      </w:r>
      <w:r>
        <w:t xml:space="preserve">. Joe Dimasi is the current Senior </w:t>
      </w:r>
      <w:r w:rsidRPr="00B5530C">
        <w:t>Commissioner who constitute</w:t>
      </w:r>
      <w:r>
        <w:t>s</w:t>
      </w:r>
      <w:r w:rsidRPr="00B5530C">
        <w:t xml:space="preserve"> the Commission</w:t>
      </w:r>
      <w:r>
        <w:t xml:space="preserve"> and </w:t>
      </w:r>
      <w:r w:rsidRPr="00B5530C">
        <w:t>take</w:t>
      </w:r>
      <w:r>
        <w:t>s</w:t>
      </w:r>
      <w:r w:rsidRPr="00B5530C">
        <w:t xml:space="preserve"> direct responsibility for delivery of the outcomes of the Commission.</w:t>
      </w:r>
    </w:p>
    <w:p w14:paraId="245C4CFC" w14:textId="77777777" w:rsidR="00324DF2" w:rsidRPr="00B5530C" w:rsidRDefault="00324DF2" w:rsidP="00324DF2">
      <w:pPr>
        <w:pStyle w:val="References"/>
        <w:jc w:val="center"/>
      </w:pPr>
      <w:r>
        <w:t>The Commission</w:t>
      </w:r>
      <w:r w:rsidRPr="00B5530C">
        <w:t xml:space="preserve"> ha</w:t>
      </w:r>
      <w:r>
        <w:t>s</w:t>
      </w:r>
      <w:r w:rsidRPr="00B5530C">
        <w:t xml:space="preserve"> responsibilities for a broad range of regulatory and utility administrative matters. </w:t>
      </w:r>
      <w:r>
        <w:t>The Commission</w:t>
      </w:r>
      <w:r w:rsidRPr="00B5530C">
        <w:t xml:space="preserve"> ha</w:t>
      </w:r>
      <w:r>
        <w:t>s</w:t>
      </w:r>
      <w:r w:rsidRPr="00B5530C">
        <w:t xml:space="preserve"> responsibility under the ICRC Act for regulating and advising government about pricing and other matters for monopoly, near-monopoly and ministerially declared regulated industries, </w:t>
      </w:r>
      <w:r>
        <w:t xml:space="preserve">and </w:t>
      </w:r>
      <w:r w:rsidRPr="00B5530C">
        <w:t xml:space="preserve">providing advice on competitive neutrality complaints and government-regulated activities. </w:t>
      </w:r>
      <w:r>
        <w:t xml:space="preserve">The Commission </w:t>
      </w:r>
      <w:r w:rsidRPr="00B5530C">
        <w:t>also ha</w:t>
      </w:r>
      <w:r>
        <w:t>s</w:t>
      </w:r>
      <w:r w:rsidRPr="00B5530C">
        <w:t xml:space="preserve"> responsibility for arbitrating infrastructure access disputes under the ICRC Act. In discharging </w:t>
      </w:r>
      <w:r>
        <w:t xml:space="preserve">its </w:t>
      </w:r>
      <w:r w:rsidRPr="00B5530C">
        <w:t xml:space="preserve">objectives and functions, </w:t>
      </w:r>
      <w:r>
        <w:t xml:space="preserve">the Commission </w:t>
      </w:r>
      <w:r w:rsidRPr="00B5530C">
        <w:t>provide</w:t>
      </w:r>
      <w:r>
        <w:t>s</w:t>
      </w:r>
      <w:r w:rsidRPr="00B5530C">
        <w:t xml:space="preserve"> independent robust analysis and advice.</w:t>
      </w:r>
    </w:p>
    <w:p w14:paraId="0402144D" w14:textId="77777777" w:rsidR="00324DF2" w:rsidRPr="00B5530C" w:rsidRDefault="00324DF2" w:rsidP="00324DF2">
      <w:pPr>
        <w:pStyle w:val="References"/>
        <w:jc w:val="center"/>
      </w:pPr>
      <w:r>
        <w:t>The Commission’s</w:t>
      </w:r>
      <w:r w:rsidRPr="00B5530C">
        <w:t xml:space="preserve"> objectives are set out in section 7</w:t>
      </w:r>
      <w:r>
        <w:t xml:space="preserve"> and 19L</w:t>
      </w:r>
      <w:r w:rsidRPr="00B5530C">
        <w:t xml:space="preserve"> of the ICRC Act and section 3 of the </w:t>
      </w:r>
      <w:r w:rsidRPr="0036790F">
        <w:rPr>
          <w:i/>
        </w:rPr>
        <w:t>Utilities</w:t>
      </w:r>
      <w:r>
        <w:rPr>
          <w:i/>
        </w:rPr>
        <w:t> </w:t>
      </w:r>
      <w:r w:rsidRPr="0036790F">
        <w:rPr>
          <w:i/>
        </w:rPr>
        <w:t>Act</w:t>
      </w:r>
      <w:r>
        <w:rPr>
          <w:i/>
        </w:rPr>
        <w:t> </w:t>
      </w:r>
      <w:r w:rsidRPr="0036790F">
        <w:rPr>
          <w:i/>
        </w:rPr>
        <w:t>2000</w:t>
      </w:r>
      <w:r w:rsidRPr="00B5530C">
        <w:t>.</w:t>
      </w:r>
    </w:p>
    <w:p w14:paraId="5ED17CA7" w14:textId="77777777" w:rsidR="00324DF2" w:rsidRPr="00B5530C" w:rsidRDefault="00324DF2" w:rsidP="00324DF2">
      <w:pPr>
        <w:pStyle w:val="References"/>
        <w:jc w:val="center"/>
      </w:pPr>
      <w:r w:rsidRPr="00B5530C">
        <w:t xml:space="preserve">Correspondence or other inquiries </w:t>
      </w:r>
      <w:proofErr w:type="gramStart"/>
      <w:r w:rsidRPr="00B5530C">
        <w:t>may be directed</w:t>
      </w:r>
      <w:proofErr w:type="gramEnd"/>
      <w:r w:rsidRPr="00B5530C">
        <w:t xml:space="preserve"> to </w:t>
      </w:r>
      <w:r>
        <w:t>the Commission</w:t>
      </w:r>
      <w:r w:rsidRPr="00B5530C">
        <w:t xml:space="preserve"> at the </w:t>
      </w:r>
      <w:r>
        <w:t xml:space="preserve">following </w:t>
      </w:r>
      <w:r w:rsidRPr="00B5530C">
        <w:t>addresses:</w:t>
      </w:r>
    </w:p>
    <w:p w14:paraId="25A7F2BA" w14:textId="77777777" w:rsidR="00324DF2" w:rsidRPr="00B5530C" w:rsidRDefault="00324DF2" w:rsidP="00324DF2">
      <w:pPr>
        <w:pStyle w:val="References"/>
        <w:jc w:val="center"/>
      </w:pPr>
      <w:r w:rsidRPr="00B5530C">
        <w:t>Independent Competition and Regulatory Commission</w:t>
      </w:r>
      <w:r w:rsidRPr="00B5530C">
        <w:br/>
        <w:t>PO Box 161</w:t>
      </w:r>
      <w:r w:rsidRPr="00B5530C">
        <w:br/>
        <w:t>Civic Square ACT 2608</w:t>
      </w:r>
    </w:p>
    <w:p w14:paraId="37179E2A" w14:textId="77777777" w:rsidR="00324DF2" w:rsidRPr="00B5530C" w:rsidRDefault="00324DF2" w:rsidP="00324DF2">
      <w:pPr>
        <w:pStyle w:val="References"/>
        <w:jc w:val="center"/>
      </w:pPr>
      <w:r>
        <w:t xml:space="preserve">        </w:t>
      </w:r>
      <w:r w:rsidRPr="00B5530C">
        <w:t>Level 8</w:t>
      </w:r>
      <w:r w:rsidRPr="00B5530C">
        <w:br/>
        <w:t>221 London Circuit</w:t>
      </w:r>
      <w:r w:rsidRPr="00B5530C">
        <w:br/>
        <w:t>Canberra ACT 2601</w:t>
      </w:r>
    </w:p>
    <w:p w14:paraId="3D356753" w14:textId="201B8DDF" w:rsidR="000721C4" w:rsidRDefault="00324DF2" w:rsidP="00324DF2">
      <w:pPr>
        <w:pStyle w:val="References"/>
        <w:jc w:val="center"/>
      </w:pPr>
      <w:r>
        <w:t xml:space="preserve">The Commission </w:t>
      </w:r>
      <w:proofErr w:type="gramStart"/>
      <w:r w:rsidRPr="00B5530C">
        <w:t>may be contacted</w:t>
      </w:r>
      <w:proofErr w:type="gramEnd"/>
      <w:r w:rsidRPr="00B5530C">
        <w:t xml:space="preserve"> at the above addresses, by telephone on (02) 6205 0799, or by fax on (02) 6207 5887. </w:t>
      </w:r>
      <w:r>
        <w:t xml:space="preserve">The Commission’s </w:t>
      </w:r>
      <w:r w:rsidRPr="00B5530C">
        <w:t xml:space="preserve">website is at </w:t>
      </w:r>
      <w:hyperlink r:id="rId14" w:history="1">
        <w:r w:rsidRPr="00B5530C">
          <w:rPr>
            <w:rStyle w:val="Hyperlink"/>
          </w:rPr>
          <w:t>www.icrc.act.gov.au</w:t>
        </w:r>
      </w:hyperlink>
      <w:r w:rsidRPr="00B5530C">
        <w:t xml:space="preserve"> and </w:t>
      </w:r>
      <w:r>
        <w:t xml:space="preserve">its </w:t>
      </w:r>
      <w:r w:rsidRPr="00B5530C">
        <w:t xml:space="preserve">email address is </w:t>
      </w:r>
      <w:hyperlink r:id="rId15" w:history="1">
        <w:r w:rsidRPr="00B5530C">
          <w:rPr>
            <w:rStyle w:val="Hyperlink"/>
          </w:rPr>
          <w:t>icrc@act.gov.au</w:t>
        </w:r>
      </w:hyperlink>
      <w:proofErr w:type="gramStart"/>
      <w:r w:rsidRPr="00B5530C">
        <w:t>.</w:t>
      </w:r>
      <w:r w:rsidR="000721C4" w:rsidRPr="00B5530C">
        <w:t>.</w:t>
      </w:r>
      <w:proofErr w:type="gramEnd"/>
    </w:p>
    <w:p w14:paraId="44C9A70E" w14:textId="77777777" w:rsidR="00341230" w:rsidRDefault="00341230" w:rsidP="008A1C91">
      <w:pPr>
        <w:pStyle w:val="References"/>
      </w:pPr>
    </w:p>
    <w:p w14:paraId="071A9E01" w14:textId="77777777" w:rsidR="00341230" w:rsidRDefault="00341230" w:rsidP="008A1C91">
      <w:pPr>
        <w:pStyle w:val="References"/>
        <w:sectPr w:rsidR="00341230" w:rsidSect="00662C7A">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14:paraId="232C3EA4" w14:textId="77777777" w:rsidR="00EF19E9" w:rsidRDefault="00EF19E9" w:rsidP="00EF19E9">
      <w:pPr>
        <w:pStyle w:val="Heading1a"/>
        <w:sectPr w:rsidR="00EF19E9" w:rsidSect="00662C7A">
          <w:headerReference w:type="even" r:id="rId21"/>
          <w:headerReference w:type="default" r:id="rId22"/>
          <w:footerReference w:type="default" r:id="rId23"/>
          <w:headerReference w:type="first" r:id="rId24"/>
          <w:endnotePr>
            <w:numFmt w:val="decimal"/>
          </w:endnotePr>
          <w:type w:val="oddPage"/>
          <w:pgSz w:w="11907" w:h="16840" w:code="9"/>
          <w:pgMar w:top="2268" w:right="2098" w:bottom="1701" w:left="2098" w:header="578" w:footer="578" w:gutter="0"/>
          <w:pgNumType w:fmt="lowerRoman"/>
          <w:cols w:space="720"/>
        </w:sectPr>
      </w:pPr>
      <w:bookmarkStart w:id="6" w:name="_Toc476753959"/>
      <w:bookmarkStart w:id="7" w:name="_Toc478465436"/>
      <w:bookmarkStart w:id="8" w:name="_Toc368572030"/>
      <w:r>
        <w:lastRenderedPageBreak/>
        <w:t>Foreword</w:t>
      </w:r>
      <w:bookmarkEnd w:id="6"/>
      <w:bookmarkEnd w:id="7"/>
    </w:p>
    <w:p w14:paraId="736BEED8" w14:textId="77777777" w:rsidR="00EF19E9" w:rsidRDefault="00EF19E9" w:rsidP="00EF19E9">
      <w:r w:rsidRPr="003D00FF">
        <w:t xml:space="preserve">This report </w:t>
      </w:r>
      <w:r>
        <w:t>sets out the Commission</w:t>
      </w:r>
      <w:r w:rsidR="00DC674F">
        <w:t>’</w:t>
      </w:r>
      <w:r>
        <w:t xml:space="preserve">s current position on the future structure of </w:t>
      </w:r>
      <w:r w:rsidR="00DC674F">
        <w:t xml:space="preserve">tariffs </w:t>
      </w:r>
      <w:r w:rsidR="008013DA">
        <w:t>for</w:t>
      </w:r>
      <w:r w:rsidR="00DC674F" w:rsidRPr="008013DA">
        <w:t xml:space="preserve"> </w:t>
      </w:r>
      <w:r w:rsidRPr="008013DA">
        <w:t>Ic</w:t>
      </w:r>
      <w:r>
        <w:t>on Water</w:t>
      </w:r>
      <w:r w:rsidR="00DC674F">
        <w:t>’</w:t>
      </w:r>
      <w:r>
        <w:t>s regulated water and sewerage services.</w:t>
      </w:r>
      <w:r w:rsidR="008013DA">
        <w:t xml:space="preserve"> </w:t>
      </w:r>
      <w:r>
        <w:t xml:space="preserve">The report sets out the preferred direction of change and </w:t>
      </w:r>
      <w:r w:rsidR="00AC1666">
        <w:t xml:space="preserve">the </w:t>
      </w:r>
      <w:r>
        <w:t xml:space="preserve">principles that </w:t>
      </w:r>
      <w:proofErr w:type="gramStart"/>
      <w:r>
        <w:t>will be considered</w:t>
      </w:r>
      <w:proofErr w:type="gramEnd"/>
      <w:r>
        <w:t xml:space="preserve"> in making any chan</w:t>
      </w:r>
      <w:r w:rsidRPr="008A771D">
        <w:t>ge</w:t>
      </w:r>
      <w:r w:rsidR="004E6998">
        <w:t xml:space="preserve"> but does not specify any change at this stage</w:t>
      </w:r>
      <w:r w:rsidRPr="008A771D">
        <w:t>.</w:t>
      </w:r>
      <w:r w:rsidR="008013DA" w:rsidRPr="008A771D">
        <w:t xml:space="preserve"> </w:t>
      </w:r>
      <w:r w:rsidRPr="008A771D">
        <w:t xml:space="preserve">Any change to the structure of tariffs, </w:t>
      </w:r>
      <w:proofErr w:type="gramStart"/>
      <w:r w:rsidRPr="008A771D">
        <w:t>s</w:t>
      </w:r>
      <w:r>
        <w:t>hould it be considered</w:t>
      </w:r>
      <w:proofErr w:type="gramEnd"/>
      <w:r>
        <w:t xml:space="preserve"> appropriate, will only occur following the Commission</w:t>
      </w:r>
      <w:r w:rsidR="00DC674F">
        <w:t>’</w:t>
      </w:r>
      <w:r>
        <w:t xml:space="preserve">s investigation </w:t>
      </w:r>
      <w:r w:rsidR="00E813B2">
        <w:t>into</w:t>
      </w:r>
      <w:r>
        <w:t xml:space="preserve"> a price direction for regulated water and sewerage services provided by Icon Wat</w:t>
      </w:r>
      <w:r w:rsidRPr="004F4DB6">
        <w:t>er for th</w:t>
      </w:r>
      <w:r>
        <w:t>e next regulatory period</w:t>
      </w:r>
      <w:r w:rsidR="00DC674F">
        <w:t>,</w:t>
      </w:r>
      <w:r>
        <w:t xml:space="preserve"> from 1 July 2018 to 30 June 2023. </w:t>
      </w:r>
    </w:p>
    <w:p w14:paraId="0EB6C96F" w14:textId="77777777" w:rsidR="00EF19E9" w:rsidRDefault="00EF19E9" w:rsidP="00EF19E9">
      <w:r>
        <w:t>The tariff structure refers to the relative importance of fixed supply and volumetrically based usage charges for water and sew</w:t>
      </w:r>
      <w:r w:rsidRPr="004F4DB6">
        <w:t>erage</w:t>
      </w:r>
      <w:r w:rsidR="00386757">
        <w:t xml:space="preserve"> services</w:t>
      </w:r>
      <w:r w:rsidRPr="004F4DB6">
        <w:t>.</w:t>
      </w:r>
      <w:r w:rsidR="00DC674F">
        <w:t xml:space="preserve"> </w:t>
      </w:r>
      <w:r>
        <w:t xml:space="preserve">The mix of charges can have important effects on the ability of Icon Water to recover its efficient costs as well as the incentives </w:t>
      </w:r>
      <w:r w:rsidR="00AC1666">
        <w:t xml:space="preserve">for </w:t>
      </w:r>
      <w:r>
        <w:t xml:space="preserve">customers to use water </w:t>
      </w:r>
      <w:r w:rsidR="00AC1666">
        <w:t xml:space="preserve">and sewerage </w:t>
      </w:r>
      <w:r>
        <w:t>infrastructure and the water resource itself efficiently.</w:t>
      </w:r>
      <w:r w:rsidR="008013DA">
        <w:t xml:space="preserve"> </w:t>
      </w:r>
    </w:p>
    <w:p w14:paraId="155A6FA2" w14:textId="77777777" w:rsidR="00EF19E9" w:rsidRDefault="00EF19E9" w:rsidP="00EF19E9">
      <w:r>
        <w:t>The Commission has been reviewing the tarif</w:t>
      </w:r>
      <w:r w:rsidRPr="004F4DB6">
        <w:t>f structures for</w:t>
      </w:r>
      <w:r>
        <w:t xml:space="preserve"> water and sewerage services in the ACT since late </w:t>
      </w:r>
      <w:r w:rsidRPr="004F4DB6">
        <w:t>20</w:t>
      </w:r>
      <w:r w:rsidRPr="00AC1666">
        <w:t>15</w:t>
      </w:r>
      <w:r w:rsidR="002017CA">
        <w:t xml:space="preserve">. </w:t>
      </w:r>
      <w:r w:rsidR="00AC1666">
        <w:t>The review process has included the</w:t>
      </w:r>
      <w:r>
        <w:t xml:space="preserve"> release of an </w:t>
      </w:r>
      <w:r w:rsidR="00A714BA">
        <w:t>i</w:t>
      </w:r>
      <w:r>
        <w:t xml:space="preserve">ssues </w:t>
      </w:r>
      <w:r w:rsidR="00A714BA">
        <w:t>p</w:t>
      </w:r>
      <w:r>
        <w:t xml:space="preserve">aper (November 2015), </w:t>
      </w:r>
      <w:r w:rsidR="00A714BA">
        <w:t>t</w:t>
      </w:r>
      <w:r>
        <w:t xml:space="preserve">echnical </w:t>
      </w:r>
      <w:r w:rsidR="00A714BA">
        <w:t>r</w:t>
      </w:r>
      <w:r>
        <w:t xml:space="preserve">eports on the responsiveness of the demand for water to price (February 2016) and marginal cost pricing (June 2016), and a </w:t>
      </w:r>
      <w:r w:rsidR="00A714BA">
        <w:t>d</w:t>
      </w:r>
      <w:r>
        <w:t xml:space="preserve">raft </w:t>
      </w:r>
      <w:r w:rsidR="00A714BA">
        <w:t>r</w:t>
      </w:r>
      <w:r>
        <w:t>eport (September 2016).</w:t>
      </w:r>
      <w:r w:rsidR="00DC674F">
        <w:t xml:space="preserve"> </w:t>
      </w:r>
      <w:r w:rsidR="00C51EFC">
        <w:t>The Commission received s</w:t>
      </w:r>
      <w:r>
        <w:t xml:space="preserve">ubmissions </w:t>
      </w:r>
      <w:r w:rsidR="00A714BA">
        <w:t>on</w:t>
      </w:r>
      <w:r>
        <w:t xml:space="preserve"> these various papers</w:t>
      </w:r>
      <w:r w:rsidR="00A714BA">
        <w:t>,</w:t>
      </w:r>
      <w:r>
        <w:t xml:space="preserve"> and this report takes account of key concerns that </w:t>
      </w:r>
      <w:proofErr w:type="gramStart"/>
      <w:r>
        <w:t>have been raised</w:t>
      </w:r>
      <w:proofErr w:type="gramEnd"/>
      <w:r>
        <w:t xml:space="preserve"> in developing a preferred course of action. </w:t>
      </w:r>
    </w:p>
    <w:p w14:paraId="49795831" w14:textId="77777777" w:rsidR="00EF19E9" w:rsidRDefault="00EF19E9" w:rsidP="00EF19E9">
      <w:r>
        <w:t>The analysis undertaken to date indicates that t</w:t>
      </w:r>
      <w:r w:rsidRPr="004F4DB6">
        <w:t>he existing water</w:t>
      </w:r>
      <w:r w:rsidRPr="00146853">
        <w:t xml:space="preserve"> tariff structure </w:t>
      </w:r>
      <w:proofErr w:type="gramStart"/>
      <w:r w:rsidRPr="00146853">
        <w:t>ca</w:t>
      </w:r>
      <w:r>
        <w:t>n be improved</w:t>
      </w:r>
      <w:proofErr w:type="gramEnd"/>
      <w:r>
        <w:t xml:space="preserve"> for the benefit of the ACT community as a whole.</w:t>
      </w:r>
      <w:r w:rsidR="00DC674F">
        <w:t xml:space="preserve"> </w:t>
      </w:r>
      <w:r>
        <w:t xml:space="preserve">This </w:t>
      </w:r>
      <w:proofErr w:type="gramStart"/>
      <w:r>
        <w:t>can be done</w:t>
      </w:r>
      <w:proofErr w:type="gramEnd"/>
      <w:r>
        <w:t xml:space="preserve"> by making some careful adjustment</w:t>
      </w:r>
      <w:r w:rsidR="00A714BA">
        <w:t>s</w:t>
      </w:r>
      <w:r>
        <w:t xml:space="preserve"> to </w:t>
      </w:r>
      <w:r w:rsidR="00774CAC">
        <w:t>the balance</w:t>
      </w:r>
      <w:r>
        <w:t xml:space="preserve"> between fixed and usage charges.</w:t>
      </w:r>
      <w:r w:rsidR="00DC674F">
        <w:t xml:space="preserve"> </w:t>
      </w:r>
      <w:r>
        <w:t xml:space="preserve">This interpretation takes account of the need to use water efficiently and to ensure efficient </w:t>
      </w:r>
      <w:r w:rsidRPr="004F4DB6">
        <w:t>r</w:t>
      </w:r>
      <w:r w:rsidRPr="00146853">
        <w:t xml:space="preserve">ecovery of revenue to </w:t>
      </w:r>
      <w:r w:rsidRPr="004F4DB6">
        <w:t>cover</w:t>
      </w:r>
      <w:r w:rsidRPr="00146853">
        <w:t xml:space="preserve"> the ef</w:t>
      </w:r>
      <w:r>
        <w:t>ficient costs of Icon Water while meeting environmental and social objectives.</w:t>
      </w:r>
      <w:r w:rsidR="008013DA">
        <w:t xml:space="preserve"> </w:t>
      </w:r>
    </w:p>
    <w:p w14:paraId="4F392E6F" w14:textId="77777777" w:rsidR="00EF19E9" w:rsidRDefault="00EF19E9" w:rsidP="00EF19E9">
      <w:r>
        <w:t xml:space="preserve">However, while the </w:t>
      </w:r>
      <w:r w:rsidR="00C51EFC">
        <w:t xml:space="preserve">appropriate </w:t>
      </w:r>
      <w:r>
        <w:t xml:space="preserve">direction of change for the tariff structure seems clear, more consideration needs to be given </w:t>
      </w:r>
      <w:r w:rsidR="00A714BA">
        <w:t xml:space="preserve">to </w:t>
      </w:r>
      <w:r>
        <w:t>how best to address social impacts, particularly for some low</w:t>
      </w:r>
      <w:r w:rsidR="00A714BA">
        <w:t>-</w:t>
      </w:r>
      <w:r>
        <w:t>income households</w:t>
      </w:r>
      <w:r w:rsidR="00A714BA">
        <w:t>,</w:t>
      </w:r>
      <w:r>
        <w:t xml:space="preserve"> and timing and transitional arrangements.</w:t>
      </w:r>
      <w:r w:rsidR="00DC674F">
        <w:t xml:space="preserve"> </w:t>
      </w:r>
      <w:r>
        <w:t xml:space="preserve">This </w:t>
      </w:r>
      <w:proofErr w:type="gramStart"/>
      <w:r>
        <w:t xml:space="preserve">will be further </w:t>
      </w:r>
      <w:r w:rsidR="00774CAC">
        <w:t>considered</w:t>
      </w:r>
      <w:proofErr w:type="gramEnd"/>
      <w:r w:rsidR="00774CAC">
        <w:t xml:space="preserve"> during</w:t>
      </w:r>
      <w:r>
        <w:t xml:space="preserve"> the separate review into the tariff for the next regulatory period, once all the relevant information on costs and demand is available to the Commission.</w:t>
      </w:r>
      <w:r w:rsidR="00DC674F">
        <w:t xml:space="preserve"> </w:t>
      </w:r>
      <w:r>
        <w:t xml:space="preserve">It </w:t>
      </w:r>
      <w:proofErr w:type="gramStart"/>
      <w:r>
        <w:t>is not proposed</w:t>
      </w:r>
      <w:proofErr w:type="gramEnd"/>
      <w:r>
        <w:t xml:space="preserve"> to make any changes to the tariff structure before th</w:t>
      </w:r>
      <w:r w:rsidR="00A714BA">
        <w:t>e</w:t>
      </w:r>
      <w:r>
        <w:t xml:space="preserve"> start of the next regulatory period.</w:t>
      </w:r>
    </w:p>
    <w:p w14:paraId="5FB741F9" w14:textId="77777777" w:rsidR="00EF19E9" w:rsidRDefault="00EF19E9" w:rsidP="00EF19E9">
      <w:r>
        <w:t xml:space="preserve">The timelines for and information </w:t>
      </w:r>
      <w:r w:rsidR="00A46DE1">
        <w:t>on</w:t>
      </w:r>
      <w:r>
        <w:t xml:space="preserve"> the release of rep</w:t>
      </w:r>
      <w:r w:rsidRPr="00146853">
        <w:t>orts and receipt of</w:t>
      </w:r>
      <w:r w:rsidRPr="000F09DA">
        <w:t xml:space="preserve"> s</w:t>
      </w:r>
      <w:r>
        <w:t>ubmissions for the Commission</w:t>
      </w:r>
      <w:r w:rsidR="00DC674F">
        <w:t>’</w:t>
      </w:r>
      <w:r>
        <w:t>s investigation into a price direction for regulated water and sewerage services for the next regulatory period are available on the Commission</w:t>
      </w:r>
      <w:r w:rsidR="00DC674F">
        <w:t>’</w:t>
      </w:r>
      <w:r>
        <w:t>s website.</w:t>
      </w:r>
    </w:p>
    <w:p w14:paraId="146ACBA5" w14:textId="77777777" w:rsidR="00EF19E9" w:rsidRDefault="00EF19E9" w:rsidP="00EF19E9"/>
    <w:p w14:paraId="601338C7" w14:textId="77777777" w:rsidR="00EF19E9" w:rsidRPr="00012CC1" w:rsidRDefault="00EF19E9" w:rsidP="00EF19E9">
      <w:r w:rsidRPr="00012CC1">
        <w:lastRenderedPageBreak/>
        <w:t xml:space="preserve">Joe Dimasi </w:t>
      </w:r>
    </w:p>
    <w:p w14:paraId="5C762134" w14:textId="77777777" w:rsidR="00EF19E9" w:rsidRDefault="00EF19E9" w:rsidP="00EF19E9">
      <w:pPr>
        <w:pStyle w:val="References"/>
      </w:pPr>
      <w:r>
        <w:t>Senior Commissioner</w:t>
      </w:r>
    </w:p>
    <w:p w14:paraId="3AE4ABD8" w14:textId="1ED585E9" w:rsidR="00EF19E9" w:rsidRDefault="00BF4D3B" w:rsidP="00EF19E9">
      <w:pPr>
        <w:pStyle w:val="References"/>
        <w:sectPr w:rsidR="00EF19E9" w:rsidSect="00662C7A">
          <w:headerReference w:type="even" r:id="rId25"/>
          <w:headerReference w:type="default" r:id="rId26"/>
          <w:endnotePr>
            <w:numFmt w:val="decimal"/>
          </w:endnotePr>
          <w:type w:val="continuous"/>
          <w:pgSz w:w="11907" w:h="16840" w:code="9"/>
          <w:pgMar w:top="2268" w:right="2098" w:bottom="1701" w:left="2098" w:header="578" w:footer="578" w:gutter="0"/>
          <w:pgNumType w:fmt="lowerRoman"/>
          <w:cols w:space="720"/>
          <w:docGrid w:linePitch="299"/>
        </w:sectPr>
      </w:pPr>
      <w:r>
        <w:t>31</w:t>
      </w:r>
      <w:r w:rsidR="00DC674F">
        <w:t xml:space="preserve"> </w:t>
      </w:r>
      <w:r w:rsidR="00EF19E9">
        <w:t>March 2017</w:t>
      </w:r>
    </w:p>
    <w:p w14:paraId="71A16325" w14:textId="77777777" w:rsidR="00EF19E9" w:rsidRDefault="00D5242B" w:rsidP="008A1C91">
      <w:pPr>
        <w:pStyle w:val="References"/>
        <w:rPr>
          <w:rFonts w:ascii="Tahoma" w:hAnsi="Tahoma" w:cs="Tahoma"/>
          <w:b/>
          <w:color w:val="000033"/>
          <w:sz w:val="40"/>
          <w:lang w:val="en-AU"/>
        </w:rPr>
        <w:sectPr w:rsidR="00EF19E9" w:rsidSect="00EF19E9">
          <w:endnotePr>
            <w:numFmt w:val="decimal"/>
          </w:endnotePr>
          <w:type w:val="oddPage"/>
          <w:pgSz w:w="11907" w:h="16840" w:code="9"/>
          <w:pgMar w:top="2268" w:right="2098" w:bottom="1701" w:left="2098" w:header="578" w:footer="578" w:gutter="0"/>
          <w:pgNumType w:fmt="lowerRoman"/>
          <w:cols w:space="720"/>
          <w:docGrid w:linePitch="299"/>
        </w:sectPr>
      </w:pPr>
      <w:bookmarkStart w:id="9" w:name="Tariff_review_at_a_glance"/>
      <w:bookmarkEnd w:id="4"/>
      <w:bookmarkEnd w:id="5"/>
      <w:bookmarkEnd w:id="8"/>
      <w:bookmarkEnd w:id="9"/>
      <w:r w:rsidRPr="005E1CF9">
        <w:rPr>
          <w:rFonts w:ascii="Tahoma" w:hAnsi="Tahoma" w:cs="Tahoma"/>
          <w:b/>
          <w:color w:val="000033"/>
          <w:sz w:val="40"/>
          <w:lang w:val="en-AU"/>
        </w:rPr>
        <w:lastRenderedPageBreak/>
        <w:t>Contents</w:t>
      </w:r>
    </w:p>
    <w:bookmarkStart w:id="10" w:name="_Toc44217187"/>
    <w:p w14:paraId="28C36A4E" w14:textId="77777777" w:rsidR="003F3214" w:rsidRDefault="00E62F0C">
      <w:pPr>
        <w:pStyle w:val="TOC1"/>
        <w:rPr>
          <w:rFonts w:asciiTheme="minorHAnsi" w:eastAsiaTheme="minorEastAsia" w:hAnsiTheme="minorHAnsi" w:cstheme="minorBidi"/>
          <w:b w:val="0"/>
          <w:szCs w:val="22"/>
          <w:lang w:val="en-AU" w:eastAsia="en-AU"/>
        </w:rPr>
      </w:pPr>
      <w:r>
        <w:rPr>
          <w:lang w:val="en-AU"/>
        </w:rPr>
        <w:fldChar w:fldCharType="begin"/>
      </w:r>
      <w:r w:rsidR="007846F2">
        <w:rPr>
          <w:lang w:val="en-AU"/>
        </w:rPr>
        <w:instrText xml:space="preserve"> TOC \o "1-2" \h \z \u </w:instrText>
      </w:r>
      <w:r>
        <w:rPr>
          <w:lang w:val="en-AU"/>
        </w:rPr>
        <w:fldChar w:fldCharType="separate"/>
      </w:r>
      <w:hyperlink w:anchor="_Toc478465436" w:history="1">
        <w:r w:rsidR="003F3214" w:rsidRPr="00EC7D1F">
          <w:rPr>
            <w:rStyle w:val="Hyperlink"/>
          </w:rPr>
          <w:t>Foreword</w:t>
        </w:r>
        <w:r w:rsidR="003F3214">
          <w:rPr>
            <w:webHidden/>
          </w:rPr>
          <w:tab/>
        </w:r>
        <w:r w:rsidR="003F3214">
          <w:rPr>
            <w:webHidden/>
          </w:rPr>
          <w:fldChar w:fldCharType="begin"/>
        </w:r>
        <w:r w:rsidR="003F3214">
          <w:rPr>
            <w:webHidden/>
          </w:rPr>
          <w:instrText xml:space="preserve"> PAGEREF _Toc478465436 \h </w:instrText>
        </w:r>
        <w:r w:rsidR="003F3214">
          <w:rPr>
            <w:webHidden/>
          </w:rPr>
        </w:r>
        <w:r w:rsidR="003F3214">
          <w:rPr>
            <w:webHidden/>
          </w:rPr>
          <w:fldChar w:fldCharType="separate"/>
        </w:r>
        <w:r w:rsidR="00B22208">
          <w:rPr>
            <w:webHidden/>
          </w:rPr>
          <w:t>iii</w:t>
        </w:r>
        <w:r w:rsidR="003F3214">
          <w:rPr>
            <w:webHidden/>
          </w:rPr>
          <w:fldChar w:fldCharType="end"/>
        </w:r>
      </w:hyperlink>
    </w:p>
    <w:p w14:paraId="6BD1EA9B" w14:textId="77777777" w:rsidR="003F3214" w:rsidRDefault="00EB59C9">
      <w:pPr>
        <w:pStyle w:val="TOC1"/>
        <w:rPr>
          <w:rFonts w:asciiTheme="minorHAnsi" w:eastAsiaTheme="minorEastAsia" w:hAnsiTheme="minorHAnsi" w:cstheme="minorBidi"/>
          <w:b w:val="0"/>
          <w:szCs w:val="22"/>
          <w:lang w:val="en-AU" w:eastAsia="en-AU"/>
        </w:rPr>
      </w:pPr>
      <w:hyperlink w:anchor="_Toc478465437" w:history="1">
        <w:r w:rsidR="003F3214" w:rsidRPr="00EC7D1F">
          <w:rPr>
            <w:rStyle w:val="Hyperlink"/>
          </w:rPr>
          <w:t>Executive summary</w:t>
        </w:r>
        <w:r w:rsidR="003F3214">
          <w:rPr>
            <w:webHidden/>
          </w:rPr>
          <w:tab/>
        </w:r>
        <w:r w:rsidR="003F3214">
          <w:rPr>
            <w:webHidden/>
          </w:rPr>
          <w:fldChar w:fldCharType="begin"/>
        </w:r>
        <w:r w:rsidR="003F3214">
          <w:rPr>
            <w:webHidden/>
          </w:rPr>
          <w:instrText xml:space="preserve"> PAGEREF _Toc478465437 \h </w:instrText>
        </w:r>
        <w:r w:rsidR="003F3214">
          <w:rPr>
            <w:webHidden/>
          </w:rPr>
        </w:r>
        <w:r w:rsidR="003F3214">
          <w:rPr>
            <w:webHidden/>
          </w:rPr>
          <w:fldChar w:fldCharType="separate"/>
        </w:r>
        <w:r w:rsidR="00B22208">
          <w:rPr>
            <w:webHidden/>
          </w:rPr>
          <w:t>ix</w:t>
        </w:r>
        <w:r w:rsidR="003F3214">
          <w:rPr>
            <w:webHidden/>
          </w:rPr>
          <w:fldChar w:fldCharType="end"/>
        </w:r>
      </w:hyperlink>
    </w:p>
    <w:p w14:paraId="6F2225F4" w14:textId="77777777" w:rsidR="003F3214" w:rsidRDefault="00EB59C9">
      <w:pPr>
        <w:pStyle w:val="TOC1"/>
        <w:rPr>
          <w:rFonts w:asciiTheme="minorHAnsi" w:eastAsiaTheme="minorEastAsia" w:hAnsiTheme="minorHAnsi" w:cstheme="minorBidi"/>
          <w:b w:val="0"/>
          <w:szCs w:val="22"/>
          <w:lang w:val="en-AU" w:eastAsia="en-AU"/>
        </w:rPr>
      </w:pPr>
      <w:hyperlink w:anchor="_Toc478465438" w:history="1">
        <w:r w:rsidR="003F3214" w:rsidRPr="00EC7D1F">
          <w:rPr>
            <w:rStyle w:val="Hyperlink"/>
          </w:rPr>
          <w:t>1</w:t>
        </w:r>
        <w:r w:rsidR="003F3214">
          <w:rPr>
            <w:rFonts w:asciiTheme="minorHAnsi" w:eastAsiaTheme="minorEastAsia" w:hAnsiTheme="minorHAnsi" w:cstheme="minorBidi"/>
            <w:b w:val="0"/>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_Toc478465438 \h </w:instrText>
        </w:r>
        <w:r w:rsidR="003F3214">
          <w:rPr>
            <w:webHidden/>
          </w:rPr>
        </w:r>
        <w:r w:rsidR="003F3214">
          <w:rPr>
            <w:webHidden/>
          </w:rPr>
          <w:fldChar w:fldCharType="separate"/>
        </w:r>
        <w:r w:rsidR="00B22208">
          <w:rPr>
            <w:webHidden/>
          </w:rPr>
          <w:t>1</w:t>
        </w:r>
        <w:r w:rsidR="003F3214">
          <w:rPr>
            <w:webHidden/>
          </w:rPr>
          <w:fldChar w:fldCharType="end"/>
        </w:r>
      </w:hyperlink>
    </w:p>
    <w:p w14:paraId="0C170658" w14:textId="77777777" w:rsidR="003F3214" w:rsidRDefault="00EB59C9">
      <w:pPr>
        <w:pStyle w:val="TOC2"/>
        <w:rPr>
          <w:rFonts w:asciiTheme="minorHAnsi" w:eastAsiaTheme="minorEastAsia" w:hAnsiTheme="minorHAnsi" w:cstheme="minorBidi"/>
          <w:szCs w:val="22"/>
          <w:lang w:val="en-AU" w:eastAsia="en-AU"/>
        </w:rPr>
      </w:pPr>
      <w:hyperlink w:anchor="_Toc478465439" w:history="1">
        <w:r w:rsidR="003F3214" w:rsidRPr="00EC7D1F">
          <w:rPr>
            <w:rStyle w:val="Hyperlink"/>
          </w:rPr>
          <w:t>1.1</w:t>
        </w:r>
        <w:r w:rsidR="003F3214">
          <w:rPr>
            <w:rFonts w:asciiTheme="minorHAnsi" w:eastAsiaTheme="minorEastAsia" w:hAnsiTheme="minorHAnsi" w:cstheme="minorBidi"/>
            <w:szCs w:val="22"/>
            <w:lang w:val="en-AU" w:eastAsia="en-AU"/>
          </w:rPr>
          <w:tab/>
        </w:r>
        <w:r w:rsidR="003F3214" w:rsidRPr="00EC7D1F">
          <w:rPr>
            <w:rStyle w:val="Hyperlink"/>
          </w:rPr>
          <w:t>Background</w:t>
        </w:r>
        <w:r w:rsidR="003F3214">
          <w:rPr>
            <w:webHidden/>
          </w:rPr>
          <w:tab/>
        </w:r>
        <w:r w:rsidR="003F3214">
          <w:rPr>
            <w:webHidden/>
          </w:rPr>
          <w:fldChar w:fldCharType="begin"/>
        </w:r>
        <w:r w:rsidR="003F3214">
          <w:rPr>
            <w:webHidden/>
          </w:rPr>
          <w:instrText xml:space="preserve"> PAGEREF _Toc478465439 \h </w:instrText>
        </w:r>
        <w:r w:rsidR="003F3214">
          <w:rPr>
            <w:webHidden/>
          </w:rPr>
        </w:r>
        <w:r w:rsidR="003F3214">
          <w:rPr>
            <w:webHidden/>
          </w:rPr>
          <w:fldChar w:fldCharType="separate"/>
        </w:r>
        <w:r w:rsidR="00B22208">
          <w:rPr>
            <w:webHidden/>
          </w:rPr>
          <w:t>1</w:t>
        </w:r>
        <w:r w:rsidR="003F3214">
          <w:rPr>
            <w:webHidden/>
          </w:rPr>
          <w:fldChar w:fldCharType="end"/>
        </w:r>
      </w:hyperlink>
    </w:p>
    <w:p w14:paraId="6A5B0574" w14:textId="77777777" w:rsidR="003F3214" w:rsidRDefault="00EB59C9">
      <w:pPr>
        <w:pStyle w:val="TOC2"/>
        <w:rPr>
          <w:rFonts w:asciiTheme="minorHAnsi" w:eastAsiaTheme="minorEastAsia" w:hAnsiTheme="minorHAnsi" w:cstheme="minorBidi"/>
          <w:szCs w:val="22"/>
          <w:lang w:val="en-AU" w:eastAsia="en-AU"/>
        </w:rPr>
      </w:pPr>
      <w:hyperlink w:anchor="_Toc478465440" w:history="1">
        <w:r w:rsidR="003F3214" w:rsidRPr="00EC7D1F">
          <w:rPr>
            <w:rStyle w:val="Hyperlink"/>
          </w:rPr>
          <w:t>1.2</w:t>
        </w:r>
        <w:r w:rsidR="003F3214">
          <w:rPr>
            <w:rFonts w:asciiTheme="minorHAnsi" w:eastAsiaTheme="minorEastAsia" w:hAnsiTheme="minorHAnsi" w:cstheme="minorBidi"/>
            <w:szCs w:val="22"/>
            <w:lang w:val="en-AU" w:eastAsia="en-AU"/>
          </w:rPr>
          <w:tab/>
        </w:r>
        <w:r w:rsidR="003F3214" w:rsidRPr="00EC7D1F">
          <w:rPr>
            <w:rStyle w:val="Hyperlink"/>
          </w:rPr>
          <w:t>Current water tariff structure: two-part inclining block</w:t>
        </w:r>
        <w:r w:rsidR="003F3214">
          <w:rPr>
            <w:webHidden/>
          </w:rPr>
          <w:tab/>
        </w:r>
        <w:r w:rsidR="003F3214">
          <w:rPr>
            <w:webHidden/>
          </w:rPr>
          <w:fldChar w:fldCharType="begin"/>
        </w:r>
        <w:r w:rsidR="003F3214">
          <w:rPr>
            <w:webHidden/>
          </w:rPr>
          <w:instrText xml:space="preserve"> PAGEREF _Toc478465440 \h </w:instrText>
        </w:r>
        <w:r w:rsidR="003F3214">
          <w:rPr>
            <w:webHidden/>
          </w:rPr>
        </w:r>
        <w:r w:rsidR="003F3214">
          <w:rPr>
            <w:webHidden/>
          </w:rPr>
          <w:fldChar w:fldCharType="separate"/>
        </w:r>
        <w:r w:rsidR="00B22208">
          <w:rPr>
            <w:webHidden/>
          </w:rPr>
          <w:t>1</w:t>
        </w:r>
        <w:r w:rsidR="003F3214">
          <w:rPr>
            <w:webHidden/>
          </w:rPr>
          <w:fldChar w:fldCharType="end"/>
        </w:r>
      </w:hyperlink>
    </w:p>
    <w:p w14:paraId="40ED28C7" w14:textId="77777777" w:rsidR="003F3214" w:rsidRDefault="00EB59C9">
      <w:pPr>
        <w:pStyle w:val="TOC2"/>
        <w:rPr>
          <w:rFonts w:asciiTheme="minorHAnsi" w:eastAsiaTheme="minorEastAsia" w:hAnsiTheme="minorHAnsi" w:cstheme="minorBidi"/>
          <w:szCs w:val="22"/>
          <w:lang w:val="en-AU" w:eastAsia="en-AU"/>
        </w:rPr>
      </w:pPr>
      <w:hyperlink w:anchor="_Toc478465441" w:history="1">
        <w:r w:rsidR="003F3214" w:rsidRPr="00EC7D1F">
          <w:rPr>
            <w:rStyle w:val="Hyperlink"/>
          </w:rPr>
          <w:t>1.3</w:t>
        </w:r>
        <w:r w:rsidR="003F3214">
          <w:rPr>
            <w:rFonts w:asciiTheme="minorHAnsi" w:eastAsiaTheme="minorEastAsia" w:hAnsiTheme="minorHAnsi" w:cstheme="minorBidi"/>
            <w:szCs w:val="22"/>
            <w:lang w:val="en-AU" w:eastAsia="en-AU"/>
          </w:rPr>
          <w:tab/>
        </w:r>
        <w:r w:rsidR="003F3214" w:rsidRPr="00EC7D1F">
          <w:rPr>
            <w:rStyle w:val="Hyperlink"/>
          </w:rPr>
          <w:t>Current water security situation</w:t>
        </w:r>
        <w:r w:rsidR="003F3214">
          <w:rPr>
            <w:webHidden/>
          </w:rPr>
          <w:tab/>
        </w:r>
        <w:r w:rsidR="003F3214">
          <w:rPr>
            <w:webHidden/>
          </w:rPr>
          <w:fldChar w:fldCharType="begin"/>
        </w:r>
        <w:r w:rsidR="003F3214">
          <w:rPr>
            <w:webHidden/>
          </w:rPr>
          <w:instrText xml:space="preserve"> PAGEREF _Toc478465441 \h </w:instrText>
        </w:r>
        <w:r w:rsidR="003F3214">
          <w:rPr>
            <w:webHidden/>
          </w:rPr>
        </w:r>
        <w:r w:rsidR="003F3214">
          <w:rPr>
            <w:webHidden/>
          </w:rPr>
          <w:fldChar w:fldCharType="separate"/>
        </w:r>
        <w:r w:rsidR="00B22208">
          <w:rPr>
            <w:webHidden/>
          </w:rPr>
          <w:t>3</w:t>
        </w:r>
        <w:r w:rsidR="003F3214">
          <w:rPr>
            <w:webHidden/>
          </w:rPr>
          <w:fldChar w:fldCharType="end"/>
        </w:r>
      </w:hyperlink>
    </w:p>
    <w:p w14:paraId="65423AE0" w14:textId="77777777" w:rsidR="003F3214" w:rsidRDefault="00EB59C9">
      <w:pPr>
        <w:pStyle w:val="TOC2"/>
        <w:rPr>
          <w:rFonts w:asciiTheme="minorHAnsi" w:eastAsiaTheme="minorEastAsia" w:hAnsiTheme="minorHAnsi" w:cstheme="minorBidi"/>
          <w:szCs w:val="22"/>
          <w:lang w:val="en-AU" w:eastAsia="en-AU"/>
        </w:rPr>
      </w:pPr>
      <w:hyperlink w:anchor="_Toc478465442" w:history="1">
        <w:r w:rsidR="003F3214" w:rsidRPr="00EC7D1F">
          <w:rPr>
            <w:rStyle w:val="Hyperlink"/>
          </w:rPr>
          <w:t>1.4</w:t>
        </w:r>
        <w:r w:rsidR="003F3214">
          <w:rPr>
            <w:rFonts w:asciiTheme="minorHAnsi" w:eastAsiaTheme="minorEastAsia" w:hAnsiTheme="minorHAnsi" w:cstheme="minorBidi"/>
            <w:szCs w:val="22"/>
            <w:lang w:val="en-AU" w:eastAsia="en-AU"/>
          </w:rPr>
          <w:tab/>
        </w:r>
        <w:r w:rsidR="003F3214" w:rsidRPr="00EC7D1F">
          <w:rPr>
            <w:rStyle w:val="Hyperlink"/>
          </w:rPr>
          <w:t>The tariff review leading up to the final report</w:t>
        </w:r>
        <w:r w:rsidR="003F3214">
          <w:rPr>
            <w:webHidden/>
          </w:rPr>
          <w:tab/>
        </w:r>
        <w:r w:rsidR="003F3214">
          <w:rPr>
            <w:webHidden/>
          </w:rPr>
          <w:fldChar w:fldCharType="begin"/>
        </w:r>
        <w:r w:rsidR="003F3214">
          <w:rPr>
            <w:webHidden/>
          </w:rPr>
          <w:instrText xml:space="preserve"> PAGEREF _Toc478465442 \h </w:instrText>
        </w:r>
        <w:r w:rsidR="003F3214">
          <w:rPr>
            <w:webHidden/>
          </w:rPr>
        </w:r>
        <w:r w:rsidR="003F3214">
          <w:rPr>
            <w:webHidden/>
          </w:rPr>
          <w:fldChar w:fldCharType="separate"/>
        </w:r>
        <w:r w:rsidR="00B22208">
          <w:rPr>
            <w:webHidden/>
          </w:rPr>
          <w:t>5</w:t>
        </w:r>
        <w:r w:rsidR="003F3214">
          <w:rPr>
            <w:webHidden/>
          </w:rPr>
          <w:fldChar w:fldCharType="end"/>
        </w:r>
      </w:hyperlink>
    </w:p>
    <w:p w14:paraId="38D98263" w14:textId="77777777" w:rsidR="003F3214" w:rsidRDefault="00EB59C9">
      <w:pPr>
        <w:pStyle w:val="TOC2"/>
        <w:rPr>
          <w:rFonts w:asciiTheme="minorHAnsi" w:eastAsiaTheme="minorEastAsia" w:hAnsiTheme="minorHAnsi" w:cstheme="minorBidi"/>
          <w:szCs w:val="22"/>
          <w:lang w:val="en-AU" w:eastAsia="en-AU"/>
        </w:rPr>
      </w:pPr>
      <w:hyperlink w:anchor="_Toc478465443" w:history="1">
        <w:r w:rsidR="003F3214" w:rsidRPr="00EC7D1F">
          <w:rPr>
            <w:rStyle w:val="Hyperlink"/>
          </w:rPr>
          <w:t>1.5</w:t>
        </w:r>
        <w:r w:rsidR="003F3214">
          <w:rPr>
            <w:rFonts w:asciiTheme="minorHAnsi" w:eastAsiaTheme="minorEastAsia" w:hAnsiTheme="minorHAnsi" w:cstheme="minorBidi"/>
            <w:szCs w:val="22"/>
            <w:lang w:val="en-AU" w:eastAsia="en-AU"/>
          </w:rPr>
          <w:tab/>
        </w:r>
        <w:r w:rsidR="003F3214" w:rsidRPr="00EC7D1F">
          <w:rPr>
            <w:rStyle w:val="Hyperlink"/>
          </w:rPr>
          <w:t>Status of the tariff structure review final report</w:t>
        </w:r>
        <w:r w:rsidR="003F3214">
          <w:rPr>
            <w:webHidden/>
          </w:rPr>
          <w:tab/>
        </w:r>
        <w:r w:rsidR="003F3214">
          <w:rPr>
            <w:webHidden/>
          </w:rPr>
          <w:fldChar w:fldCharType="begin"/>
        </w:r>
        <w:r w:rsidR="003F3214">
          <w:rPr>
            <w:webHidden/>
          </w:rPr>
          <w:instrText xml:space="preserve"> PAGEREF _Toc478465443 \h </w:instrText>
        </w:r>
        <w:r w:rsidR="003F3214">
          <w:rPr>
            <w:webHidden/>
          </w:rPr>
        </w:r>
        <w:r w:rsidR="003F3214">
          <w:rPr>
            <w:webHidden/>
          </w:rPr>
          <w:fldChar w:fldCharType="separate"/>
        </w:r>
        <w:r w:rsidR="00B22208">
          <w:rPr>
            <w:webHidden/>
          </w:rPr>
          <w:t>8</w:t>
        </w:r>
        <w:r w:rsidR="003F3214">
          <w:rPr>
            <w:webHidden/>
          </w:rPr>
          <w:fldChar w:fldCharType="end"/>
        </w:r>
      </w:hyperlink>
    </w:p>
    <w:p w14:paraId="0B6BCFBB" w14:textId="77777777" w:rsidR="003F3214" w:rsidRDefault="00EB59C9">
      <w:pPr>
        <w:pStyle w:val="TOC2"/>
        <w:rPr>
          <w:rFonts w:asciiTheme="minorHAnsi" w:eastAsiaTheme="minorEastAsia" w:hAnsiTheme="minorHAnsi" w:cstheme="minorBidi"/>
          <w:szCs w:val="22"/>
          <w:lang w:val="en-AU" w:eastAsia="en-AU"/>
        </w:rPr>
      </w:pPr>
      <w:hyperlink w:anchor="_Toc478465444" w:history="1">
        <w:r w:rsidR="003F3214" w:rsidRPr="00EC7D1F">
          <w:rPr>
            <w:rStyle w:val="Hyperlink"/>
          </w:rPr>
          <w:t>1.6</w:t>
        </w:r>
        <w:r w:rsidR="003F3214">
          <w:rPr>
            <w:rFonts w:asciiTheme="minorHAnsi" w:eastAsiaTheme="minorEastAsia" w:hAnsiTheme="minorHAnsi" w:cstheme="minorBidi"/>
            <w:szCs w:val="22"/>
            <w:lang w:val="en-AU" w:eastAsia="en-AU"/>
          </w:rPr>
          <w:tab/>
        </w:r>
        <w:r w:rsidR="003F3214" w:rsidRPr="00EC7D1F">
          <w:rPr>
            <w:rStyle w:val="Hyperlink"/>
          </w:rPr>
          <w:t>Report structure</w:t>
        </w:r>
        <w:r w:rsidR="003F3214">
          <w:rPr>
            <w:webHidden/>
          </w:rPr>
          <w:tab/>
        </w:r>
        <w:r w:rsidR="003F3214">
          <w:rPr>
            <w:webHidden/>
          </w:rPr>
          <w:fldChar w:fldCharType="begin"/>
        </w:r>
        <w:r w:rsidR="003F3214">
          <w:rPr>
            <w:webHidden/>
          </w:rPr>
          <w:instrText xml:space="preserve"> PAGEREF _Toc478465444 \h </w:instrText>
        </w:r>
        <w:r w:rsidR="003F3214">
          <w:rPr>
            <w:webHidden/>
          </w:rPr>
        </w:r>
        <w:r w:rsidR="003F3214">
          <w:rPr>
            <w:webHidden/>
          </w:rPr>
          <w:fldChar w:fldCharType="separate"/>
        </w:r>
        <w:r w:rsidR="00B22208">
          <w:rPr>
            <w:webHidden/>
          </w:rPr>
          <w:t>9</w:t>
        </w:r>
        <w:r w:rsidR="003F3214">
          <w:rPr>
            <w:webHidden/>
          </w:rPr>
          <w:fldChar w:fldCharType="end"/>
        </w:r>
      </w:hyperlink>
    </w:p>
    <w:p w14:paraId="420D0283" w14:textId="77777777" w:rsidR="003F3214" w:rsidRDefault="00EB59C9">
      <w:pPr>
        <w:pStyle w:val="TOC1"/>
        <w:rPr>
          <w:rFonts w:asciiTheme="minorHAnsi" w:eastAsiaTheme="minorEastAsia" w:hAnsiTheme="minorHAnsi" w:cstheme="minorBidi"/>
          <w:b w:val="0"/>
          <w:szCs w:val="22"/>
          <w:lang w:val="en-AU" w:eastAsia="en-AU"/>
        </w:rPr>
      </w:pPr>
      <w:hyperlink w:anchor="_Toc478465445" w:history="1">
        <w:r w:rsidR="003F3214" w:rsidRPr="00EC7D1F">
          <w:rPr>
            <w:rStyle w:val="Hyperlink"/>
          </w:rPr>
          <w:t>2</w:t>
        </w:r>
        <w:r w:rsidR="003F3214">
          <w:rPr>
            <w:rFonts w:asciiTheme="minorHAnsi" w:eastAsiaTheme="minorEastAsia" w:hAnsiTheme="minorHAnsi" w:cstheme="minorBidi"/>
            <w:b w:val="0"/>
            <w:szCs w:val="22"/>
            <w:lang w:val="en-AU" w:eastAsia="en-AU"/>
          </w:rPr>
          <w:tab/>
        </w:r>
        <w:r w:rsidR="003F3214" w:rsidRPr="00EC7D1F">
          <w:rPr>
            <w:rStyle w:val="Hyperlink"/>
          </w:rPr>
          <w:t>Public policy and regulatory objectives</w:t>
        </w:r>
        <w:r w:rsidR="003F3214">
          <w:rPr>
            <w:webHidden/>
          </w:rPr>
          <w:tab/>
        </w:r>
        <w:r w:rsidR="003F3214">
          <w:rPr>
            <w:webHidden/>
          </w:rPr>
          <w:fldChar w:fldCharType="begin"/>
        </w:r>
        <w:r w:rsidR="003F3214">
          <w:rPr>
            <w:webHidden/>
          </w:rPr>
          <w:instrText xml:space="preserve"> PAGEREF _Toc478465445 \h </w:instrText>
        </w:r>
        <w:r w:rsidR="003F3214">
          <w:rPr>
            <w:webHidden/>
          </w:rPr>
        </w:r>
        <w:r w:rsidR="003F3214">
          <w:rPr>
            <w:webHidden/>
          </w:rPr>
          <w:fldChar w:fldCharType="separate"/>
        </w:r>
        <w:r w:rsidR="00B22208">
          <w:rPr>
            <w:webHidden/>
          </w:rPr>
          <w:t>11</w:t>
        </w:r>
        <w:r w:rsidR="003F3214">
          <w:rPr>
            <w:webHidden/>
          </w:rPr>
          <w:fldChar w:fldCharType="end"/>
        </w:r>
      </w:hyperlink>
    </w:p>
    <w:p w14:paraId="082643AB" w14:textId="77777777" w:rsidR="003F3214" w:rsidRDefault="00EB59C9">
      <w:pPr>
        <w:pStyle w:val="TOC2"/>
        <w:rPr>
          <w:rFonts w:asciiTheme="minorHAnsi" w:eastAsiaTheme="minorEastAsia" w:hAnsiTheme="minorHAnsi" w:cstheme="minorBidi"/>
          <w:szCs w:val="22"/>
          <w:lang w:val="en-AU" w:eastAsia="en-AU"/>
        </w:rPr>
      </w:pPr>
      <w:hyperlink w:anchor="_Toc478465446" w:history="1">
        <w:r w:rsidR="003F3214" w:rsidRPr="00EC7D1F">
          <w:rPr>
            <w:rStyle w:val="Hyperlink"/>
          </w:rPr>
          <w:t>2.1</w:t>
        </w:r>
        <w:r w:rsidR="003F3214">
          <w:rPr>
            <w:rFonts w:asciiTheme="minorHAnsi" w:eastAsiaTheme="minorEastAsia" w:hAnsiTheme="minorHAnsi" w:cstheme="minorBidi"/>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_Toc478465446 \h </w:instrText>
        </w:r>
        <w:r w:rsidR="003F3214">
          <w:rPr>
            <w:webHidden/>
          </w:rPr>
        </w:r>
        <w:r w:rsidR="003F3214">
          <w:rPr>
            <w:webHidden/>
          </w:rPr>
          <w:fldChar w:fldCharType="separate"/>
        </w:r>
        <w:r w:rsidR="00B22208">
          <w:rPr>
            <w:webHidden/>
          </w:rPr>
          <w:t>11</w:t>
        </w:r>
        <w:r w:rsidR="003F3214">
          <w:rPr>
            <w:webHidden/>
          </w:rPr>
          <w:fldChar w:fldCharType="end"/>
        </w:r>
      </w:hyperlink>
    </w:p>
    <w:p w14:paraId="3EFEB610" w14:textId="77777777" w:rsidR="003F3214" w:rsidRDefault="00EB59C9">
      <w:pPr>
        <w:pStyle w:val="TOC2"/>
        <w:rPr>
          <w:rFonts w:asciiTheme="minorHAnsi" w:eastAsiaTheme="minorEastAsia" w:hAnsiTheme="minorHAnsi" w:cstheme="minorBidi"/>
          <w:szCs w:val="22"/>
          <w:lang w:val="en-AU" w:eastAsia="en-AU"/>
        </w:rPr>
      </w:pPr>
      <w:hyperlink w:anchor="_Toc478465447" w:history="1">
        <w:r w:rsidR="003F3214" w:rsidRPr="00EC7D1F">
          <w:rPr>
            <w:rStyle w:val="Hyperlink"/>
          </w:rPr>
          <w:t>2.2</w:t>
        </w:r>
        <w:r w:rsidR="003F3214">
          <w:rPr>
            <w:rFonts w:asciiTheme="minorHAnsi" w:eastAsiaTheme="minorEastAsia" w:hAnsiTheme="minorHAnsi" w:cstheme="minorBidi"/>
            <w:szCs w:val="22"/>
            <w:lang w:val="en-AU" w:eastAsia="en-AU"/>
          </w:rPr>
          <w:tab/>
        </w:r>
        <w:r w:rsidR="003F3214" w:rsidRPr="00EC7D1F">
          <w:rPr>
            <w:rStyle w:val="Hyperlink"/>
          </w:rPr>
          <w:t>Legislative context</w:t>
        </w:r>
        <w:r w:rsidR="003F3214">
          <w:rPr>
            <w:webHidden/>
          </w:rPr>
          <w:tab/>
        </w:r>
        <w:r w:rsidR="003F3214">
          <w:rPr>
            <w:webHidden/>
          </w:rPr>
          <w:fldChar w:fldCharType="begin"/>
        </w:r>
        <w:r w:rsidR="003F3214">
          <w:rPr>
            <w:webHidden/>
          </w:rPr>
          <w:instrText xml:space="preserve"> PAGEREF _Toc478465447 \h </w:instrText>
        </w:r>
        <w:r w:rsidR="003F3214">
          <w:rPr>
            <w:webHidden/>
          </w:rPr>
        </w:r>
        <w:r w:rsidR="003F3214">
          <w:rPr>
            <w:webHidden/>
          </w:rPr>
          <w:fldChar w:fldCharType="separate"/>
        </w:r>
        <w:r w:rsidR="00B22208">
          <w:rPr>
            <w:webHidden/>
          </w:rPr>
          <w:t>11</w:t>
        </w:r>
        <w:r w:rsidR="003F3214">
          <w:rPr>
            <w:webHidden/>
          </w:rPr>
          <w:fldChar w:fldCharType="end"/>
        </w:r>
      </w:hyperlink>
    </w:p>
    <w:p w14:paraId="4C9B4D77" w14:textId="77777777" w:rsidR="003F3214" w:rsidRDefault="00EB59C9">
      <w:pPr>
        <w:pStyle w:val="TOC2"/>
        <w:rPr>
          <w:rFonts w:asciiTheme="minorHAnsi" w:eastAsiaTheme="minorEastAsia" w:hAnsiTheme="minorHAnsi" w:cstheme="minorBidi"/>
          <w:szCs w:val="22"/>
          <w:lang w:val="en-AU" w:eastAsia="en-AU"/>
        </w:rPr>
      </w:pPr>
      <w:hyperlink w:anchor="_Toc478465448" w:history="1">
        <w:r w:rsidR="003F3214" w:rsidRPr="00EC7D1F">
          <w:rPr>
            <w:rStyle w:val="Hyperlink"/>
          </w:rPr>
          <w:t>2.3</w:t>
        </w:r>
        <w:r w:rsidR="003F3214">
          <w:rPr>
            <w:rFonts w:asciiTheme="minorHAnsi" w:eastAsiaTheme="minorEastAsia" w:hAnsiTheme="minorHAnsi" w:cstheme="minorBidi"/>
            <w:szCs w:val="22"/>
            <w:lang w:val="en-AU" w:eastAsia="en-AU"/>
          </w:rPr>
          <w:tab/>
        </w:r>
        <w:r w:rsidR="003F3214" w:rsidRPr="00EC7D1F">
          <w:rPr>
            <w:rStyle w:val="Hyperlink"/>
          </w:rPr>
          <w:t>Government policy context</w:t>
        </w:r>
        <w:r w:rsidR="003F3214">
          <w:rPr>
            <w:webHidden/>
          </w:rPr>
          <w:tab/>
        </w:r>
        <w:r w:rsidR="003F3214">
          <w:rPr>
            <w:webHidden/>
          </w:rPr>
          <w:fldChar w:fldCharType="begin"/>
        </w:r>
        <w:r w:rsidR="003F3214">
          <w:rPr>
            <w:webHidden/>
          </w:rPr>
          <w:instrText xml:space="preserve"> PAGEREF _Toc478465448 \h </w:instrText>
        </w:r>
        <w:r w:rsidR="003F3214">
          <w:rPr>
            <w:webHidden/>
          </w:rPr>
        </w:r>
        <w:r w:rsidR="003F3214">
          <w:rPr>
            <w:webHidden/>
          </w:rPr>
          <w:fldChar w:fldCharType="separate"/>
        </w:r>
        <w:r w:rsidR="00B22208">
          <w:rPr>
            <w:webHidden/>
          </w:rPr>
          <w:t>12</w:t>
        </w:r>
        <w:r w:rsidR="003F3214">
          <w:rPr>
            <w:webHidden/>
          </w:rPr>
          <w:fldChar w:fldCharType="end"/>
        </w:r>
      </w:hyperlink>
    </w:p>
    <w:p w14:paraId="7CF7BD45" w14:textId="77777777" w:rsidR="003F3214" w:rsidRDefault="00EB59C9">
      <w:pPr>
        <w:pStyle w:val="TOC1"/>
        <w:rPr>
          <w:rFonts w:asciiTheme="minorHAnsi" w:eastAsiaTheme="minorEastAsia" w:hAnsiTheme="minorHAnsi" w:cstheme="minorBidi"/>
          <w:b w:val="0"/>
          <w:szCs w:val="22"/>
          <w:lang w:val="en-AU" w:eastAsia="en-AU"/>
        </w:rPr>
      </w:pPr>
      <w:hyperlink w:anchor="_Toc478465449" w:history="1">
        <w:r w:rsidR="003F3214" w:rsidRPr="00EC7D1F">
          <w:rPr>
            <w:rStyle w:val="Hyperlink"/>
          </w:rPr>
          <w:t>3</w:t>
        </w:r>
        <w:r w:rsidR="003F3214">
          <w:rPr>
            <w:rFonts w:asciiTheme="minorHAnsi" w:eastAsiaTheme="minorEastAsia" w:hAnsiTheme="minorHAnsi" w:cstheme="minorBidi"/>
            <w:b w:val="0"/>
            <w:szCs w:val="22"/>
            <w:lang w:val="en-AU" w:eastAsia="en-AU"/>
          </w:rPr>
          <w:tab/>
        </w:r>
        <w:r w:rsidR="003F3214" w:rsidRPr="00EC7D1F">
          <w:rPr>
            <w:rStyle w:val="Hyperlink"/>
          </w:rPr>
          <w:t>Pricing principles</w:t>
        </w:r>
        <w:r w:rsidR="003F3214">
          <w:rPr>
            <w:webHidden/>
          </w:rPr>
          <w:tab/>
        </w:r>
        <w:r w:rsidR="003F3214">
          <w:rPr>
            <w:webHidden/>
          </w:rPr>
          <w:fldChar w:fldCharType="begin"/>
        </w:r>
        <w:r w:rsidR="003F3214">
          <w:rPr>
            <w:webHidden/>
          </w:rPr>
          <w:instrText xml:space="preserve"> PAGEREF _Toc478465449 \h </w:instrText>
        </w:r>
        <w:r w:rsidR="003F3214">
          <w:rPr>
            <w:webHidden/>
          </w:rPr>
        </w:r>
        <w:r w:rsidR="003F3214">
          <w:rPr>
            <w:webHidden/>
          </w:rPr>
          <w:fldChar w:fldCharType="separate"/>
        </w:r>
        <w:r w:rsidR="00B22208">
          <w:rPr>
            <w:webHidden/>
          </w:rPr>
          <w:t>15</w:t>
        </w:r>
        <w:r w:rsidR="003F3214">
          <w:rPr>
            <w:webHidden/>
          </w:rPr>
          <w:fldChar w:fldCharType="end"/>
        </w:r>
      </w:hyperlink>
    </w:p>
    <w:p w14:paraId="4725079D" w14:textId="77777777" w:rsidR="003F3214" w:rsidRDefault="00EB59C9">
      <w:pPr>
        <w:pStyle w:val="TOC2"/>
        <w:rPr>
          <w:rFonts w:asciiTheme="minorHAnsi" w:eastAsiaTheme="minorEastAsia" w:hAnsiTheme="minorHAnsi" w:cstheme="minorBidi"/>
          <w:szCs w:val="22"/>
          <w:lang w:val="en-AU" w:eastAsia="en-AU"/>
        </w:rPr>
      </w:pPr>
      <w:hyperlink w:anchor="_Toc478465450" w:history="1">
        <w:r w:rsidR="003F3214" w:rsidRPr="00EC7D1F">
          <w:rPr>
            <w:rStyle w:val="Hyperlink"/>
          </w:rPr>
          <w:t>3.1</w:t>
        </w:r>
        <w:r w:rsidR="003F3214">
          <w:rPr>
            <w:rFonts w:asciiTheme="minorHAnsi" w:eastAsiaTheme="minorEastAsia" w:hAnsiTheme="minorHAnsi" w:cstheme="minorBidi"/>
            <w:szCs w:val="22"/>
            <w:lang w:val="en-AU" w:eastAsia="en-AU"/>
          </w:rPr>
          <w:tab/>
        </w:r>
        <w:r w:rsidR="003F3214" w:rsidRPr="00EC7D1F">
          <w:rPr>
            <w:rStyle w:val="Hyperlink"/>
          </w:rPr>
          <w:t>The need for pricing principles</w:t>
        </w:r>
        <w:r w:rsidR="003F3214">
          <w:rPr>
            <w:webHidden/>
          </w:rPr>
          <w:tab/>
        </w:r>
        <w:r w:rsidR="003F3214">
          <w:rPr>
            <w:webHidden/>
          </w:rPr>
          <w:fldChar w:fldCharType="begin"/>
        </w:r>
        <w:r w:rsidR="003F3214">
          <w:rPr>
            <w:webHidden/>
          </w:rPr>
          <w:instrText xml:space="preserve"> PAGEREF _Toc478465450 \h </w:instrText>
        </w:r>
        <w:r w:rsidR="003F3214">
          <w:rPr>
            <w:webHidden/>
          </w:rPr>
        </w:r>
        <w:r w:rsidR="003F3214">
          <w:rPr>
            <w:webHidden/>
          </w:rPr>
          <w:fldChar w:fldCharType="separate"/>
        </w:r>
        <w:r w:rsidR="00B22208">
          <w:rPr>
            <w:webHidden/>
          </w:rPr>
          <w:t>15</w:t>
        </w:r>
        <w:r w:rsidR="003F3214">
          <w:rPr>
            <w:webHidden/>
          </w:rPr>
          <w:fldChar w:fldCharType="end"/>
        </w:r>
      </w:hyperlink>
    </w:p>
    <w:p w14:paraId="72A1DC23" w14:textId="77777777" w:rsidR="003F3214" w:rsidRDefault="00EB59C9">
      <w:pPr>
        <w:pStyle w:val="TOC2"/>
        <w:rPr>
          <w:rFonts w:asciiTheme="minorHAnsi" w:eastAsiaTheme="minorEastAsia" w:hAnsiTheme="minorHAnsi" w:cstheme="minorBidi"/>
          <w:szCs w:val="22"/>
          <w:lang w:val="en-AU" w:eastAsia="en-AU"/>
        </w:rPr>
      </w:pPr>
      <w:hyperlink w:anchor="_Toc478465451" w:history="1">
        <w:r w:rsidR="003F3214" w:rsidRPr="00EC7D1F">
          <w:rPr>
            <w:rStyle w:val="Hyperlink"/>
          </w:rPr>
          <w:t>3.2</w:t>
        </w:r>
        <w:r w:rsidR="003F3214">
          <w:rPr>
            <w:rFonts w:asciiTheme="minorHAnsi" w:eastAsiaTheme="minorEastAsia" w:hAnsiTheme="minorHAnsi" w:cstheme="minorBidi"/>
            <w:szCs w:val="22"/>
            <w:lang w:val="en-AU" w:eastAsia="en-AU"/>
          </w:rPr>
          <w:tab/>
        </w:r>
        <w:r w:rsidR="003F3214" w:rsidRPr="00EC7D1F">
          <w:rPr>
            <w:rStyle w:val="Hyperlink"/>
          </w:rPr>
          <w:t>Explanation of the principles</w:t>
        </w:r>
        <w:r w:rsidR="003F3214">
          <w:rPr>
            <w:webHidden/>
          </w:rPr>
          <w:tab/>
        </w:r>
        <w:r w:rsidR="003F3214">
          <w:rPr>
            <w:webHidden/>
          </w:rPr>
          <w:fldChar w:fldCharType="begin"/>
        </w:r>
        <w:r w:rsidR="003F3214">
          <w:rPr>
            <w:webHidden/>
          </w:rPr>
          <w:instrText xml:space="preserve"> PAGEREF _Toc478465451 \h </w:instrText>
        </w:r>
        <w:r w:rsidR="003F3214">
          <w:rPr>
            <w:webHidden/>
          </w:rPr>
        </w:r>
        <w:r w:rsidR="003F3214">
          <w:rPr>
            <w:webHidden/>
          </w:rPr>
          <w:fldChar w:fldCharType="separate"/>
        </w:r>
        <w:r w:rsidR="00B22208">
          <w:rPr>
            <w:webHidden/>
          </w:rPr>
          <w:t>17</w:t>
        </w:r>
        <w:r w:rsidR="003F3214">
          <w:rPr>
            <w:webHidden/>
          </w:rPr>
          <w:fldChar w:fldCharType="end"/>
        </w:r>
      </w:hyperlink>
    </w:p>
    <w:p w14:paraId="46871D35" w14:textId="77777777" w:rsidR="003F3214" w:rsidRDefault="00EB59C9">
      <w:pPr>
        <w:pStyle w:val="TOC1"/>
        <w:rPr>
          <w:rFonts w:asciiTheme="minorHAnsi" w:eastAsiaTheme="minorEastAsia" w:hAnsiTheme="minorHAnsi" w:cstheme="minorBidi"/>
          <w:b w:val="0"/>
          <w:szCs w:val="22"/>
          <w:lang w:val="en-AU" w:eastAsia="en-AU"/>
        </w:rPr>
      </w:pPr>
      <w:hyperlink w:anchor="_Toc478465452" w:history="1">
        <w:r w:rsidR="003F3214" w:rsidRPr="00EC7D1F">
          <w:rPr>
            <w:rStyle w:val="Hyperlink"/>
          </w:rPr>
          <w:t>4</w:t>
        </w:r>
        <w:r w:rsidR="003F3214">
          <w:rPr>
            <w:rFonts w:asciiTheme="minorHAnsi" w:eastAsiaTheme="minorEastAsia" w:hAnsiTheme="minorHAnsi" w:cstheme="minorBidi"/>
            <w:b w:val="0"/>
            <w:szCs w:val="22"/>
            <w:lang w:val="en-AU" w:eastAsia="en-AU"/>
          </w:rPr>
          <w:tab/>
        </w:r>
        <w:r w:rsidR="003F3214" w:rsidRPr="00EC7D1F">
          <w:rPr>
            <w:rStyle w:val="Hyperlink"/>
          </w:rPr>
          <w:t>Assessment of the current water services tariff structure</w:t>
        </w:r>
        <w:r w:rsidR="003F3214">
          <w:rPr>
            <w:webHidden/>
          </w:rPr>
          <w:tab/>
        </w:r>
        <w:r w:rsidR="003F3214">
          <w:rPr>
            <w:webHidden/>
          </w:rPr>
          <w:fldChar w:fldCharType="begin"/>
        </w:r>
        <w:r w:rsidR="003F3214">
          <w:rPr>
            <w:webHidden/>
          </w:rPr>
          <w:instrText xml:space="preserve"> PAGEREF _Toc478465452 \h </w:instrText>
        </w:r>
        <w:r w:rsidR="003F3214">
          <w:rPr>
            <w:webHidden/>
          </w:rPr>
        </w:r>
        <w:r w:rsidR="003F3214">
          <w:rPr>
            <w:webHidden/>
          </w:rPr>
          <w:fldChar w:fldCharType="separate"/>
        </w:r>
        <w:r w:rsidR="00B22208">
          <w:rPr>
            <w:webHidden/>
          </w:rPr>
          <w:t>21</w:t>
        </w:r>
        <w:r w:rsidR="003F3214">
          <w:rPr>
            <w:webHidden/>
          </w:rPr>
          <w:fldChar w:fldCharType="end"/>
        </w:r>
      </w:hyperlink>
    </w:p>
    <w:p w14:paraId="487842B6" w14:textId="77777777" w:rsidR="003F3214" w:rsidRDefault="00EB59C9">
      <w:pPr>
        <w:pStyle w:val="TOC2"/>
        <w:rPr>
          <w:rFonts w:asciiTheme="minorHAnsi" w:eastAsiaTheme="minorEastAsia" w:hAnsiTheme="minorHAnsi" w:cstheme="minorBidi"/>
          <w:szCs w:val="22"/>
          <w:lang w:val="en-AU" w:eastAsia="en-AU"/>
        </w:rPr>
      </w:pPr>
      <w:hyperlink w:anchor="_Toc478465453" w:history="1">
        <w:r w:rsidR="003F3214" w:rsidRPr="00EC7D1F">
          <w:rPr>
            <w:rStyle w:val="Hyperlink"/>
          </w:rPr>
          <w:t>4.1</w:t>
        </w:r>
        <w:r w:rsidR="003F3214">
          <w:rPr>
            <w:rFonts w:asciiTheme="minorHAnsi" w:eastAsiaTheme="minorEastAsia" w:hAnsiTheme="minorHAnsi" w:cstheme="minorBidi"/>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_Toc478465453 \h </w:instrText>
        </w:r>
        <w:r w:rsidR="003F3214">
          <w:rPr>
            <w:webHidden/>
          </w:rPr>
        </w:r>
        <w:r w:rsidR="003F3214">
          <w:rPr>
            <w:webHidden/>
          </w:rPr>
          <w:fldChar w:fldCharType="separate"/>
        </w:r>
        <w:r w:rsidR="00B22208">
          <w:rPr>
            <w:webHidden/>
          </w:rPr>
          <w:t>21</w:t>
        </w:r>
        <w:r w:rsidR="003F3214">
          <w:rPr>
            <w:webHidden/>
          </w:rPr>
          <w:fldChar w:fldCharType="end"/>
        </w:r>
      </w:hyperlink>
    </w:p>
    <w:p w14:paraId="48A40C65" w14:textId="77777777" w:rsidR="003F3214" w:rsidRDefault="00EB59C9">
      <w:pPr>
        <w:pStyle w:val="TOC2"/>
        <w:rPr>
          <w:rFonts w:asciiTheme="minorHAnsi" w:eastAsiaTheme="minorEastAsia" w:hAnsiTheme="minorHAnsi" w:cstheme="minorBidi"/>
          <w:szCs w:val="22"/>
          <w:lang w:val="en-AU" w:eastAsia="en-AU"/>
        </w:rPr>
      </w:pPr>
      <w:hyperlink w:anchor="_Toc478465454" w:history="1">
        <w:r w:rsidR="003F3214" w:rsidRPr="00EC7D1F">
          <w:rPr>
            <w:rStyle w:val="Hyperlink"/>
          </w:rPr>
          <w:t>4.2</w:t>
        </w:r>
        <w:r w:rsidR="003F3214">
          <w:rPr>
            <w:rFonts w:asciiTheme="minorHAnsi" w:eastAsiaTheme="minorEastAsia" w:hAnsiTheme="minorHAnsi" w:cstheme="minorBidi"/>
            <w:szCs w:val="22"/>
            <w:lang w:val="en-AU" w:eastAsia="en-AU"/>
          </w:rPr>
          <w:tab/>
        </w:r>
        <w:r w:rsidR="003F3214" w:rsidRPr="00EC7D1F">
          <w:rPr>
            <w:rStyle w:val="Hyperlink"/>
          </w:rPr>
          <w:t>Two-part and inclining block tariff structures</w:t>
        </w:r>
        <w:r w:rsidR="003F3214">
          <w:rPr>
            <w:webHidden/>
          </w:rPr>
          <w:tab/>
        </w:r>
        <w:r w:rsidR="003F3214">
          <w:rPr>
            <w:webHidden/>
          </w:rPr>
          <w:fldChar w:fldCharType="begin"/>
        </w:r>
        <w:r w:rsidR="003F3214">
          <w:rPr>
            <w:webHidden/>
          </w:rPr>
          <w:instrText xml:space="preserve"> PAGEREF _Toc478465454 \h </w:instrText>
        </w:r>
        <w:r w:rsidR="003F3214">
          <w:rPr>
            <w:webHidden/>
          </w:rPr>
        </w:r>
        <w:r w:rsidR="003F3214">
          <w:rPr>
            <w:webHidden/>
          </w:rPr>
          <w:fldChar w:fldCharType="separate"/>
        </w:r>
        <w:r w:rsidR="00B22208">
          <w:rPr>
            <w:webHidden/>
          </w:rPr>
          <w:t>21</w:t>
        </w:r>
        <w:r w:rsidR="003F3214">
          <w:rPr>
            <w:webHidden/>
          </w:rPr>
          <w:fldChar w:fldCharType="end"/>
        </w:r>
      </w:hyperlink>
    </w:p>
    <w:p w14:paraId="587C5515" w14:textId="77777777" w:rsidR="003F3214" w:rsidRDefault="00EB59C9">
      <w:pPr>
        <w:pStyle w:val="TOC2"/>
        <w:rPr>
          <w:rFonts w:asciiTheme="minorHAnsi" w:eastAsiaTheme="minorEastAsia" w:hAnsiTheme="minorHAnsi" w:cstheme="minorBidi"/>
          <w:szCs w:val="22"/>
          <w:lang w:val="en-AU" w:eastAsia="en-AU"/>
        </w:rPr>
      </w:pPr>
      <w:hyperlink w:anchor="_Toc478465455" w:history="1">
        <w:r w:rsidR="003F3214" w:rsidRPr="00EC7D1F">
          <w:rPr>
            <w:rStyle w:val="Hyperlink"/>
          </w:rPr>
          <w:t>4.3</w:t>
        </w:r>
        <w:r w:rsidR="003F3214">
          <w:rPr>
            <w:rFonts w:asciiTheme="minorHAnsi" w:eastAsiaTheme="minorEastAsia" w:hAnsiTheme="minorHAnsi" w:cstheme="minorBidi"/>
            <w:szCs w:val="22"/>
            <w:lang w:val="en-AU" w:eastAsia="en-AU"/>
          </w:rPr>
          <w:tab/>
        </w:r>
        <w:r w:rsidR="003F3214" w:rsidRPr="00EC7D1F">
          <w:rPr>
            <w:rStyle w:val="Hyperlink"/>
          </w:rPr>
          <w:t>Current tariff structure: two-part inclining block</w:t>
        </w:r>
        <w:r w:rsidR="003F3214">
          <w:rPr>
            <w:webHidden/>
          </w:rPr>
          <w:tab/>
        </w:r>
        <w:r w:rsidR="003F3214">
          <w:rPr>
            <w:webHidden/>
          </w:rPr>
          <w:fldChar w:fldCharType="begin"/>
        </w:r>
        <w:r w:rsidR="003F3214">
          <w:rPr>
            <w:webHidden/>
          </w:rPr>
          <w:instrText xml:space="preserve"> PAGEREF _Toc478465455 \h </w:instrText>
        </w:r>
        <w:r w:rsidR="003F3214">
          <w:rPr>
            <w:webHidden/>
          </w:rPr>
        </w:r>
        <w:r w:rsidR="003F3214">
          <w:rPr>
            <w:webHidden/>
          </w:rPr>
          <w:fldChar w:fldCharType="separate"/>
        </w:r>
        <w:r w:rsidR="00B22208">
          <w:rPr>
            <w:webHidden/>
          </w:rPr>
          <w:t>22</w:t>
        </w:r>
        <w:r w:rsidR="003F3214">
          <w:rPr>
            <w:webHidden/>
          </w:rPr>
          <w:fldChar w:fldCharType="end"/>
        </w:r>
      </w:hyperlink>
    </w:p>
    <w:p w14:paraId="34D8F107" w14:textId="77777777" w:rsidR="003F3214" w:rsidRDefault="00EB59C9">
      <w:pPr>
        <w:pStyle w:val="TOC2"/>
        <w:rPr>
          <w:rFonts w:asciiTheme="minorHAnsi" w:eastAsiaTheme="minorEastAsia" w:hAnsiTheme="minorHAnsi" w:cstheme="minorBidi"/>
          <w:szCs w:val="22"/>
          <w:lang w:val="en-AU" w:eastAsia="en-AU"/>
        </w:rPr>
      </w:pPr>
      <w:hyperlink w:anchor="_Toc478465456" w:history="1">
        <w:r w:rsidR="003F3214" w:rsidRPr="00EC7D1F">
          <w:rPr>
            <w:rStyle w:val="Hyperlink"/>
          </w:rPr>
          <w:t>4.4</w:t>
        </w:r>
        <w:r w:rsidR="003F3214">
          <w:rPr>
            <w:rFonts w:asciiTheme="minorHAnsi" w:eastAsiaTheme="minorEastAsia" w:hAnsiTheme="minorHAnsi" w:cstheme="minorBidi"/>
            <w:szCs w:val="22"/>
            <w:lang w:val="en-AU" w:eastAsia="en-AU"/>
          </w:rPr>
          <w:tab/>
        </w:r>
        <w:r w:rsidR="003F3214" w:rsidRPr="00EC7D1F">
          <w:rPr>
            <w:rStyle w:val="Hyperlink"/>
          </w:rPr>
          <w:t>Efficient use</w:t>
        </w:r>
        <w:r w:rsidR="003F3214">
          <w:rPr>
            <w:webHidden/>
          </w:rPr>
          <w:tab/>
        </w:r>
        <w:r w:rsidR="003F3214">
          <w:rPr>
            <w:webHidden/>
          </w:rPr>
          <w:fldChar w:fldCharType="begin"/>
        </w:r>
        <w:r w:rsidR="003F3214">
          <w:rPr>
            <w:webHidden/>
          </w:rPr>
          <w:instrText xml:space="preserve"> PAGEREF _Toc478465456 \h </w:instrText>
        </w:r>
        <w:r w:rsidR="003F3214">
          <w:rPr>
            <w:webHidden/>
          </w:rPr>
        </w:r>
        <w:r w:rsidR="003F3214">
          <w:rPr>
            <w:webHidden/>
          </w:rPr>
          <w:fldChar w:fldCharType="separate"/>
        </w:r>
        <w:r w:rsidR="00B22208">
          <w:rPr>
            <w:webHidden/>
          </w:rPr>
          <w:t>22</w:t>
        </w:r>
        <w:r w:rsidR="003F3214">
          <w:rPr>
            <w:webHidden/>
          </w:rPr>
          <w:fldChar w:fldCharType="end"/>
        </w:r>
      </w:hyperlink>
    </w:p>
    <w:p w14:paraId="01A370B0" w14:textId="77777777" w:rsidR="003F3214" w:rsidRDefault="00EB59C9">
      <w:pPr>
        <w:pStyle w:val="TOC2"/>
        <w:rPr>
          <w:rFonts w:asciiTheme="minorHAnsi" w:eastAsiaTheme="minorEastAsia" w:hAnsiTheme="minorHAnsi" w:cstheme="minorBidi"/>
          <w:szCs w:val="22"/>
          <w:lang w:val="en-AU" w:eastAsia="en-AU"/>
        </w:rPr>
      </w:pPr>
      <w:hyperlink w:anchor="_Toc478465457" w:history="1">
        <w:r w:rsidR="003F3214" w:rsidRPr="00EC7D1F">
          <w:rPr>
            <w:rStyle w:val="Hyperlink"/>
          </w:rPr>
          <w:t>4.5</w:t>
        </w:r>
        <w:r w:rsidR="003F3214">
          <w:rPr>
            <w:rFonts w:asciiTheme="minorHAnsi" w:eastAsiaTheme="minorEastAsia" w:hAnsiTheme="minorHAnsi" w:cstheme="minorBidi"/>
            <w:szCs w:val="22"/>
            <w:lang w:val="en-AU" w:eastAsia="en-AU"/>
          </w:rPr>
          <w:tab/>
        </w:r>
        <w:r w:rsidR="003F3214" w:rsidRPr="00EC7D1F">
          <w:rPr>
            <w:rStyle w:val="Hyperlink"/>
          </w:rPr>
          <w:t>Efficient cost recovery</w:t>
        </w:r>
        <w:r w:rsidR="003F3214">
          <w:rPr>
            <w:webHidden/>
          </w:rPr>
          <w:tab/>
        </w:r>
        <w:r w:rsidR="003F3214">
          <w:rPr>
            <w:webHidden/>
          </w:rPr>
          <w:fldChar w:fldCharType="begin"/>
        </w:r>
        <w:r w:rsidR="003F3214">
          <w:rPr>
            <w:webHidden/>
          </w:rPr>
          <w:instrText xml:space="preserve"> PAGEREF _Toc478465457 \h </w:instrText>
        </w:r>
        <w:r w:rsidR="003F3214">
          <w:rPr>
            <w:webHidden/>
          </w:rPr>
        </w:r>
        <w:r w:rsidR="003F3214">
          <w:rPr>
            <w:webHidden/>
          </w:rPr>
          <w:fldChar w:fldCharType="separate"/>
        </w:r>
        <w:r w:rsidR="00B22208">
          <w:rPr>
            <w:webHidden/>
          </w:rPr>
          <w:t>25</w:t>
        </w:r>
        <w:r w:rsidR="003F3214">
          <w:rPr>
            <w:webHidden/>
          </w:rPr>
          <w:fldChar w:fldCharType="end"/>
        </w:r>
      </w:hyperlink>
    </w:p>
    <w:p w14:paraId="7626CCED" w14:textId="77777777" w:rsidR="003F3214" w:rsidRDefault="00EB59C9">
      <w:pPr>
        <w:pStyle w:val="TOC2"/>
        <w:rPr>
          <w:rFonts w:asciiTheme="minorHAnsi" w:eastAsiaTheme="minorEastAsia" w:hAnsiTheme="minorHAnsi" w:cstheme="minorBidi"/>
          <w:szCs w:val="22"/>
          <w:lang w:val="en-AU" w:eastAsia="en-AU"/>
        </w:rPr>
      </w:pPr>
      <w:hyperlink w:anchor="_Toc478465458" w:history="1">
        <w:r w:rsidR="003F3214" w:rsidRPr="00EC7D1F">
          <w:rPr>
            <w:rStyle w:val="Hyperlink"/>
          </w:rPr>
          <w:t>4.6</w:t>
        </w:r>
        <w:r w:rsidR="003F3214">
          <w:rPr>
            <w:rFonts w:asciiTheme="minorHAnsi" w:eastAsiaTheme="minorEastAsia" w:hAnsiTheme="minorHAnsi" w:cstheme="minorBidi"/>
            <w:szCs w:val="22"/>
            <w:lang w:val="en-AU" w:eastAsia="en-AU"/>
          </w:rPr>
          <w:tab/>
        </w:r>
        <w:r w:rsidR="003F3214" w:rsidRPr="00EC7D1F">
          <w:rPr>
            <w:rStyle w:val="Hyperlink"/>
          </w:rPr>
          <w:t>Environmental considerations</w:t>
        </w:r>
        <w:r w:rsidR="003F3214">
          <w:rPr>
            <w:webHidden/>
          </w:rPr>
          <w:tab/>
        </w:r>
        <w:r w:rsidR="003F3214">
          <w:rPr>
            <w:webHidden/>
          </w:rPr>
          <w:fldChar w:fldCharType="begin"/>
        </w:r>
        <w:r w:rsidR="003F3214">
          <w:rPr>
            <w:webHidden/>
          </w:rPr>
          <w:instrText xml:space="preserve"> PAGEREF _Toc478465458 \h </w:instrText>
        </w:r>
        <w:r w:rsidR="003F3214">
          <w:rPr>
            <w:webHidden/>
          </w:rPr>
        </w:r>
        <w:r w:rsidR="003F3214">
          <w:rPr>
            <w:webHidden/>
          </w:rPr>
          <w:fldChar w:fldCharType="separate"/>
        </w:r>
        <w:r w:rsidR="00B22208">
          <w:rPr>
            <w:webHidden/>
          </w:rPr>
          <w:t>27</w:t>
        </w:r>
        <w:r w:rsidR="003F3214">
          <w:rPr>
            <w:webHidden/>
          </w:rPr>
          <w:fldChar w:fldCharType="end"/>
        </w:r>
      </w:hyperlink>
    </w:p>
    <w:p w14:paraId="49909AC2" w14:textId="524694B9" w:rsidR="003F3214" w:rsidRDefault="00EB59C9">
      <w:pPr>
        <w:pStyle w:val="TOC2"/>
        <w:rPr>
          <w:rFonts w:asciiTheme="minorHAnsi" w:eastAsiaTheme="minorEastAsia" w:hAnsiTheme="minorHAnsi" w:cstheme="minorBidi"/>
          <w:szCs w:val="22"/>
          <w:lang w:val="en-AU" w:eastAsia="en-AU"/>
        </w:rPr>
      </w:pPr>
      <w:hyperlink w:anchor="_Toc478465459" w:history="1">
        <w:r w:rsidR="003F3214" w:rsidRPr="00EC7D1F">
          <w:rPr>
            <w:rStyle w:val="Hyperlink"/>
          </w:rPr>
          <w:t>4.7</w:t>
        </w:r>
        <w:r w:rsidR="003F3214">
          <w:rPr>
            <w:rFonts w:asciiTheme="minorHAnsi" w:eastAsiaTheme="minorEastAsia" w:hAnsiTheme="minorHAnsi" w:cstheme="minorBidi"/>
            <w:szCs w:val="22"/>
            <w:lang w:val="en-AU" w:eastAsia="en-AU"/>
          </w:rPr>
          <w:tab/>
        </w:r>
        <w:r w:rsidR="003F3214" w:rsidRPr="00EC7D1F">
          <w:rPr>
            <w:rStyle w:val="Hyperlink"/>
          </w:rPr>
          <w:t xml:space="preserve">Community impact – gradual adjustment </w:t>
        </w:r>
        <w:r w:rsidR="003F3214">
          <w:rPr>
            <w:webHidden/>
          </w:rPr>
          <w:tab/>
        </w:r>
        <w:r w:rsidR="003F3214">
          <w:rPr>
            <w:webHidden/>
          </w:rPr>
          <w:fldChar w:fldCharType="begin"/>
        </w:r>
        <w:r w:rsidR="003F3214">
          <w:rPr>
            <w:webHidden/>
          </w:rPr>
          <w:instrText xml:space="preserve"> PAGEREF _Toc478465459 \h </w:instrText>
        </w:r>
        <w:r w:rsidR="003F3214">
          <w:rPr>
            <w:webHidden/>
          </w:rPr>
        </w:r>
        <w:r w:rsidR="003F3214">
          <w:rPr>
            <w:webHidden/>
          </w:rPr>
          <w:fldChar w:fldCharType="separate"/>
        </w:r>
        <w:r w:rsidR="00B22208">
          <w:rPr>
            <w:webHidden/>
          </w:rPr>
          <w:t>27</w:t>
        </w:r>
        <w:r w:rsidR="003F3214">
          <w:rPr>
            <w:webHidden/>
          </w:rPr>
          <w:fldChar w:fldCharType="end"/>
        </w:r>
      </w:hyperlink>
    </w:p>
    <w:p w14:paraId="4B8DD0D4" w14:textId="77777777" w:rsidR="003F3214" w:rsidRDefault="00EB59C9">
      <w:pPr>
        <w:pStyle w:val="TOC2"/>
        <w:rPr>
          <w:rFonts w:asciiTheme="minorHAnsi" w:eastAsiaTheme="minorEastAsia" w:hAnsiTheme="minorHAnsi" w:cstheme="minorBidi"/>
          <w:szCs w:val="22"/>
          <w:lang w:val="en-AU" w:eastAsia="en-AU"/>
        </w:rPr>
      </w:pPr>
      <w:hyperlink w:anchor="_Toc478465460" w:history="1">
        <w:r w:rsidR="003F3214" w:rsidRPr="00EC7D1F">
          <w:rPr>
            <w:rStyle w:val="Hyperlink"/>
          </w:rPr>
          <w:t>4.8</w:t>
        </w:r>
        <w:r w:rsidR="003F3214">
          <w:rPr>
            <w:rFonts w:asciiTheme="minorHAnsi" w:eastAsiaTheme="minorEastAsia" w:hAnsiTheme="minorHAnsi" w:cstheme="minorBidi"/>
            <w:szCs w:val="22"/>
            <w:lang w:val="en-AU" w:eastAsia="en-AU"/>
          </w:rPr>
          <w:tab/>
        </w:r>
        <w:r w:rsidR="003F3214" w:rsidRPr="00EC7D1F">
          <w:rPr>
            <w:rStyle w:val="Hyperlink"/>
          </w:rPr>
          <w:t>Community impact – fair outcomes for low-income households</w:t>
        </w:r>
        <w:r w:rsidR="003F3214">
          <w:rPr>
            <w:webHidden/>
          </w:rPr>
          <w:tab/>
        </w:r>
        <w:r w:rsidR="003F3214">
          <w:rPr>
            <w:webHidden/>
          </w:rPr>
          <w:fldChar w:fldCharType="begin"/>
        </w:r>
        <w:r w:rsidR="003F3214">
          <w:rPr>
            <w:webHidden/>
          </w:rPr>
          <w:instrText xml:space="preserve"> PAGEREF _Toc478465460 \h </w:instrText>
        </w:r>
        <w:r w:rsidR="003F3214">
          <w:rPr>
            <w:webHidden/>
          </w:rPr>
        </w:r>
        <w:r w:rsidR="003F3214">
          <w:rPr>
            <w:webHidden/>
          </w:rPr>
          <w:fldChar w:fldCharType="separate"/>
        </w:r>
        <w:r w:rsidR="00B22208">
          <w:rPr>
            <w:webHidden/>
          </w:rPr>
          <w:t>28</w:t>
        </w:r>
        <w:r w:rsidR="003F3214">
          <w:rPr>
            <w:webHidden/>
          </w:rPr>
          <w:fldChar w:fldCharType="end"/>
        </w:r>
      </w:hyperlink>
    </w:p>
    <w:p w14:paraId="1A913261" w14:textId="77777777" w:rsidR="003F3214" w:rsidRDefault="00EB59C9">
      <w:pPr>
        <w:pStyle w:val="TOC2"/>
        <w:rPr>
          <w:rFonts w:asciiTheme="minorHAnsi" w:eastAsiaTheme="minorEastAsia" w:hAnsiTheme="minorHAnsi" w:cstheme="minorBidi"/>
          <w:szCs w:val="22"/>
          <w:lang w:val="en-AU" w:eastAsia="en-AU"/>
        </w:rPr>
      </w:pPr>
      <w:hyperlink w:anchor="_Toc478465461" w:history="1">
        <w:r w:rsidR="003F3214" w:rsidRPr="00EC7D1F">
          <w:rPr>
            <w:rStyle w:val="Hyperlink"/>
          </w:rPr>
          <w:t>4.9</w:t>
        </w:r>
        <w:r w:rsidR="003F3214">
          <w:rPr>
            <w:rFonts w:asciiTheme="minorHAnsi" w:eastAsiaTheme="minorEastAsia" w:hAnsiTheme="minorHAnsi" w:cstheme="minorBidi"/>
            <w:szCs w:val="22"/>
            <w:lang w:val="en-AU" w:eastAsia="en-AU"/>
          </w:rPr>
          <w:tab/>
        </w:r>
        <w:r w:rsidR="003F3214" w:rsidRPr="00EC7D1F">
          <w:rPr>
            <w:rStyle w:val="Hyperlink"/>
          </w:rPr>
          <w:t>Simplicity</w:t>
        </w:r>
        <w:r w:rsidR="003F3214">
          <w:rPr>
            <w:webHidden/>
          </w:rPr>
          <w:tab/>
        </w:r>
        <w:r w:rsidR="003F3214">
          <w:rPr>
            <w:webHidden/>
          </w:rPr>
          <w:fldChar w:fldCharType="begin"/>
        </w:r>
        <w:r w:rsidR="003F3214">
          <w:rPr>
            <w:webHidden/>
          </w:rPr>
          <w:instrText xml:space="preserve"> PAGEREF _Toc478465461 \h </w:instrText>
        </w:r>
        <w:r w:rsidR="003F3214">
          <w:rPr>
            <w:webHidden/>
          </w:rPr>
        </w:r>
        <w:r w:rsidR="003F3214">
          <w:rPr>
            <w:webHidden/>
          </w:rPr>
          <w:fldChar w:fldCharType="separate"/>
        </w:r>
        <w:r w:rsidR="00B22208">
          <w:rPr>
            <w:webHidden/>
          </w:rPr>
          <w:t>28</w:t>
        </w:r>
        <w:r w:rsidR="003F3214">
          <w:rPr>
            <w:webHidden/>
          </w:rPr>
          <w:fldChar w:fldCharType="end"/>
        </w:r>
      </w:hyperlink>
    </w:p>
    <w:p w14:paraId="4F467327" w14:textId="77777777" w:rsidR="003F3214" w:rsidRDefault="00EB59C9">
      <w:pPr>
        <w:pStyle w:val="TOC2"/>
        <w:rPr>
          <w:rFonts w:asciiTheme="minorHAnsi" w:eastAsiaTheme="minorEastAsia" w:hAnsiTheme="minorHAnsi" w:cstheme="minorBidi"/>
          <w:szCs w:val="22"/>
          <w:lang w:val="en-AU" w:eastAsia="en-AU"/>
        </w:rPr>
      </w:pPr>
      <w:hyperlink w:anchor="_Toc478465462" w:history="1">
        <w:r w:rsidR="003F3214" w:rsidRPr="00EC7D1F">
          <w:rPr>
            <w:rStyle w:val="Hyperlink"/>
          </w:rPr>
          <w:t>4.10</w:t>
        </w:r>
        <w:r w:rsidR="003F3214">
          <w:rPr>
            <w:rFonts w:asciiTheme="minorHAnsi" w:eastAsiaTheme="minorEastAsia" w:hAnsiTheme="minorHAnsi" w:cstheme="minorBidi"/>
            <w:szCs w:val="22"/>
            <w:lang w:val="en-AU" w:eastAsia="en-AU"/>
          </w:rPr>
          <w:tab/>
        </w:r>
        <w:r w:rsidR="003F3214" w:rsidRPr="00EC7D1F">
          <w:rPr>
            <w:rStyle w:val="Hyperlink"/>
          </w:rPr>
          <w:t>Transparency</w:t>
        </w:r>
        <w:r w:rsidR="003F3214">
          <w:rPr>
            <w:webHidden/>
          </w:rPr>
          <w:tab/>
        </w:r>
        <w:r w:rsidR="003F3214">
          <w:rPr>
            <w:webHidden/>
          </w:rPr>
          <w:fldChar w:fldCharType="begin"/>
        </w:r>
        <w:r w:rsidR="003F3214">
          <w:rPr>
            <w:webHidden/>
          </w:rPr>
          <w:instrText xml:space="preserve"> PAGEREF _Toc478465462 \h </w:instrText>
        </w:r>
        <w:r w:rsidR="003F3214">
          <w:rPr>
            <w:webHidden/>
          </w:rPr>
        </w:r>
        <w:r w:rsidR="003F3214">
          <w:rPr>
            <w:webHidden/>
          </w:rPr>
          <w:fldChar w:fldCharType="separate"/>
        </w:r>
        <w:r w:rsidR="00B22208">
          <w:rPr>
            <w:webHidden/>
          </w:rPr>
          <w:t>29</w:t>
        </w:r>
        <w:r w:rsidR="003F3214">
          <w:rPr>
            <w:webHidden/>
          </w:rPr>
          <w:fldChar w:fldCharType="end"/>
        </w:r>
      </w:hyperlink>
    </w:p>
    <w:p w14:paraId="5CBC76AF" w14:textId="77777777" w:rsidR="003F3214" w:rsidRDefault="00EB59C9">
      <w:pPr>
        <w:pStyle w:val="TOC2"/>
        <w:rPr>
          <w:rFonts w:asciiTheme="minorHAnsi" w:eastAsiaTheme="minorEastAsia" w:hAnsiTheme="minorHAnsi" w:cstheme="minorBidi"/>
          <w:szCs w:val="22"/>
          <w:lang w:val="en-AU" w:eastAsia="en-AU"/>
        </w:rPr>
      </w:pPr>
      <w:hyperlink w:anchor="_Toc478465463" w:history="1">
        <w:r w:rsidR="003F3214" w:rsidRPr="00EC7D1F">
          <w:rPr>
            <w:rStyle w:val="Hyperlink"/>
          </w:rPr>
          <w:t>4.11</w:t>
        </w:r>
        <w:r w:rsidR="003F3214">
          <w:rPr>
            <w:rFonts w:asciiTheme="minorHAnsi" w:eastAsiaTheme="minorEastAsia" w:hAnsiTheme="minorHAnsi" w:cstheme="minorBidi"/>
            <w:szCs w:val="22"/>
            <w:lang w:val="en-AU" w:eastAsia="en-AU"/>
          </w:rPr>
          <w:tab/>
        </w:r>
        <w:r w:rsidR="003F3214" w:rsidRPr="00EC7D1F">
          <w:rPr>
            <w:rStyle w:val="Hyperlink"/>
          </w:rPr>
          <w:t>Summary assessment</w:t>
        </w:r>
        <w:r w:rsidR="003F3214">
          <w:rPr>
            <w:webHidden/>
          </w:rPr>
          <w:tab/>
        </w:r>
        <w:r w:rsidR="003F3214">
          <w:rPr>
            <w:webHidden/>
          </w:rPr>
          <w:fldChar w:fldCharType="begin"/>
        </w:r>
        <w:r w:rsidR="003F3214">
          <w:rPr>
            <w:webHidden/>
          </w:rPr>
          <w:instrText xml:space="preserve"> PAGEREF _Toc478465463 \h </w:instrText>
        </w:r>
        <w:r w:rsidR="003F3214">
          <w:rPr>
            <w:webHidden/>
          </w:rPr>
        </w:r>
        <w:r w:rsidR="003F3214">
          <w:rPr>
            <w:webHidden/>
          </w:rPr>
          <w:fldChar w:fldCharType="separate"/>
        </w:r>
        <w:r w:rsidR="00B22208">
          <w:rPr>
            <w:webHidden/>
          </w:rPr>
          <w:t>29</w:t>
        </w:r>
        <w:r w:rsidR="003F3214">
          <w:rPr>
            <w:webHidden/>
          </w:rPr>
          <w:fldChar w:fldCharType="end"/>
        </w:r>
      </w:hyperlink>
    </w:p>
    <w:p w14:paraId="4521F768" w14:textId="77777777" w:rsidR="003F3214" w:rsidRDefault="00EB59C9">
      <w:pPr>
        <w:pStyle w:val="TOC2"/>
        <w:rPr>
          <w:rFonts w:asciiTheme="minorHAnsi" w:eastAsiaTheme="minorEastAsia" w:hAnsiTheme="minorHAnsi" w:cstheme="minorBidi"/>
          <w:szCs w:val="22"/>
          <w:lang w:val="en-AU" w:eastAsia="en-AU"/>
        </w:rPr>
      </w:pPr>
      <w:hyperlink w:anchor="_Toc478465464" w:history="1">
        <w:r w:rsidR="003F3214" w:rsidRPr="00EC7D1F">
          <w:rPr>
            <w:rStyle w:val="Hyperlink"/>
          </w:rPr>
          <w:t>4.12</w:t>
        </w:r>
        <w:r w:rsidR="003F3214">
          <w:rPr>
            <w:rFonts w:asciiTheme="minorHAnsi" w:eastAsiaTheme="minorEastAsia" w:hAnsiTheme="minorHAnsi" w:cstheme="minorBidi"/>
            <w:szCs w:val="22"/>
            <w:lang w:val="en-AU" w:eastAsia="en-AU"/>
          </w:rPr>
          <w:tab/>
        </w:r>
        <w:r w:rsidR="003F3214" w:rsidRPr="00EC7D1F">
          <w:rPr>
            <w:rStyle w:val="Hyperlink"/>
          </w:rPr>
          <w:t>Submissions and Commission’s consideration</w:t>
        </w:r>
        <w:r w:rsidR="003F3214">
          <w:rPr>
            <w:webHidden/>
          </w:rPr>
          <w:tab/>
        </w:r>
        <w:r w:rsidR="003F3214">
          <w:rPr>
            <w:webHidden/>
          </w:rPr>
          <w:fldChar w:fldCharType="begin"/>
        </w:r>
        <w:r w:rsidR="003F3214">
          <w:rPr>
            <w:webHidden/>
          </w:rPr>
          <w:instrText xml:space="preserve"> PAGEREF _Toc478465464 \h </w:instrText>
        </w:r>
        <w:r w:rsidR="003F3214">
          <w:rPr>
            <w:webHidden/>
          </w:rPr>
        </w:r>
        <w:r w:rsidR="003F3214">
          <w:rPr>
            <w:webHidden/>
          </w:rPr>
          <w:fldChar w:fldCharType="separate"/>
        </w:r>
        <w:r w:rsidR="00B22208">
          <w:rPr>
            <w:webHidden/>
          </w:rPr>
          <w:t>30</w:t>
        </w:r>
        <w:r w:rsidR="003F3214">
          <w:rPr>
            <w:webHidden/>
          </w:rPr>
          <w:fldChar w:fldCharType="end"/>
        </w:r>
      </w:hyperlink>
    </w:p>
    <w:p w14:paraId="431D36D5" w14:textId="77777777" w:rsidR="003F3214" w:rsidRDefault="00EB59C9">
      <w:pPr>
        <w:pStyle w:val="TOC1"/>
        <w:rPr>
          <w:rFonts w:asciiTheme="minorHAnsi" w:eastAsiaTheme="minorEastAsia" w:hAnsiTheme="minorHAnsi" w:cstheme="minorBidi"/>
          <w:b w:val="0"/>
          <w:szCs w:val="22"/>
          <w:lang w:val="en-AU" w:eastAsia="en-AU"/>
        </w:rPr>
      </w:pPr>
      <w:hyperlink w:anchor="_Toc478465465" w:history="1">
        <w:r w:rsidR="003F3214" w:rsidRPr="00EC7D1F">
          <w:rPr>
            <w:rStyle w:val="Hyperlink"/>
          </w:rPr>
          <w:t>5</w:t>
        </w:r>
        <w:r w:rsidR="003F3214">
          <w:rPr>
            <w:rFonts w:asciiTheme="minorHAnsi" w:eastAsiaTheme="minorEastAsia" w:hAnsiTheme="minorHAnsi" w:cstheme="minorBidi"/>
            <w:b w:val="0"/>
            <w:szCs w:val="22"/>
            <w:lang w:val="en-AU" w:eastAsia="en-AU"/>
          </w:rPr>
          <w:tab/>
        </w:r>
        <w:r w:rsidR="003F3214" w:rsidRPr="00EC7D1F">
          <w:rPr>
            <w:rStyle w:val="Hyperlink"/>
          </w:rPr>
          <w:t>Directions for improving the water services tariff structure</w:t>
        </w:r>
        <w:r w:rsidR="003F3214">
          <w:rPr>
            <w:webHidden/>
          </w:rPr>
          <w:tab/>
        </w:r>
        <w:r w:rsidR="003F3214">
          <w:rPr>
            <w:webHidden/>
          </w:rPr>
          <w:fldChar w:fldCharType="begin"/>
        </w:r>
        <w:r w:rsidR="003F3214">
          <w:rPr>
            <w:webHidden/>
          </w:rPr>
          <w:instrText xml:space="preserve"> PAGEREF _Toc478465465 \h </w:instrText>
        </w:r>
        <w:r w:rsidR="003F3214">
          <w:rPr>
            <w:webHidden/>
          </w:rPr>
        </w:r>
        <w:r w:rsidR="003F3214">
          <w:rPr>
            <w:webHidden/>
          </w:rPr>
          <w:fldChar w:fldCharType="separate"/>
        </w:r>
        <w:r w:rsidR="00B22208">
          <w:rPr>
            <w:webHidden/>
          </w:rPr>
          <w:t>39</w:t>
        </w:r>
        <w:r w:rsidR="003F3214">
          <w:rPr>
            <w:webHidden/>
          </w:rPr>
          <w:fldChar w:fldCharType="end"/>
        </w:r>
      </w:hyperlink>
    </w:p>
    <w:p w14:paraId="52CD725A" w14:textId="77777777" w:rsidR="003F3214" w:rsidRDefault="00EB59C9">
      <w:pPr>
        <w:pStyle w:val="TOC2"/>
        <w:rPr>
          <w:rFonts w:asciiTheme="minorHAnsi" w:eastAsiaTheme="minorEastAsia" w:hAnsiTheme="minorHAnsi" w:cstheme="minorBidi"/>
          <w:szCs w:val="22"/>
          <w:lang w:val="en-AU" w:eastAsia="en-AU"/>
        </w:rPr>
      </w:pPr>
      <w:hyperlink w:anchor="_Toc478465466" w:history="1">
        <w:r w:rsidR="003F3214" w:rsidRPr="00EC7D1F">
          <w:rPr>
            <w:rStyle w:val="Hyperlink"/>
          </w:rPr>
          <w:t>5.1</w:t>
        </w:r>
        <w:r w:rsidR="003F3214">
          <w:rPr>
            <w:rFonts w:asciiTheme="minorHAnsi" w:eastAsiaTheme="minorEastAsia" w:hAnsiTheme="minorHAnsi" w:cstheme="minorBidi"/>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_Toc478465466 \h </w:instrText>
        </w:r>
        <w:r w:rsidR="003F3214">
          <w:rPr>
            <w:webHidden/>
          </w:rPr>
        </w:r>
        <w:r w:rsidR="003F3214">
          <w:rPr>
            <w:webHidden/>
          </w:rPr>
          <w:fldChar w:fldCharType="separate"/>
        </w:r>
        <w:r w:rsidR="00B22208">
          <w:rPr>
            <w:webHidden/>
          </w:rPr>
          <w:t>39</w:t>
        </w:r>
        <w:r w:rsidR="003F3214">
          <w:rPr>
            <w:webHidden/>
          </w:rPr>
          <w:fldChar w:fldCharType="end"/>
        </w:r>
      </w:hyperlink>
    </w:p>
    <w:p w14:paraId="2EA8D2E5" w14:textId="77777777" w:rsidR="003F3214" w:rsidRDefault="00EB59C9">
      <w:pPr>
        <w:pStyle w:val="TOC2"/>
        <w:rPr>
          <w:rFonts w:asciiTheme="minorHAnsi" w:eastAsiaTheme="minorEastAsia" w:hAnsiTheme="minorHAnsi" w:cstheme="minorBidi"/>
          <w:szCs w:val="22"/>
          <w:lang w:val="en-AU" w:eastAsia="en-AU"/>
        </w:rPr>
      </w:pPr>
      <w:hyperlink w:anchor="_Toc478465467" w:history="1">
        <w:r w:rsidR="003F3214" w:rsidRPr="00EC7D1F">
          <w:rPr>
            <w:rStyle w:val="Hyperlink"/>
          </w:rPr>
          <w:t>5.2</w:t>
        </w:r>
        <w:r w:rsidR="003F3214">
          <w:rPr>
            <w:rFonts w:asciiTheme="minorHAnsi" w:eastAsiaTheme="minorEastAsia" w:hAnsiTheme="minorHAnsi" w:cstheme="minorBidi"/>
            <w:szCs w:val="22"/>
            <w:lang w:val="en-AU" w:eastAsia="en-AU"/>
          </w:rPr>
          <w:tab/>
        </w:r>
        <w:r w:rsidR="003F3214" w:rsidRPr="00EC7D1F">
          <w:rPr>
            <w:rStyle w:val="Hyperlink"/>
          </w:rPr>
          <w:t>The preferred direction for change</w:t>
        </w:r>
        <w:r w:rsidR="003F3214">
          <w:rPr>
            <w:webHidden/>
          </w:rPr>
          <w:tab/>
        </w:r>
        <w:r w:rsidR="003F3214">
          <w:rPr>
            <w:webHidden/>
          </w:rPr>
          <w:fldChar w:fldCharType="begin"/>
        </w:r>
        <w:r w:rsidR="003F3214">
          <w:rPr>
            <w:webHidden/>
          </w:rPr>
          <w:instrText xml:space="preserve"> PAGEREF _Toc478465467 \h </w:instrText>
        </w:r>
        <w:r w:rsidR="003F3214">
          <w:rPr>
            <w:webHidden/>
          </w:rPr>
        </w:r>
        <w:r w:rsidR="003F3214">
          <w:rPr>
            <w:webHidden/>
          </w:rPr>
          <w:fldChar w:fldCharType="separate"/>
        </w:r>
        <w:r w:rsidR="00B22208">
          <w:rPr>
            <w:webHidden/>
          </w:rPr>
          <w:t>39</w:t>
        </w:r>
        <w:r w:rsidR="003F3214">
          <w:rPr>
            <w:webHidden/>
          </w:rPr>
          <w:fldChar w:fldCharType="end"/>
        </w:r>
      </w:hyperlink>
    </w:p>
    <w:p w14:paraId="1DAF59C2" w14:textId="77777777" w:rsidR="003F3214" w:rsidRDefault="00EB59C9">
      <w:pPr>
        <w:pStyle w:val="TOC2"/>
        <w:rPr>
          <w:rFonts w:asciiTheme="minorHAnsi" w:eastAsiaTheme="minorEastAsia" w:hAnsiTheme="minorHAnsi" w:cstheme="minorBidi"/>
          <w:szCs w:val="22"/>
          <w:lang w:val="en-AU" w:eastAsia="en-AU"/>
        </w:rPr>
      </w:pPr>
      <w:hyperlink w:anchor="_Toc478465468" w:history="1">
        <w:r w:rsidR="003F3214" w:rsidRPr="00EC7D1F">
          <w:rPr>
            <w:rStyle w:val="Hyperlink"/>
          </w:rPr>
          <w:t>5.3</w:t>
        </w:r>
        <w:r w:rsidR="003F3214">
          <w:rPr>
            <w:rFonts w:asciiTheme="minorHAnsi" w:eastAsiaTheme="minorEastAsia" w:hAnsiTheme="minorHAnsi" w:cstheme="minorBidi"/>
            <w:szCs w:val="22"/>
            <w:lang w:val="en-AU" w:eastAsia="en-AU"/>
          </w:rPr>
          <w:tab/>
        </w:r>
        <w:r w:rsidR="003F3214" w:rsidRPr="00EC7D1F">
          <w:rPr>
            <w:rStyle w:val="Hyperlink"/>
          </w:rPr>
          <w:t>Submissions and Commission’s consideration</w:t>
        </w:r>
        <w:r w:rsidR="003F3214">
          <w:rPr>
            <w:webHidden/>
          </w:rPr>
          <w:tab/>
        </w:r>
        <w:r w:rsidR="003F3214">
          <w:rPr>
            <w:webHidden/>
          </w:rPr>
          <w:fldChar w:fldCharType="begin"/>
        </w:r>
        <w:r w:rsidR="003F3214">
          <w:rPr>
            <w:webHidden/>
          </w:rPr>
          <w:instrText xml:space="preserve"> PAGEREF _Toc478465468 \h </w:instrText>
        </w:r>
        <w:r w:rsidR="003F3214">
          <w:rPr>
            <w:webHidden/>
          </w:rPr>
        </w:r>
        <w:r w:rsidR="003F3214">
          <w:rPr>
            <w:webHidden/>
          </w:rPr>
          <w:fldChar w:fldCharType="separate"/>
        </w:r>
        <w:r w:rsidR="00B22208">
          <w:rPr>
            <w:webHidden/>
          </w:rPr>
          <w:t>44</w:t>
        </w:r>
        <w:r w:rsidR="003F3214">
          <w:rPr>
            <w:webHidden/>
          </w:rPr>
          <w:fldChar w:fldCharType="end"/>
        </w:r>
      </w:hyperlink>
    </w:p>
    <w:p w14:paraId="6B1334A7" w14:textId="77777777" w:rsidR="003F3214" w:rsidRDefault="00EB59C9">
      <w:pPr>
        <w:pStyle w:val="TOC2"/>
        <w:rPr>
          <w:rFonts w:asciiTheme="minorHAnsi" w:eastAsiaTheme="minorEastAsia" w:hAnsiTheme="minorHAnsi" w:cstheme="minorBidi"/>
          <w:szCs w:val="22"/>
          <w:lang w:val="en-AU" w:eastAsia="en-AU"/>
        </w:rPr>
      </w:pPr>
      <w:hyperlink w:anchor="_Toc478465469" w:history="1">
        <w:r w:rsidR="003F3214" w:rsidRPr="00EC7D1F">
          <w:rPr>
            <w:rStyle w:val="Hyperlink"/>
          </w:rPr>
          <w:t>5.4</w:t>
        </w:r>
        <w:r w:rsidR="003F3214">
          <w:rPr>
            <w:rFonts w:asciiTheme="minorHAnsi" w:eastAsiaTheme="minorEastAsia" w:hAnsiTheme="minorHAnsi" w:cstheme="minorBidi"/>
            <w:szCs w:val="22"/>
            <w:lang w:val="en-AU" w:eastAsia="en-AU"/>
          </w:rPr>
          <w:tab/>
        </w:r>
        <w:r w:rsidR="003F3214" w:rsidRPr="00EC7D1F">
          <w:rPr>
            <w:rStyle w:val="Hyperlink"/>
          </w:rPr>
          <w:t>Form of regulation – a price cap or a revenue cap</w:t>
        </w:r>
        <w:r w:rsidR="003F3214">
          <w:rPr>
            <w:webHidden/>
          </w:rPr>
          <w:tab/>
        </w:r>
        <w:r w:rsidR="003F3214">
          <w:rPr>
            <w:webHidden/>
          </w:rPr>
          <w:fldChar w:fldCharType="begin"/>
        </w:r>
        <w:r w:rsidR="003F3214">
          <w:rPr>
            <w:webHidden/>
          </w:rPr>
          <w:instrText xml:space="preserve"> PAGEREF _Toc478465469 \h </w:instrText>
        </w:r>
        <w:r w:rsidR="003F3214">
          <w:rPr>
            <w:webHidden/>
          </w:rPr>
        </w:r>
        <w:r w:rsidR="003F3214">
          <w:rPr>
            <w:webHidden/>
          </w:rPr>
          <w:fldChar w:fldCharType="separate"/>
        </w:r>
        <w:r w:rsidR="00B22208">
          <w:rPr>
            <w:webHidden/>
          </w:rPr>
          <w:t>49</w:t>
        </w:r>
        <w:r w:rsidR="003F3214">
          <w:rPr>
            <w:webHidden/>
          </w:rPr>
          <w:fldChar w:fldCharType="end"/>
        </w:r>
      </w:hyperlink>
    </w:p>
    <w:p w14:paraId="5AD7C7F4" w14:textId="77777777" w:rsidR="003F3214" w:rsidRDefault="00EB59C9">
      <w:pPr>
        <w:pStyle w:val="TOC1"/>
        <w:rPr>
          <w:rFonts w:asciiTheme="minorHAnsi" w:eastAsiaTheme="minorEastAsia" w:hAnsiTheme="minorHAnsi" w:cstheme="minorBidi"/>
          <w:b w:val="0"/>
          <w:szCs w:val="22"/>
          <w:lang w:val="en-AU" w:eastAsia="en-AU"/>
        </w:rPr>
      </w:pPr>
      <w:hyperlink w:anchor="_Toc478465470" w:history="1">
        <w:r w:rsidR="003F3214" w:rsidRPr="00EC7D1F">
          <w:rPr>
            <w:rStyle w:val="Hyperlink"/>
          </w:rPr>
          <w:t>6</w:t>
        </w:r>
        <w:r w:rsidR="003F3214">
          <w:rPr>
            <w:rFonts w:asciiTheme="minorHAnsi" w:eastAsiaTheme="minorEastAsia" w:hAnsiTheme="minorHAnsi" w:cstheme="minorBidi"/>
            <w:b w:val="0"/>
            <w:szCs w:val="22"/>
            <w:lang w:val="en-AU" w:eastAsia="en-AU"/>
          </w:rPr>
          <w:tab/>
        </w:r>
        <w:r w:rsidR="003F3214" w:rsidRPr="00EC7D1F">
          <w:rPr>
            <w:rStyle w:val="Hyperlink"/>
          </w:rPr>
          <w:t>Assessment of the current sewerage services tariff structure</w:t>
        </w:r>
        <w:r w:rsidR="003F3214">
          <w:rPr>
            <w:webHidden/>
          </w:rPr>
          <w:tab/>
        </w:r>
        <w:r w:rsidR="003F3214">
          <w:rPr>
            <w:webHidden/>
          </w:rPr>
          <w:fldChar w:fldCharType="begin"/>
        </w:r>
        <w:r w:rsidR="003F3214">
          <w:rPr>
            <w:webHidden/>
          </w:rPr>
          <w:instrText xml:space="preserve"> PAGEREF _Toc478465470 \h </w:instrText>
        </w:r>
        <w:r w:rsidR="003F3214">
          <w:rPr>
            <w:webHidden/>
          </w:rPr>
        </w:r>
        <w:r w:rsidR="003F3214">
          <w:rPr>
            <w:webHidden/>
          </w:rPr>
          <w:fldChar w:fldCharType="separate"/>
        </w:r>
        <w:r w:rsidR="00B22208">
          <w:rPr>
            <w:webHidden/>
          </w:rPr>
          <w:t>51</w:t>
        </w:r>
        <w:r w:rsidR="003F3214">
          <w:rPr>
            <w:webHidden/>
          </w:rPr>
          <w:fldChar w:fldCharType="end"/>
        </w:r>
      </w:hyperlink>
    </w:p>
    <w:p w14:paraId="231EBB07" w14:textId="77777777" w:rsidR="003F3214" w:rsidRDefault="00EB59C9">
      <w:pPr>
        <w:pStyle w:val="TOC2"/>
        <w:rPr>
          <w:rFonts w:asciiTheme="minorHAnsi" w:eastAsiaTheme="minorEastAsia" w:hAnsiTheme="minorHAnsi" w:cstheme="minorBidi"/>
          <w:szCs w:val="22"/>
          <w:lang w:val="en-AU" w:eastAsia="en-AU"/>
        </w:rPr>
      </w:pPr>
      <w:hyperlink w:anchor="_Toc478465471" w:history="1">
        <w:r w:rsidR="003F3214" w:rsidRPr="00EC7D1F">
          <w:rPr>
            <w:rStyle w:val="Hyperlink"/>
          </w:rPr>
          <w:t>6.1</w:t>
        </w:r>
        <w:r w:rsidR="003F3214">
          <w:rPr>
            <w:rFonts w:asciiTheme="minorHAnsi" w:eastAsiaTheme="minorEastAsia" w:hAnsiTheme="minorHAnsi" w:cstheme="minorBidi"/>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_Toc478465471 \h </w:instrText>
        </w:r>
        <w:r w:rsidR="003F3214">
          <w:rPr>
            <w:webHidden/>
          </w:rPr>
        </w:r>
        <w:r w:rsidR="003F3214">
          <w:rPr>
            <w:webHidden/>
          </w:rPr>
          <w:fldChar w:fldCharType="separate"/>
        </w:r>
        <w:r w:rsidR="00B22208">
          <w:rPr>
            <w:webHidden/>
          </w:rPr>
          <w:t>51</w:t>
        </w:r>
        <w:r w:rsidR="003F3214">
          <w:rPr>
            <w:webHidden/>
          </w:rPr>
          <w:fldChar w:fldCharType="end"/>
        </w:r>
      </w:hyperlink>
    </w:p>
    <w:p w14:paraId="6CF9B7C8" w14:textId="77777777" w:rsidR="003F3214" w:rsidRDefault="00EB59C9">
      <w:pPr>
        <w:pStyle w:val="TOC2"/>
        <w:rPr>
          <w:rFonts w:asciiTheme="minorHAnsi" w:eastAsiaTheme="minorEastAsia" w:hAnsiTheme="minorHAnsi" w:cstheme="minorBidi"/>
          <w:szCs w:val="22"/>
          <w:lang w:val="en-AU" w:eastAsia="en-AU"/>
        </w:rPr>
      </w:pPr>
      <w:hyperlink w:anchor="_Toc478465472" w:history="1">
        <w:r w:rsidR="003F3214" w:rsidRPr="00EC7D1F">
          <w:rPr>
            <w:rStyle w:val="Hyperlink"/>
          </w:rPr>
          <w:t>6.2</w:t>
        </w:r>
        <w:r w:rsidR="003F3214">
          <w:rPr>
            <w:rFonts w:asciiTheme="minorHAnsi" w:eastAsiaTheme="minorEastAsia" w:hAnsiTheme="minorHAnsi" w:cstheme="minorBidi"/>
            <w:szCs w:val="22"/>
            <w:lang w:val="en-AU" w:eastAsia="en-AU"/>
          </w:rPr>
          <w:tab/>
        </w:r>
        <w:r w:rsidR="003F3214" w:rsidRPr="00EC7D1F">
          <w:rPr>
            <w:rStyle w:val="Hyperlink"/>
          </w:rPr>
          <w:t>Current tariff structure: supply charges only</w:t>
        </w:r>
        <w:r w:rsidR="003F3214">
          <w:rPr>
            <w:webHidden/>
          </w:rPr>
          <w:tab/>
        </w:r>
        <w:r w:rsidR="003F3214">
          <w:rPr>
            <w:webHidden/>
          </w:rPr>
          <w:fldChar w:fldCharType="begin"/>
        </w:r>
        <w:r w:rsidR="003F3214">
          <w:rPr>
            <w:webHidden/>
          </w:rPr>
          <w:instrText xml:space="preserve"> PAGEREF _Toc478465472 \h </w:instrText>
        </w:r>
        <w:r w:rsidR="003F3214">
          <w:rPr>
            <w:webHidden/>
          </w:rPr>
        </w:r>
        <w:r w:rsidR="003F3214">
          <w:rPr>
            <w:webHidden/>
          </w:rPr>
          <w:fldChar w:fldCharType="separate"/>
        </w:r>
        <w:r w:rsidR="00B22208">
          <w:rPr>
            <w:webHidden/>
          </w:rPr>
          <w:t>51</w:t>
        </w:r>
        <w:r w:rsidR="003F3214">
          <w:rPr>
            <w:webHidden/>
          </w:rPr>
          <w:fldChar w:fldCharType="end"/>
        </w:r>
      </w:hyperlink>
    </w:p>
    <w:p w14:paraId="430C755B" w14:textId="77777777" w:rsidR="003F3214" w:rsidRDefault="00EB59C9">
      <w:pPr>
        <w:pStyle w:val="TOC2"/>
        <w:rPr>
          <w:rFonts w:asciiTheme="minorHAnsi" w:eastAsiaTheme="minorEastAsia" w:hAnsiTheme="minorHAnsi" w:cstheme="minorBidi"/>
          <w:szCs w:val="22"/>
          <w:lang w:val="en-AU" w:eastAsia="en-AU"/>
        </w:rPr>
      </w:pPr>
      <w:hyperlink w:anchor="_Toc478465473" w:history="1">
        <w:r w:rsidR="003F3214" w:rsidRPr="00EC7D1F">
          <w:rPr>
            <w:rStyle w:val="Hyperlink"/>
          </w:rPr>
          <w:t>6.3</w:t>
        </w:r>
        <w:r w:rsidR="003F3214">
          <w:rPr>
            <w:rFonts w:asciiTheme="minorHAnsi" w:eastAsiaTheme="minorEastAsia" w:hAnsiTheme="minorHAnsi" w:cstheme="minorBidi"/>
            <w:szCs w:val="22"/>
            <w:lang w:val="en-AU" w:eastAsia="en-AU"/>
          </w:rPr>
          <w:tab/>
        </w:r>
        <w:r w:rsidR="003F3214" w:rsidRPr="00EC7D1F">
          <w:rPr>
            <w:rStyle w:val="Hyperlink"/>
          </w:rPr>
          <w:t>Efficient use</w:t>
        </w:r>
        <w:r w:rsidR="003F3214">
          <w:rPr>
            <w:webHidden/>
          </w:rPr>
          <w:tab/>
        </w:r>
        <w:r w:rsidR="003F3214">
          <w:rPr>
            <w:webHidden/>
          </w:rPr>
          <w:fldChar w:fldCharType="begin"/>
        </w:r>
        <w:r w:rsidR="003F3214">
          <w:rPr>
            <w:webHidden/>
          </w:rPr>
          <w:instrText xml:space="preserve"> PAGEREF _Toc478465473 \h </w:instrText>
        </w:r>
        <w:r w:rsidR="003F3214">
          <w:rPr>
            <w:webHidden/>
          </w:rPr>
        </w:r>
        <w:r w:rsidR="003F3214">
          <w:rPr>
            <w:webHidden/>
          </w:rPr>
          <w:fldChar w:fldCharType="separate"/>
        </w:r>
        <w:r w:rsidR="00B22208">
          <w:rPr>
            <w:webHidden/>
          </w:rPr>
          <w:t>51</w:t>
        </w:r>
        <w:r w:rsidR="003F3214">
          <w:rPr>
            <w:webHidden/>
          </w:rPr>
          <w:fldChar w:fldCharType="end"/>
        </w:r>
      </w:hyperlink>
    </w:p>
    <w:p w14:paraId="4FFF0E15" w14:textId="77777777" w:rsidR="003F3214" w:rsidRDefault="00EB59C9">
      <w:pPr>
        <w:pStyle w:val="TOC2"/>
        <w:rPr>
          <w:rFonts w:asciiTheme="minorHAnsi" w:eastAsiaTheme="minorEastAsia" w:hAnsiTheme="minorHAnsi" w:cstheme="minorBidi"/>
          <w:szCs w:val="22"/>
          <w:lang w:val="en-AU" w:eastAsia="en-AU"/>
        </w:rPr>
      </w:pPr>
      <w:hyperlink w:anchor="_Toc478465474" w:history="1">
        <w:r w:rsidR="003F3214" w:rsidRPr="00EC7D1F">
          <w:rPr>
            <w:rStyle w:val="Hyperlink"/>
          </w:rPr>
          <w:t>6.4</w:t>
        </w:r>
        <w:r w:rsidR="003F3214">
          <w:rPr>
            <w:rFonts w:asciiTheme="minorHAnsi" w:eastAsiaTheme="minorEastAsia" w:hAnsiTheme="minorHAnsi" w:cstheme="minorBidi"/>
            <w:szCs w:val="22"/>
            <w:lang w:val="en-AU" w:eastAsia="en-AU"/>
          </w:rPr>
          <w:tab/>
        </w:r>
        <w:r w:rsidR="003F3214" w:rsidRPr="00EC7D1F">
          <w:rPr>
            <w:rStyle w:val="Hyperlink"/>
          </w:rPr>
          <w:t>Efficient cost recovery</w:t>
        </w:r>
        <w:r w:rsidR="003F3214">
          <w:rPr>
            <w:webHidden/>
          </w:rPr>
          <w:tab/>
        </w:r>
        <w:r w:rsidR="003F3214">
          <w:rPr>
            <w:webHidden/>
          </w:rPr>
          <w:fldChar w:fldCharType="begin"/>
        </w:r>
        <w:r w:rsidR="003F3214">
          <w:rPr>
            <w:webHidden/>
          </w:rPr>
          <w:instrText xml:space="preserve"> PAGEREF _Toc478465474 \h </w:instrText>
        </w:r>
        <w:r w:rsidR="003F3214">
          <w:rPr>
            <w:webHidden/>
          </w:rPr>
        </w:r>
        <w:r w:rsidR="003F3214">
          <w:rPr>
            <w:webHidden/>
          </w:rPr>
          <w:fldChar w:fldCharType="separate"/>
        </w:r>
        <w:r w:rsidR="00B22208">
          <w:rPr>
            <w:webHidden/>
          </w:rPr>
          <w:t>52</w:t>
        </w:r>
        <w:r w:rsidR="003F3214">
          <w:rPr>
            <w:webHidden/>
          </w:rPr>
          <w:fldChar w:fldCharType="end"/>
        </w:r>
      </w:hyperlink>
    </w:p>
    <w:p w14:paraId="06CC164C" w14:textId="77777777" w:rsidR="003F3214" w:rsidRDefault="00EB59C9">
      <w:pPr>
        <w:pStyle w:val="TOC2"/>
        <w:rPr>
          <w:rFonts w:asciiTheme="minorHAnsi" w:eastAsiaTheme="minorEastAsia" w:hAnsiTheme="minorHAnsi" w:cstheme="minorBidi"/>
          <w:szCs w:val="22"/>
          <w:lang w:val="en-AU" w:eastAsia="en-AU"/>
        </w:rPr>
      </w:pPr>
      <w:hyperlink w:anchor="_Toc478465475" w:history="1">
        <w:r w:rsidR="003F3214" w:rsidRPr="00EC7D1F">
          <w:rPr>
            <w:rStyle w:val="Hyperlink"/>
          </w:rPr>
          <w:t>6.5</w:t>
        </w:r>
        <w:r w:rsidR="003F3214">
          <w:rPr>
            <w:rFonts w:asciiTheme="minorHAnsi" w:eastAsiaTheme="minorEastAsia" w:hAnsiTheme="minorHAnsi" w:cstheme="minorBidi"/>
            <w:szCs w:val="22"/>
            <w:lang w:val="en-AU" w:eastAsia="en-AU"/>
          </w:rPr>
          <w:tab/>
        </w:r>
        <w:r w:rsidR="003F3214" w:rsidRPr="00EC7D1F">
          <w:rPr>
            <w:rStyle w:val="Hyperlink"/>
          </w:rPr>
          <w:t>Environmental considerations</w:t>
        </w:r>
        <w:r w:rsidR="003F3214">
          <w:rPr>
            <w:webHidden/>
          </w:rPr>
          <w:tab/>
        </w:r>
        <w:r w:rsidR="003F3214">
          <w:rPr>
            <w:webHidden/>
          </w:rPr>
          <w:fldChar w:fldCharType="begin"/>
        </w:r>
        <w:r w:rsidR="003F3214">
          <w:rPr>
            <w:webHidden/>
          </w:rPr>
          <w:instrText xml:space="preserve"> PAGEREF _Toc478465475 \h </w:instrText>
        </w:r>
        <w:r w:rsidR="003F3214">
          <w:rPr>
            <w:webHidden/>
          </w:rPr>
        </w:r>
        <w:r w:rsidR="003F3214">
          <w:rPr>
            <w:webHidden/>
          </w:rPr>
          <w:fldChar w:fldCharType="separate"/>
        </w:r>
        <w:r w:rsidR="00B22208">
          <w:rPr>
            <w:webHidden/>
          </w:rPr>
          <w:t>52</w:t>
        </w:r>
        <w:r w:rsidR="003F3214">
          <w:rPr>
            <w:webHidden/>
          </w:rPr>
          <w:fldChar w:fldCharType="end"/>
        </w:r>
      </w:hyperlink>
    </w:p>
    <w:p w14:paraId="5E800CD7" w14:textId="77777777" w:rsidR="003F3214" w:rsidRDefault="00EB59C9">
      <w:pPr>
        <w:pStyle w:val="TOC2"/>
        <w:rPr>
          <w:rFonts w:asciiTheme="minorHAnsi" w:eastAsiaTheme="minorEastAsia" w:hAnsiTheme="minorHAnsi" w:cstheme="minorBidi"/>
          <w:szCs w:val="22"/>
          <w:lang w:val="en-AU" w:eastAsia="en-AU"/>
        </w:rPr>
      </w:pPr>
      <w:hyperlink w:anchor="_Toc478465476" w:history="1">
        <w:r w:rsidR="003F3214" w:rsidRPr="00EC7D1F">
          <w:rPr>
            <w:rStyle w:val="Hyperlink"/>
          </w:rPr>
          <w:t>6.6</w:t>
        </w:r>
        <w:r w:rsidR="003F3214">
          <w:rPr>
            <w:rFonts w:asciiTheme="minorHAnsi" w:eastAsiaTheme="minorEastAsia" w:hAnsiTheme="minorHAnsi" w:cstheme="minorBidi"/>
            <w:szCs w:val="22"/>
            <w:lang w:val="en-AU" w:eastAsia="en-AU"/>
          </w:rPr>
          <w:tab/>
        </w:r>
        <w:r w:rsidR="003F3214" w:rsidRPr="00EC7D1F">
          <w:rPr>
            <w:rStyle w:val="Hyperlink"/>
          </w:rPr>
          <w:t>Community impact – fairness for water conservation investments</w:t>
        </w:r>
        <w:r w:rsidR="003F3214">
          <w:rPr>
            <w:webHidden/>
          </w:rPr>
          <w:tab/>
        </w:r>
        <w:r w:rsidR="003F3214">
          <w:rPr>
            <w:webHidden/>
          </w:rPr>
          <w:fldChar w:fldCharType="begin"/>
        </w:r>
        <w:r w:rsidR="003F3214">
          <w:rPr>
            <w:webHidden/>
          </w:rPr>
          <w:instrText xml:space="preserve"> PAGEREF _Toc478465476 \h </w:instrText>
        </w:r>
        <w:r w:rsidR="003F3214">
          <w:rPr>
            <w:webHidden/>
          </w:rPr>
        </w:r>
        <w:r w:rsidR="003F3214">
          <w:rPr>
            <w:webHidden/>
          </w:rPr>
          <w:fldChar w:fldCharType="separate"/>
        </w:r>
        <w:r w:rsidR="00B22208">
          <w:rPr>
            <w:webHidden/>
          </w:rPr>
          <w:t>53</w:t>
        </w:r>
        <w:r w:rsidR="003F3214">
          <w:rPr>
            <w:webHidden/>
          </w:rPr>
          <w:fldChar w:fldCharType="end"/>
        </w:r>
      </w:hyperlink>
    </w:p>
    <w:p w14:paraId="71798CE3" w14:textId="77777777" w:rsidR="003F3214" w:rsidRDefault="00EB59C9">
      <w:pPr>
        <w:pStyle w:val="TOC2"/>
        <w:rPr>
          <w:rFonts w:asciiTheme="minorHAnsi" w:eastAsiaTheme="minorEastAsia" w:hAnsiTheme="minorHAnsi" w:cstheme="minorBidi"/>
          <w:szCs w:val="22"/>
          <w:lang w:val="en-AU" w:eastAsia="en-AU"/>
        </w:rPr>
      </w:pPr>
      <w:hyperlink w:anchor="_Toc478465477" w:history="1">
        <w:r w:rsidR="003F3214" w:rsidRPr="00EC7D1F">
          <w:rPr>
            <w:rStyle w:val="Hyperlink"/>
          </w:rPr>
          <w:t>6.7</w:t>
        </w:r>
        <w:r w:rsidR="003F3214">
          <w:rPr>
            <w:rFonts w:asciiTheme="minorHAnsi" w:eastAsiaTheme="minorEastAsia" w:hAnsiTheme="minorHAnsi" w:cstheme="minorBidi"/>
            <w:szCs w:val="22"/>
            <w:lang w:val="en-AU" w:eastAsia="en-AU"/>
          </w:rPr>
          <w:tab/>
        </w:r>
        <w:r w:rsidR="003F3214" w:rsidRPr="00EC7D1F">
          <w:rPr>
            <w:rStyle w:val="Hyperlink"/>
          </w:rPr>
          <w:t>Community impact – equity for low-income households</w:t>
        </w:r>
        <w:r w:rsidR="003F3214">
          <w:rPr>
            <w:webHidden/>
          </w:rPr>
          <w:tab/>
        </w:r>
        <w:r w:rsidR="003F3214">
          <w:rPr>
            <w:webHidden/>
          </w:rPr>
          <w:fldChar w:fldCharType="begin"/>
        </w:r>
        <w:r w:rsidR="003F3214">
          <w:rPr>
            <w:webHidden/>
          </w:rPr>
          <w:instrText xml:space="preserve"> PAGEREF _Toc478465477 \h </w:instrText>
        </w:r>
        <w:r w:rsidR="003F3214">
          <w:rPr>
            <w:webHidden/>
          </w:rPr>
        </w:r>
        <w:r w:rsidR="003F3214">
          <w:rPr>
            <w:webHidden/>
          </w:rPr>
          <w:fldChar w:fldCharType="separate"/>
        </w:r>
        <w:r w:rsidR="00B22208">
          <w:rPr>
            <w:webHidden/>
          </w:rPr>
          <w:t>53</w:t>
        </w:r>
        <w:r w:rsidR="003F3214">
          <w:rPr>
            <w:webHidden/>
          </w:rPr>
          <w:fldChar w:fldCharType="end"/>
        </w:r>
      </w:hyperlink>
    </w:p>
    <w:p w14:paraId="5F1ED92C" w14:textId="77777777" w:rsidR="003F3214" w:rsidRDefault="00EB59C9">
      <w:pPr>
        <w:pStyle w:val="TOC2"/>
        <w:rPr>
          <w:rFonts w:asciiTheme="minorHAnsi" w:eastAsiaTheme="minorEastAsia" w:hAnsiTheme="minorHAnsi" w:cstheme="minorBidi"/>
          <w:szCs w:val="22"/>
          <w:lang w:val="en-AU" w:eastAsia="en-AU"/>
        </w:rPr>
      </w:pPr>
      <w:hyperlink w:anchor="_Toc478465478" w:history="1">
        <w:r w:rsidR="003F3214" w:rsidRPr="00EC7D1F">
          <w:rPr>
            <w:rStyle w:val="Hyperlink"/>
          </w:rPr>
          <w:t>6.8</w:t>
        </w:r>
        <w:r w:rsidR="003F3214">
          <w:rPr>
            <w:rFonts w:asciiTheme="minorHAnsi" w:eastAsiaTheme="minorEastAsia" w:hAnsiTheme="minorHAnsi" w:cstheme="minorBidi"/>
            <w:szCs w:val="22"/>
            <w:lang w:val="en-AU" w:eastAsia="en-AU"/>
          </w:rPr>
          <w:tab/>
        </w:r>
        <w:r w:rsidR="003F3214" w:rsidRPr="00EC7D1F">
          <w:rPr>
            <w:rStyle w:val="Hyperlink"/>
          </w:rPr>
          <w:t>Simplicity</w:t>
        </w:r>
        <w:r w:rsidR="003F3214">
          <w:rPr>
            <w:webHidden/>
          </w:rPr>
          <w:tab/>
        </w:r>
        <w:r w:rsidR="003F3214">
          <w:rPr>
            <w:webHidden/>
          </w:rPr>
          <w:fldChar w:fldCharType="begin"/>
        </w:r>
        <w:r w:rsidR="003F3214">
          <w:rPr>
            <w:webHidden/>
          </w:rPr>
          <w:instrText xml:space="preserve"> PAGEREF _Toc478465478 \h </w:instrText>
        </w:r>
        <w:r w:rsidR="003F3214">
          <w:rPr>
            <w:webHidden/>
          </w:rPr>
        </w:r>
        <w:r w:rsidR="003F3214">
          <w:rPr>
            <w:webHidden/>
          </w:rPr>
          <w:fldChar w:fldCharType="separate"/>
        </w:r>
        <w:r w:rsidR="00B22208">
          <w:rPr>
            <w:webHidden/>
          </w:rPr>
          <w:t>53</w:t>
        </w:r>
        <w:r w:rsidR="003F3214">
          <w:rPr>
            <w:webHidden/>
          </w:rPr>
          <w:fldChar w:fldCharType="end"/>
        </w:r>
      </w:hyperlink>
    </w:p>
    <w:p w14:paraId="3D7E5ECD" w14:textId="77777777" w:rsidR="003F3214" w:rsidRDefault="00EB59C9">
      <w:pPr>
        <w:pStyle w:val="TOC2"/>
        <w:rPr>
          <w:rFonts w:asciiTheme="minorHAnsi" w:eastAsiaTheme="minorEastAsia" w:hAnsiTheme="minorHAnsi" w:cstheme="minorBidi"/>
          <w:szCs w:val="22"/>
          <w:lang w:val="en-AU" w:eastAsia="en-AU"/>
        </w:rPr>
      </w:pPr>
      <w:hyperlink w:anchor="_Toc478465479" w:history="1">
        <w:r w:rsidR="003F3214" w:rsidRPr="00EC7D1F">
          <w:rPr>
            <w:rStyle w:val="Hyperlink"/>
          </w:rPr>
          <w:t>6.9</w:t>
        </w:r>
        <w:r w:rsidR="003F3214">
          <w:rPr>
            <w:rFonts w:asciiTheme="minorHAnsi" w:eastAsiaTheme="minorEastAsia" w:hAnsiTheme="minorHAnsi" w:cstheme="minorBidi"/>
            <w:szCs w:val="22"/>
            <w:lang w:val="en-AU" w:eastAsia="en-AU"/>
          </w:rPr>
          <w:tab/>
        </w:r>
        <w:r w:rsidR="003F3214" w:rsidRPr="00EC7D1F">
          <w:rPr>
            <w:rStyle w:val="Hyperlink"/>
          </w:rPr>
          <w:t>Transparency</w:t>
        </w:r>
        <w:r w:rsidR="003F3214">
          <w:rPr>
            <w:webHidden/>
          </w:rPr>
          <w:tab/>
        </w:r>
        <w:r w:rsidR="003F3214">
          <w:rPr>
            <w:webHidden/>
          </w:rPr>
          <w:fldChar w:fldCharType="begin"/>
        </w:r>
        <w:r w:rsidR="003F3214">
          <w:rPr>
            <w:webHidden/>
          </w:rPr>
          <w:instrText xml:space="preserve"> PAGEREF _Toc478465479 \h </w:instrText>
        </w:r>
        <w:r w:rsidR="003F3214">
          <w:rPr>
            <w:webHidden/>
          </w:rPr>
        </w:r>
        <w:r w:rsidR="003F3214">
          <w:rPr>
            <w:webHidden/>
          </w:rPr>
          <w:fldChar w:fldCharType="separate"/>
        </w:r>
        <w:r w:rsidR="00B22208">
          <w:rPr>
            <w:webHidden/>
          </w:rPr>
          <w:t>53</w:t>
        </w:r>
        <w:r w:rsidR="003F3214">
          <w:rPr>
            <w:webHidden/>
          </w:rPr>
          <w:fldChar w:fldCharType="end"/>
        </w:r>
      </w:hyperlink>
    </w:p>
    <w:p w14:paraId="3407B4F1" w14:textId="77777777" w:rsidR="003F3214" w:rsidRDefault="00EB59C9">
      <w:pPr>
        <w:pStyle w:val="TOC2"/>
        <w:rPr>
          <w:rFonts w:asciiTheme="minorHAnsi" w:eastAsiaTheme="minorEastAsia" w:hAnsiTheme="minorHAnsi" w:cstheme="minorBidi"/>
          <w:szCs w:val="22"/>
          <w:lang w:val="en-AU" w:eastAsia="en-AU"/>
        </w:rPr>
      </w:pPr>
      <w:hyperlink w:anchor="_Toc478465480" w:history="1">
        <w:r w:rsidR="003F3214" w:rsidRPr="00EC7D1F">
          <w:rPr>
            <w:rStyle w:val="Hyperlink"/>
          </w:rPr>
          <w:t>6.10</w:t>
        </w:r>
        <w:r w:rsidR="003F3214">
          <w:rPr>
            <w:rFonts w:asciiTheme="minorHAnsi" w:eastAsiaTheme="minorEastAsia" w:hAnsiTheme="minorHAnsi" w:cstheme="minorBidi"/>
            <w:szCs w:val="22"/>
            <w:lang w:val="en-AU" w:eastAsia="en-AU"/>
          </w:rPr>
          <w:tab/>
        </w:r>
        <w:r w:rsidR="003F3214" w:rsidRPr="00EC7D1F">
          <w:rPr>
            <w:rStyle w:val="Hyperlink"/>
          </w:rPr>
          <w:t>Summary assessment</w:t>
        </w:r>
        <w:r w:rsidR="003F3214">
          <w:rPr>
            <w:webHidden/>
          </w:rPr>
          <w:tab/>
        </w:r>
        <w:r w:rsidR="003F3214">
          <w:rPr>
            <w:webHidden/>
          </w:rPr>
          <w:fldChar w:fldCharType="begin"/>
        </w:r>
        <w:r w:rsidR="003F3214">
          <w:rPr>
            <w:webHidden/>
          </w:rPr>
          <w:instrText xml:space="preserve"> PAGEREF _Toc478465480 \h </w:instrText>
        </w:r>
        <w:r w:rsidR="003F3214">
          <w:rPr>
            <w:webHidden/>
          </w:rPr>
        </w:r>
        <w:r w:rsidR="003F3214">
          <w:rPr>
            <w:webHidden/>
          </w:rPr>
          <w:fldChar w:fldCharType="separate"/>
        </w:r>
        <w:r w:rsidR="00B22208">
          <w:rPr>
            <w:webHidden/>
          </w:rPr>
          <w:t>53</w:t>
        </w:r>
        <w:r w:rsidR="003F3214">
          <w:rPr>
            <w:webHidden/>
          </w:rPr>
          <w:fldChar w:fldCharType="end"/>
        </w:r>
      </w:hyperlink>
    </w:p>
    <w:p w14:paraId="26B54C8E" w14:textId="77777777" w:rsidR="003F3214" w:rsidRDefault="00EB59C9">
      <w:pPr>
        <w:pStyle w:val="TOC2"/>
        <w:rPr>
          <w:rFonts w:asciiTheme="minorHAnsi" w:eastAsiaTheme="minorEastAsia" w:hAnsiTheme="minorHAnsi" w:cstheme="minorBidi"/>
          <w:szCs w:val="22"/>
          <w:lang w:val="en-AU" w:eastAsia="en-AU"/>
        </w:rPr>
      </w:pPr>
      <w:hyperlink w:anchor="_Toc478465481" w:history="1">
        <w:r w:rsidR="003F3214" w:rsidRPr="00EC7D1F">
          <w:rPr>
            <w:rStyle w:val="Hyperlink"/>
          </w:rPr>
          <w:t>6.11</w:t>
        </w:r>
        <w:r w:rsidR="003F3214">
          <w:rPr>
            <w:rFonts w:asciiTheme="minorHAnsi" w:eastAsiaTheme="minorEastAsia" w:hAnsiTheme="minorHAnsi" w:cstheme="minorBidi"/>
            <w:szCs w:val="22"/>
            <w:lang w:val="en-AU" w:eastAsia="en-AU"/>
          </w:rPr>
          <w:tab/>
        </w:r>
        <w:r w:rsidR="003F3214" w:rsidRPr="00EC7D1F">
          <w:rPr>
            <w:rStyle w:val="Hyperlink"/>
          </w:rPr>
          <w:t>Submissions and Commission’s consideration</w:t>
        </w:r>
        <w:r w:rsidR="003F3214">
          <w:rPr>
            <w:webHidden/>
          </w:rPr>
          <w:tab/>
        </w:r>
        <w:r w:rsidR="003F3214">
          <w:rPr>
            <w:webHidden/>
          </w:rPr>
          <w:fldChar w:fldCharType="begin"/>
        </w:r>
        <w:r w:rsidR="003F3214">
          <w:rPr>
            <w:webHidden/>
          </w:rPr>
          <w:instrText xml:space="preserve"> PAGEREF _Toc478465481 \h </w:instrText>
        </w:r>
        <w:r w:rsidR="003F3214">
          <w:rPr>
            <w:webHidden/>
          </w:rPr>
        </w:r>
        <w:r w:rsidR="003F3214">
          <w:rPr>
            <w:webHidden/>
          </w:rPr>
          <w:fldChar w:fldCharType="separate"/>
        </w:r>
        <w:r w:rsidR="00B22208">
          <w:rPr>
            <w:webHidden/>
          </w:rPr>
          <w:t>54</w:t>
        </w:r>
        <w:r w:rsidR="003F3214">
          <w:rPr>
            <w:webHidden/>
          </w:rPr>
          <w:fldChar w:fldCharType="end"/>
        </w:r>
      </w:hyperlink>
    </w:p>
    <w:p w14:paraId="1446B69C" w14:textId="77777777" w:rsidR="003F3214" w:rsidRDefault="00EB59C9">
      <w:pPr>
        <w:pStyle w:val="TOC2"/>
        <w:rPr>
          <w:rFonts w:asciiTheme="minorHAnsi" w:eastAsiaTheme="minorEastAsia" w:hAnsiTheme="minorHAnsi" w:cstheme="minorBidi"/>
          <w:szCs w:val="22"/>
          <w:lang w:val="en-AU" w:eastAsia="en-AU"/>
        </w:rPr>
      </w:pPr>
      <w:hyperlink w:anchor="_Toc478465482" w:history="1">
        <w:r w:rsidR="003F3214" w:rsidRPr="00EC7D1F">
          <w:rPr>
            <w:rStyle w:val="Hyperlink"/>
          </w:rPr>
          <w:t>6.12</w:t>
        </w:r>
        <w:r w:rsidR="003F3214">
          <w:rPr>
            <w:rFonts w:asciiTheme="minorHAnsi" w:eastAsiaTheme="minorEastAsia" w:hAnsiTheme="minorHAnsi" w:cstheme="minorBidi"/>
            <w:szCs w:val="22"/>
            <w:lang w:val="en-AU" w:eastAsia="en-AU"/>
          </w:rPr>
          <w:tab/>
        </w:r>
        <w:r w:rsidR="003F3214" w:rsidRPr="00EC7D1F">
          <w:rPr>
            <w:rStyle w:val="Hyperlink"/>
          </w:rPr>
          <w:t>Trade waste pricing</w:t>
        </w:r>
        <w:r w:rsidR="003F3214">
          <w:rPr>
            <w:webHidden/>
          </w:rPr>
          <w:tab/>
        </w:r>
        <w:r w:rsidR="003F3214">
          <w:rPr>
            <w:webHidden/>
          </w:rPr>
          <w:fldChar w:fldCharType="begin"/>
        </w:r>
        <w:r w:rsidR="003F3214">
          <w:rPr>
            <w:webHidden/>
          </w:rPr>
          <w:instrText xml:space="preserve"> PAGEREF _Toc478465482 \h </w:instrText>
        </w:r>
        <w:r w:rsidR="003F3214">
          <w:rPr>
            <w:webHidden/>
          </w:rPr>
        </w:r>
        <w:r w:rsidR="003F3214">
          <w:rPr>
            <w:webHidden/>
          </w:rPr>
          <w:fldChar w:fldCharType="separate"/>
        </w:r>
        <w:r w:rsidR="00B22208">
          <w:rPr>
            <w:webHidden/>
          </w:rPr>
          <w:t>56</w:t>
        </w:r>
        <w:r w:rsidR="003F3214">
          <w:rPr>
            <w:webHidden/>
          </w:rPr>
          <w:fldChar w:fldCharType="end"/>
        </w:r>
      </w:hyperlink>
    </w:p>
    <w:p w14:paraId="77D83C09" w14:textId="77777777" w:rsidR="003F3214" w:rsidRDefault="00EB59C9">
      <w:pPr>
        <w:pStyle w:val="TOC1"/>
        <w:rPr>
          <w:rFonts w:asciiTheme="minorHAnsi" w:eastAsiaTheme="minorEastAsia" w:hAnsiTheme="minorHAnsi" w:cstheme="minorBidi"/>
          <w:b w:val="0"/>
          <w:szCs w:val="22"/>
          <w:lang w:val="en-AU" w:eastAsia="en-AU"/>
        </w:rPr>
      </w:pPr>
      <w:hyperlink w:anchor="_Toc478465483" w:history="1">
        <w:r w:rsidR="003F3214" w:rsidRPr="00EC7D1F">
          <w:rPr>
            <w:rStyle w:val="Hyperlink"/>
          </w:rPr>
          <w:t>7</w:t>
        </w:r>
        <w:r w:rsidR="003F3214">
          <w:rPr>
            <w:rFonts w:asciiTheme="minorHAnsi" w:eastAsiaTheme="minorEastAsia" w:hAnsiTheme="minorHAnsi" w:cstheme="minorBidi"/>
            <w:b w:val="0"/>
            <w:szCs w:val="22"/>
            <w:lang w:val="en-AU" w:eastAsia="en-AU"/>
          </w:rPr>
          <w:tab/>
        </w:r>
        <w:r w:rsidR="003F3214" w:rsidRPr="00EC7D1F">
          <w:rPr>
            <w:rStyle w:val="Hyperlink"/>
          </w:rPr>
          <w:t>Next steps</w:t>
        </w:r>
        <w:r w:rsidR="003F3214">
          <w:rPr>
            <w:webHidden/>
          </w:rPr>
          <w:tab/>
        </w:r>
        <w:r w:rsidR="003F3214">
          <w:rPr>
            <w:webHidden/>
          </w:rPr>
          <w:fldChar w:fldCharType="begin"/>
        </w:r>
        <w:r w:rsidR="003F3214">
          <w:rPr>
            <w:webHidden/>
          </w:rPr>
          <w:instrText xml:space="preserve"> PAGEREF _Toc478465483 \h </w:instrText>
        </w:r>
        <w:r w:rsidR="003F3214">
          <w:rPr>
            <w:webHidden/>
          </w:rPr>
        </w:r>
        <w:r w:rsidR="003F3214">
          <w:rPr>
            <w:webHidden/>
          </w:rPr>
          <w:fldChar w:fldCharType="separate"/>
        </w:r>
        <w:r w:rsidR="00B22208">
          <w:rPr>
            <w:webHidden/>
          </w:rPr>
          <w:t>59</w:t>
        </w:r>
        <w:r w:rsidR="003F3214">
          <w:rPr>
            <w:webHidden/>
          </w:rPr>
          <w:fldChar w:fldCharType="end"/>
        </w:r>
      </w:hyperlink>
    </w:p>
    <w:p w14:paraId="3D841C68" w14:textId="77777777" w:rsidR="003F3214" w:rsidRDefault="00EB59C9">
      <w:pPr>
        <w:pStyle w:val="TOC2"/>
        <w:rPr>
          <w:rFonts w:asciiTheme="minorHAnsi" w:eastAsiaTheme="minorEastAsia" w:hAnsiTheme="minorHAnsi" w:cstheme="minorBidi"/>
          <w:szCs w:val="22"/>
          <w:lang w:val="en-AU" w:eastAsia="en-AU"/>
        </w:rPr>
      </w:pPr>
      <w:hyperlink w:anchor="_Toc478465484" w:history="1">
        <w:r w:rsidR="003F3214" w:rsidRPr="00EC7D1F">
          <w:rPr>
            <w:rStyle w:val="Hyperlink"/>
          </w:rPr>
          <w:t>7.1</w:t>
        </w:r>
        <w:r w:rsidR="003F3214">
          <w:rPr>
            <w:rFonts w:asciiTheme="minorHAnsi" w:eastAsiaTheme="minorEastAsia" w:hAnsiTheme="minorHAnsi" w:cstheme="minorBidi"/>
            <w:szCs w:val="22"/>
            <w:lang w:val="en-AU" w:eastAsia="en-AU"/>
          </w:rPr>
          <w:tab/>
        </w:r>
        <w:r w:rsidR="003F3214" w:rsidRPr="00EC7D1F">
          <w:rPr>
            <w:rStyle w:val="Hyperlink"/>
          </w:rPr>
          <w:t>Introduction</w:t>
        </w:r>
        <w:r w:rsidR="003F3214">
          <w:rPr>
            <w:webHidden/>
          </w:rPr>
          <w:tab/>
        </w:r>
        <w:r w:rsidR="003F3214">
          <w:rPr>
            <w:webHidden/>
          </w:rPr>
          <w:fldChar w:fldCharType="begin"/>
        </w:r>
        <w:r w:rsidR="003F3214">
          <w:rPr>
            <w:webHidden/>
          </w:rPr>
          <w:instrText xml:space="preserve"> PAGEREF _Toc478465484 \h </w:instrText>
        </w:r>
        <w:r w:rsidR="003F3214">
          <w:rPr>
            <w:webHidden/>
          </w:rPr>
        </w:r>
        <w:r w:rsidR="003F3214">
          <w:rPr>
            <w:webHidden/>
          </w:rPr>
          <w:fldChar w:fldCharType="separate"/>
        </w:r>
        <w:r w:rsidR="00B22208">
          <w:rPr>
            <w:webHidden/>
          </w:rPr>
          <w:t>59</w:t>
        </w:r>
        <w:r w:rsidR="003F3214">
          <w:rPr>
            <w:webHidden/>
          </w:rPr>
          <w:fldChar w:fldCharType="end"/>
        </w:r>
      </w:hyperlink>
    </w:p>
    <w:p w14:paraId="1042946E" w14:textId="77777777" w:rsidR="003F3214" w:rsidRDefault="00EB59C9">
      <w:pPr>
        <w:pStyle w:val="TOC2"/>
        <w:rPr>
          <w:rFonts w:asciiTheme="minorHAnsi" w:eastAsiaTheme="minorEastAsia" w:hAnsiTheme="minorHAnsi" w:cstheme="minorBidi"/>
          <w:szCs w:val="22"/>
          <w:lang w:val="en-AU" w:eastAsia="en-AU"/>
        </w:rPr>
      </w:pPr>
      <w:hyperlink w:anchor="_Toc478465485" w:history="1">
        <w:r w:rsidR="003F3214" w:rsidRPr="00EC7D1F">
          <w:rPr>
            <w:rStyle w:val="Hyperlink"/>
          </w:rPr>
          <w:t>7.2</w:t>
        </w:r>
        <w:r w:rsidR="003F3214">
          <w:rPr>
            <w:rFonts w:asciiTheme="minorHAnsi" w:eastAsiaTheme="minorEastAsia" w:hAnsiTheme="minorHAnsi" w:cstheme="minorBidi"/>
            <w:szCs w:val="22"/>
            <w:lang w:val="en-AU" w:eastAsia="en-AU"/>
          </w:rPr>
          <w:tab/>
        </w:r>
        <w:r w:rsidR="003F3214" w:rsidRPr="00EC7D1F">
          <w:rPr>
            <w:rStyle w:val="Hyperlink"/>
          </w:rPr>
          <w:t>Approach and timing</w:t>
        </w:r>
        <w:r w:rsidR="003F3214">
          <w:rPr>
            <w:webHidden/>
          </w:rPr>
          <w:tab/>
        </w:r>
        <w:r w:rsidR="003F3214">
          <w:rPr>
            <w:webHidden/>
          </w:rPr>
          <w:fldChar w:fldCharType="begin"/>
        </w:r>
        <w:r w:rsidR="003F3214">
          <w:rPr>
            <w:webHidden/>
          </w:rPr>
          <w:instrText xml:space="preserve"> PAGEREF _Toc478465485 \h </w:instrText>
        </w:r>
        <w:r w:rsidR="003F3214">
          <w:rPr>
            <w:webHidden/>
          </w:rPr>
        </w:r>
        <w:r w:rsidR="003F3214">
          <w:rPr>
            <w:webHidden/>
          </w:rPr>
          <w:fldChar w:fldCharType="separate"/>
        </w:r>
        <w:r w:rsidR="00B22208">
          <w:rPr>
            <w:webHidden/>
          </w:rPr>
          <w:t>59</w:t>
        </w:r>
        <w:r w:rsidR="003F3214">
          <w:rPr>
            <w:webHidden/>
          </w:rPr>
          <w:fldChar w:fldCharType="end"/>
        </w:r>
      </w:hyperlink>
    </w:p>
    <w:p w14:paraId="654500D9" w14:textId="77777777" w:rsidR="003F3214" w:rsidRDefault="00EB59C9">
      <w:pPr>
        <w:pStyle w:val="TOC2"/>
        <w:rPr>
          <w:rFonts w:asciiTheme="minorHAnsi" w:eastAsiaTheme="minorEastAsia" w:hAnsiTheme="minorHAnsi" w:cstheme="minorBidi"/>
          <w:szCs w:val="22"/>
          <w:lang w:val="en-AU" w:eastAsia="en-AU"/>
        </w:rPr>
      </w:pPr>
      <w:hyperlink w:anchor="_Toc478465486" w:history="1">
        <w:r w:rsidR="003F3214" w:rsidRPr="00EC7D1F">
          <w:rPr>
            <w:rStyle w:val="Hyperlink"/>
          </w:rPr>
          <w:t>7.3</w:t>
        </w:r>
        <w:r w:rsidR="003F3214">
          <w:rPr>
            <w:rFonts w:asciiTheme="minorHAnsi" w:eastAsiaTheme="minorEastAsia" w:hAnsiTheme="minorHAnsi" w:cstheme="minorBidi"/>
            <w:szCs w:val="22"/>
            <w:lang w:val="en-AU" w:eastAsia="en-AU"/>
          </w:rPr>
          <w:tab/>
        </w:r>
        <w:r w:rsidR="003F3214" w:rsidRPr="00EC7D1F">
          <w:rPr>
            <w:rStyle w:val="Hyperlink"/>
          </w:rPr>
          <w:t>Responsibility for tariff structure and prices</w:t>
        </w:r>
        <w:r w:rsidR="003F3214">
          <w:rPr>
            <w:webHidden/>
          </w:rPr>
          <w:tab/>
        </w:r>
        <w:r w:rsidR="003F3214">
          <w:rPr>
            <w:webHidden/>
          </w:rPr>
          <w:fldChar w:fldCharType="begin"/>
        </w:r>
        <w:r w:rsidR="003F3214">
          <w:rPr>
            <w:webHidden/>
          </w:rPr>
          <w:instrText xml:space="preserve"> PAGEREF _Toc478465486 \h </w:instrText>
        </w:r>
        <w:r w:rsidR="003F3214">
          <w:rPr>
            <w:webHidden/>
          </w:rPr>
        </w:r>
        <w:r w:rsidR="003F3214">
          <w:rPr>
            <w:webHidden/>
          </w:rPr>
          <w:fldChar w:fldCharType="separate"/>
        </w:r>
        <w:r w:rsidR="00B22208">
          <w:rPr>
            <w:webHidden/>
          </w:rPr>
          <w:t>59</w:t>
        </w:r>
        <w:r w:rsidR="003F3214">
          <w:rPr>
            <w:webHidden/>
          </w:rPr>
          <w:fldChar w:fldCharType="end"/>
        </w:r>
      </w:hyperlink>
    </w:p>
    <w:p w14:paraId="233E6A36" w14:textId="77777777" w:rsidR="003F3214" w:rsidRDefault="00EB59C9">
      <w:pPr>
        <w:pStyle w:val="TOC2"/>
        <w:rPr>
          <w:rFonts w:asciiTheme="minorHAnsi" w:eastAsiaTheme="minorEastAsia" w:hAnsiTheme="minorHAnsi" w:cstheme="minorBidi"/>
          <w:szCs w:val="22"/>
          <w:lang w:val="en-AU" w:eastAsia="en-AU"/>
        </w:rPr>
      </w:pPr>
      <w:hyperlink w:anchor="_Toc478465487" w:history="1">
        <w:r w:rsidR="003F3214" w:rsidRPr="00EC7D1F">
          <w:rPr>
            <w:rStyle w:val="Hyperlink"/>
          </w:rPr>
          <w:t>7.4</w:t>
        </w:r>
        <w:r w:rsidR="003F3214">
          <w:rPr>
            <w:rFonts w:asciiTheme="minorHAnsi" w:eastAsiaTheme="minorEastAsia" w:hAnsiTheme="minorHAnsi" w:cstheme="minorBidi"/>
            <w:szCs w:val="22"/>
            <w:lang w:val="en-AU" w:eastAsia="en-AU"/>
          </w:rPr>
          <w:tab/>
        </w:r>
        <w:r w:rsidR="003F3214" w:rsidRPr="00EC7D1F">
          <w:rPr>
            <w:rStyle w:val="Hyperlink"/>
          </w:rPr>
          <w:t>Timeline for the water and sewerage services price investigation</w:t>
        </w:r>
        <w:r w:rsidR="003F3214">
          <w:rPr>
            <w:webHidden/>
          </w:rPr>
          <w:tab/>
        </w:r>
        <w:r w:rsidR="003F3214">
          <w:rPr>
            <w:webHidden/>
          </w:rPr>
          <w:fldChar w:fldCharType="begin"/>
        </w:r>
        <w:r w:rsidR="003F3214">
          <w:rPr>
            <w:webHidden/>
          </w:rPr>
          <w:instrText xml:space="preserve"> PAGEREF _Toc478465487 \h </w:instrText>
        </w:r>
        <w:r w:rsidR="003F3214">
          <w:rPr>
            <w:webHidden/>
          </w:rPr>
        </w:r>
        <w:r w:rsidR="003F3214">
          <w:rPr>
            <w:webHidden/>
          </w:rPr>
          <w:fldChar w:fldCharType="separate"/>
        </w:r>
        <w:r w:rsidR="00B22208">
          <w:rPr>
            <w:webHidden/>
          </w:rPr>
          <w:t>60</w:t>
        </w:r>
        <w:r w:rsidR="003F3214">
          <w:rPr>
            <w:webHidden/>
          </w:rPr>
          <w:fldChar w:fldCharType="end"/>
        </w:r>
      </w:hyperlink>
    </w:p>
    <w:p w14:paraId="2C7D6A3E" w14:textId="77777777" w:rsidR="003F3214" w:rsidRDefault="00EB59C9">
      <w:pPr>
        <w:pStyle w:val="TOC1"/>
        <w:tabs>
          <w:tab w:val="left" w:pos="1800"/>
        </w:tabs>
        <w:rPr>
          <w:rFonts w:asciiTheme="minorHAnsi" w:eastAsiaTheme="minorEastAsia" w:hAnsiTheme="minorHAnsi" w:cstheme="minorBidi"/>
          <w:b w:val="0"/>
          <w:szCs w:val="22"/>
          <w:lang w:val="en-AU" w:eastAsia="en-AU"/>
        </w:rPr>
      </w:pPr>
      <w:hyperlink w:anchor="_Toc478465488" w:history="1">
        <w:r w:rsidR="003F3214" w:rsidRPr="00EC7D1F">
          <w:rPr>
            <w:rStyle w:val="Hyperlink"/>
          </w:rPr>
          <w:t>Appendix 1</w:t>
        </w:r>
        <w:r w:rsidR="003F3214">
          <w:rPr>
            <w:rFonts w:asciiTheme="minorHAnsi" w:eastAsiaTheme="minorEastAsia" w:hAnsiTheme="minorHAnsi" w:cstheme="minorBidi"/>
            <w:b w:val="0"/>
            <w:szCs w:val="22"/>
            <w:lang w:val="en-AU" w:eastAsia="en-AU"/>
          </w:rPr>
          <w:tab/>
        </w:r>
        <w:r w:rsidR="003F3214" w:rsidRPr="00EC7D1F">
          <w:rPr>
            <w:rStyle w:val="Hyperlink"/>
          </w:rPr>
          <w:t>Summary of submissions and presentations</w:t>
        </w:r>
        <w:r w:rsidR="003F3214">
          <w:rPr>
            <w:webHidden/>
          </w:rPr>
          <w:tab/>
        </w:r>
        <w:r w:rsidR="003F3214">
          <w:rPr>
            <w:webHidden/>
          </w:rPr>
          <w:fldChar w:fldCharType="begin"/>
        </w:r>
        <w:r w:rsidR="003F3214">
          <w:rPr>
            <w:webHidden/>
          </w:rPr>
          <w:instrText xml:space="preserve"> PAGEREF _Toc478465488 \h </w:instrText>
        </w:r>
        <w:r w:rsidR="003F3214">
          <w:rPr>
            <w:webHidden/>
          </w:rPr>
        </w:r>
        <w:r w:rsidR="003F3214">
          <w:rPr>
            <w:webHidden/>
          </w:rPr>
          <w:fldChar w:fldCharType="separate"/>
        </w:r>
        <w:r w:rsidR="00B22208">
          <w:rPr>
            <w:webHidden/>
          </w:rPr>
          <w:t>61</w:t>
        </w:r>
        <w:r w:rsidR="003F3214">
          <w:rPr>
            <w:webHidden/>
          </w:rPr>
          <w:fldChar w:fldCharType="end"/>
        </w:r>
      </w:hyperlink>
    </w:p>
    <w:p w14:paraId="62619115" w14:textId="77777777" w:rsidR="003F3214" w:rsidRDefault="00EB59C9">
      <w:pPr>
        <w:pStyle w:val="TOC2"/>
        <w:rPr>
          <w:rFonts w:asciiTheme="minorHAnsi" w:eastAsiaTheme="minorEastAsia" w:hAnsiTheme="minorHAnsi" w:cstheme="minorBidi"/>
          <w:szCs w:val="22"/>
          <w:lang w:val="en-AU" w:eastAsia="en-AU"/>
        </w:rPr>
      </w:pPr>
      <w:hyperlink w:anchor="_Toc478465489" w:history="1">
        <w:r w:rsidR="003F3214" w:rsidRPr="00EC7D1F">
          <w:rPr>
            <w:rStyle w:val="Hyperlink"/>
          </w:rPr>
          <w:t>Icon Water</w:t>
        </w:r>
        <w:r w:rsidR="003F3214">
          <w:rPr>
            <w:webHidden/>
          </w:rPr>
          <w:tab/>
        </w:r>
        <w:r w:rsidR="003F3214">
          <w:rPr>
            <w:webHidden/>
          </w:rPr>
          <w:fldChar w:fldCharType="begin"/>
        </w:r>
        <w:r w:rsidR="003F3214">
          <w:rPr>
            <w:webHidden/>
          </w:rPr>
          <w:instrText xml:space="preserve"> PAGEREF _Toc478465489 \h </w:instrText>
        </w:r>
        <w:r w:rsidR="003F3214">
          <w:rPr>
            <w:webHidden/>
          </w:rPr>
        </w:r>
        <w:r w:rsidR="003F3214">
          <w:rPr>
            <w:webHidden/>
          </w:rPr>
          <w:fldChar w:fldCharType="separate"/>
        </w:r>
        <w:r w:rsidR="00B22208">
          <w:rPr>
            <w:webHidden/>
          </w:rPr>
          <w:t>61</w:t>
        </w:r>
        <w:r w:rsidR="003F3214">
          <w:rPr>
            <w:webHidden/>
          </w:rPr>
          <w:fldChar w:fldCharType="end"/>
        </w:r>
      </w:hyperlink>
    </w:p>
    <w:p w14:paraId="5407B42F" w14:textId="77777777" w:rsidR="003F3214" w:rsidRDefault="00EB59C9">
      <w:pPr>
        <w:pStyle w:val="TOC2"/>
        <w:rPr>
          <w:rFonts w:asciiTheme="minorHAnsi" w:eastAsiaTheme="minorEastAsia" w:hAnsiTheme="minorHAnsi" w:cstheme="minorBidi"/>
          <w:szCs w:val="22"/>
          <w:lang w:val="en-AU" w:eastAsia="en-AU"/>
        </w:rPr>
      </w:pPr>
      <w:hyperlink w:anchor="_Toc478465490" w:history="1">
        <w:r w:rsidR="003F3214" w:rsidRPr="00EC7D1F">
          <w:rPr>
            <w:rStyle w:val="Hyperlink"/>
          </w:rPr>
          <w:t>ACT Government</w:t>
        </w:r>
        <w:r w:rsidR="003F3214">
          <w:rPr>
            <w:webHidden/>
          </w:rPr>
          <w:tab/>
        </w:r>
        <w:r w:rsidR="003F3214">
          <w:rPr>
            <w:webHidden/>
          </w:rPr>
          <w:fldChar w:fldCharType="begin"/>
        </w:r>
        <w:r w:rsidR="003F3214">
          <w:rPr>
            <w:webHidden/>
          </w:rPr>
          <w:instrText xml:space="preserve"> PAGEREF _Toc478465490 \h </w:instrText>
        </w:r>
        <w:r w:rsidR="003F3214">
          <w:rPr>
            <w:webHidden/>
          </w:rPr>
        </w:r>
        <w:r w:rsidR="003F3214">
          <w:rPr>
            <w:webHidden/>
          </w:rPr>
          <w:fldChar w:fldCharType="separate"/>
        </w:r>
        <w:r w:rsidR="00B22208">
          <w:rPr>
            <w:webHidden/>
          </w:rPr>
          <w:t>65</w:t>
        </w:r>
        <w:r w:rsidR="003F3214">
          <w:rPr>
            <w:webHidden/>
          </w:rPr>
          <w:fldChar w:fldCharType="end"/>
        </w:r>
      </w:hyperlink>
    </w:p>
    <w:p w14:paraId="46985BF2" w14:textId="77777777" w:rsidR="003F3214" w:rsidRDefault="00EB59C9">
      <w:pPr>
        <w:pStyle w:val="TOC2"/>
        <w:rPr>
          <w:rFonts w:asciiTheme="minorHAnsi" w:eastAsiaTheme="minorEastAsia" w:hAnsiTheme="minorHAnsi" w:cstheme="minorBidi"/>
          <w:szCs w:val="22"/>
          <w:lang w:val="en-AU" w:eastAsia="en-AU"/>
        </w:rPr>
      </w:pPr>
      <w:hyperlink w:anchor="_Toc478465491" w:history="1">
        <w:r w:rsidR="003F3214" w:rsidRPr="00EC7D1F">
          <w:rPr>
            <w:rStyle w:val="Hyperlink"/>
          </w:rPr>
          <w:t>ACT Civil and Administrative Tribunal</w:t>
        </w:r>
        <w:r w:rsidR="003F3214">
          <w:rPr>
            <w:webHidden/>
          </w:rPr>
          <w:tab/>
        </w:r>
        <w:r w:rsidR="003F3214">
          <w:rPr>
            <w:webHidden/>
          </w:rPr>
          <w:fldChar w:fldCharType="begin"/>
        </w:r>
        <w:r w:rsidR="003F3214">
          <w:rPr>
            <w:webHidden/>
          </w:rPr>
          <w:instrText xml:space="preserve"> PAGEREF _Toc478465491 \h </w:instrText>
        </w:r>
        <w:r w:rsidR="003F3214">
          <w:rPr>
            <w:webHidden/>
          </w:rPr>
        </w:r>
        <w:r w:rsidR="003F3214">
          <w:rPr>
            <w:webHidden/>
          </w:rPr>
          <w:fldChar w:fldCharType="separate"/>
        </w:r>
        <w:r w:rsidR="00B22208">
          <w:rPr>
            <w:webHidden/>
          </w:rPr>
          <w:t>68</w:t>
        </w:r>
        <w:r w:rsidR="003F3214">
          <w:rPr>
            <w:webHidden/>
          </w:rPr>
          <w:fldChar w:fldCharType="end"/>
        </w:r>
      </w:hyperlink>
    </w:p>
    <w:p w14:paraId="5E0C29D4" w14:textId="77777777" w:rsidR="003F3214" w:rsidRDefault="00EB59C9">
      <w:pPr>
        <w:pStyle w:val="TOC2"/>
        <w:rPr>
          <w:rFonts w:asciiTheme="minorHAnsi" w:eastAsiaTheme="minorEastAsia" w:hAnsiTheme="minorHAnsi" w:cstheme="minorBidi"/>
          <w:szCs w:val="22"/>
          <w:lang w:val="en-AU" w:eastAsia="en-AU"/>
        </w:rPr>
      </w:pPr>
      <w:hyperlink w:anchor="_Toc478465492" w:history="1">
        <w:r w:rsidR="003F3214" w:rsidRPr="00EC7D1F">
          <w:rPr>
            <w:rStyle w:val="Hyperlink"/>
          </w:rPr>
          <w:t>Canberra Business Chamber</w:t>
        </w:r>
        <w:r w:rsidR="003F3214">
          <w:rPr>
            <w:webHidden/>
          </w:rPr>
          <w:tab/>
        </w:r>
        <w:r w:rsidR="003F3214">
          <w:rPr>
            <w:webHidden/>
          </w:rPr>
          <w:fldChar w:fldCharType="begin"/>
        </w:r>
        <w:r w:rsidR="003F3214">
          <w:rPr>
            <w:webHidden/>
          </w:rPr>
          <w:instrText xml:space="preserve"> PAGEREF _Toc478465492 \h </w:instrText>
        </w:r>
        <w:r w:rsidR="003F3214">
          <w:rPr>
            <w:webHidden/>
          </w:rPr>
        </w:r>
        <w:r w:rsidR="003F3214">
          <w:rPr>
            <w:webHidden/>
          </w:rPr>
          <w:fldChar w:fldCharType="separate"/>
        </w:r>
        <w:r w:rsidR="00B22208">
          <w:rPr>
            <w:webHidden/>
          </w:rPr>
          <w:t>69</w:t>
        </w:r>
        <w:r w:rsidR="003F3214">
          <w:rPr>
            <w:webHidden/>
          </w:rPr>
          <w:fldChar w:fldCharType="end"/>
        </w:r>
      </w:hyperlink>
    </w:p>
    <w:p w14:paraId="13AD9ED5" w14:textId="77777777" w:rsidR="003F3214" w:rsidRDefault="00EB59C9">
      <w:pPr>
        <w:pStyle w:val="TOC2"/>
        <w:rPr>
          <w:rFonts w:asciiTheme="minorHAnsi" w:eastAsiaTheme="minorEastAsia" w:hAnsiTheme="minorHAnsi" w:cstheme="minorBidi"/>
          <w:szCs w:val="22"/>
          <w:lang w:val="en-AU" w:eastAsia="en-AU"/>
        </w:rPr>
      </w:pPr>
      <w:hyperlink w:anchor="_Toc478465493" w:history="1">
        <w:r w:rsidR="003F3214" w:rsidRPr="00EC7D1F">
          <w:rPr>
            <w:rStyle w:val="Hyperlink"/>
          </w:rPr>
          <w:t>ClubsACT</w:t>
        </w:r>
        <w:r w:rsidR="003F3214">
          <w:rPr>
            <w:webHidden/>
          </w:rPr>
          <w:tab/>
        </w:r>
        <w:r w:rsidR="003F3214">
          <w:rPr>
            <w:webHidden/>
          </w:rPr>
          <w:fldChar w:fldCharType="begin"/>
        </w:r>
        <w:r w:rsidR="003F3214">
          <w:rPr>
            <w:webHidden/>
          </w:rPr>
          <w:instrText xml:space="preserve"> PAGEREF _Toc478465493 \h </w:instrText>
        </w:r>
        <w:r w:rsidR="003F3214">
          <w:rPr>
            <w:webHidden/>
          </w:rPr>
        </w:r>
        <w:r w:rsidR="003F3214">
          <w:rPr>
            <w:webHidden/>
          </w:rPr>
          <w:fldChar w:fldCharType="separate"/>
        </w:r>
        <w:r w:rsidR="00B22208">
          <w:rPr>
            <w:webHidden/>
          </w:rPr>
          <w:t>69</w:t>
        </w:r>
        <w:r w:rsidR="003F3214">
          <w:rPr>
            <w:webHidden/>
          </w:rPr>
          <w:fldChar w:fldCharType="end"/>
        </w:r>
      </w:hyperlink>
    </w:p>
    <w:p w14:paraId="06B30BAD" w14:textId="77777777" w:rsidR="003F3214" w:rsidRDefault="00EB59C9">
      <w:pPr>
        <w:pStyle w:val="TOC2"/>
        <w:rPr>
          <w:rFonts w:asciiTheme="minorHAnsi" w:eastAsiaTheme="minorEastAsia" w:hAnsiTheme="minorHAnsi" w:cstheme="minorBidi"/>
          <w:szCs w:val="22"/>
          <w:lang w:val="en-AU" w:eastAsia="en-AU"/>
        </w:rPr>
      </w:pPr>
      <w:hyperlink w:anchor="_Toc478465494" w:history="1">
        <w:r w:rsidR="003F3214" w:rsidRPr="00EC7D1F">
          <w:rPr>
            <w:rStyle w:val="Hyperlink"/>
          </w:rPr>
          <w:t>White Label Personal Clouds</w:t>
        </w:r>
        <w:r w:rsidR="003F3214">
          <w:rPr>
            <w:webHidden/>
          </w:rPr>
          <w:tab/>
        </w:r>
        <w:r w:rsidR="003F3214">
          <w:rPr>
            <w:webHidden/>
          </w:rPr>
          <w:fldChar w:fldCharType="begin"/>
        </w:r>
        <w:r w:rsidR="003F3214">
          <w:rPr>
            <w:webHidden/>
          </w:rPr>
          <w:instrText xml:space="preserve"> PAGEREF _Toc478465494 \h </w:instrText>
        </w:r>
        <w:r w:rsidR="003F3214">
          <w:rPr>
            <w:webHidden/>
          </w:rPr>
        </w:r>
        <w:r w:rsidR="003F3214">
          <w:rPr>
            <w:webHidden/>
          </w:rPr>
          <w:fldChar w:fldCharType="separate"/>
        </w:r>
        <w:r w:rsidR="00B22208">
          <w:rPr>
            <w:webHidden/>
          </w:rPr>
          <w:t>70</w:t>
        </w:r>
        <w:r w:rsidR="003F3214">
          <w:rPr>
            <w:webHidden/>
          </w:rPr>
          <w:fldChar w:fldCharType="end"/>
        </w:r>
      </w:hyperlink>
    </w:p>
    <w:p w14:paraId="1DD3AB77" w14:textId="77777777" w:rsidR="003F3214" w:rsidRDefault="00EB59C9">
      <w:pPr>
        <w:pStyle w:val="TOC2"/>
        <w:rPr>
          <w:rFonts w:asciiTheme="minorHAnsi" w:eastAsiaTheme="minorEastAsia" w:hAnsiTheme="minorHAnsi" w:cstheme="minorBidi"/>
          <w:szCs w:val="22"/>
          <w:lang w:val="en-AU" w:eastAsia="en-AU"/>
        </w:rPr>
      </w:pPr>
      <w:hyperlink w:anchor="_Toc478465495" w:history="1">
        <w:r w:rsidR="003F3214" w:rsidRPr="00EC7D1F">
          <w:rPr>
            <w:rStyle w:val="Hyperlink"/>
          </w:rPr>
          <w:t>Federal Golf Club</w:t>
        </w:r>
        <w:r w:rsidR="003F3214">
          <w:rPr>
            <w:webHidden/>
          </w:rPr>
          <w:tab/>
        </w:r>
        <w:r w:rsidR="003F3214">
          <w:rPr>
            <w:webHidden/>
          </w:rPr>
          <w:fldChar w:fldCharType="begin"/>
        </w:r>
        <w:r w:rsidR="003F3214">
          <w:rPr>
            <w:webHidden/>
          </w:rPr>
          <w:instrText xml:space="preserve"> PAGEREF _Toc478465495 \h </w:instrText>
        </w:r>
        <w:r w:rsidR="003F3214">
          <w:rPr>
            <w:webHidden/>
          </w:rPr>
        </w:r>
        <w:r w:rsidR="003F3214">
          <w:rPr>
            <w:webHidden/>
          </w:rPr>
          <w:fldChar w:fldCharType="separate"/>
        </w:r>
        <w:r w:rsidR="00B22208">
          <w:rPr>
            <w:webHidden/>
          </w:rPr>
          <w:t>70</w:t>
        </w:r>
        <w:r w:rsidR="003F3214">
          <w:rPr>
            <w:webHidden/>
          </w:rPr>
          <w:fldChar w:fldCharType="end"/>
        </w:r>
      </w:hyperlink>
    </w:p>
    <w:p w14:paraId="5C65AFDF" w14:textId="77777777" w:rsidR="003F3214" w:rsidRDefault="00EB59C9">
      <w:pPr>
        <w:pStyle w:val="TOC2"/>
        <w:rPr>
          <w:rFonts w:asciiTheme="minorHAnsi" w:eastAsiaTheme="minorEastAsia" w:hAnsiTheme="minorHAnsi" w:cstheme="minorBidi"/>
          <w:szCs w:val="22"/>
          <w:lang w:val="en-AU" w:eastAsia="en-AU"/>
        </w:rPr>
      </w:pPr>
      <w:hyperlink w:anchor="_Toc478465496" w:history="1">
        <w:r w:rsidR="003F3214" w:rsidRPr="00EC7D1F">
          <w:rPr>
            <w:rStyle w:val="Hyperlink"/>
          </w:rPr>
          <w:t>ACT community</w:t>
        </w:r>
        <w:r w:rsidR="003F3214">
          <w:rPr>
            <w:webHidden/>
          </w:rPr>
          <w:tab/>
        </w:r>
        <w:r w:rsidR="003F3214">
          <w:rPr>
            <w:webHidden/>
          </w:rPr>
          <w:fldChar w:fldCharType="begin"/>
        </w:r>
        <w:r w:rsidR="003F3214">
          <w:rPr>
            <w:webHidden/>
          </w:rPr>
          <w:instrText xml:space="preserve"> PAGEREF _Toc478465496 \h </w:instrText>
        </w:r>
        <w:r w:rsidR="003F3214">
          <w:rPr>
            <w:webHidden/>
          </w:rPr>
        </w:r>
        <w:r w:rsidR="003F3214">
          <w:rPr>
            <w:webHidden/>
          </w:rPr>
          <w:fldChar w:fldCharType="separate"/>
        </w:r>
        <w:r w:rsidR="00B22208">
          <w:rPr>
            <w:webHidden/>
          </w:rPr>
          <w:t>71</w:t>
        </w:r>
        <w:r w:rsidR="003F3214">
          <w:rPr>
            <w:webHidden/>
          </w:rPr>
          <w:fldChar w:fldCharType="end"/>
        </w:r>
      </w:hyperlink>
    </w:p>
    <w:p w14:paraId="4418EE54" w14:textId="77777777" w:rsidR="003F3214" w:rsidRDefault="00EB59C9">
      <w:pPr>
        <w:pStyle w:val="TOC2"/>
        <w:rPr>
          <w:rFonts w:asciiTheme="minorHAnsi" w:eastAsiaTheme="minorEastAsia" w:hAnsiTheme="minorHAnsi" w:cstheme="minorBidi"/>
          <w:szCs w:val="22"/>
          <w:lang w:val="en-AU" w:eastAsia="en-AU"/>
        </w:rPr>
      </w:pPr>
      <w:hyperlink w:anchor="_Toc478465497" w:history="1">
        <w:r w:rsidR="003F3214" w:rsidRPr="00EC7D1F">
          <w:rPr>
            <w:rStyle w:val="Hyperlink"/>
          </w:rPr>
          <w:t>Public forum</w:t>
        </w:r>
        <w:r w:rsidR="003F3214">
          <w:rPr>
            <w:webHidden/>
          </w:rPr>
          <w:tab/>
        </w:r>
        <w:r w:rsidR="003F3214">
          <w:rPr>
            <w:webHidden/>
          </w:rPr>
          <w:fldChar w:fldCharType="begin"/>
        </w:r>
        <w:r w:rsidR="003F3214">
          <w:rPr>
            <w:webHidden/>
          </w:rPr>
          <w:instrText xml:space="preserve"> PAGEREF _Toc478465497 \h </w:instrText>
        </w:r>
        <w:r w:rsidR="003F3214">
          <w:rPr>
            <w:webHidden/>
          </w:rPr>
        </w:r>
        <w:r w:rsidR="003F3214">
          <w:rPr>
            <w:webHidden/>
          </w:rPr>
          <w:fldChar w:fldCharType="separate"/>
        </w:r>
        <w:r w:rsidR="00B22208">
          <w:rPr>
            <w:webHidden/>
          </w:rPr>
          <w:t>73</w:t>
        </w:r>
        <w:r w:rsidR="003F3214">
          <w:rPr>
            <w:webHidden/>
          </w:rPr>
          <w:fldChar w:fldCharType="end"/>
        </w:r>
      </w:hyperlink>
    </w:p>
    <w:p w14:paraId="0B7BF113" w14:textId="77777777" w:rsidR="003F3214" w:rsidRDefault="00EB59C9">
      <w:pPr>
        <w:pStyle w:val="TOC1"/>
        <w:tabs>
          <w:tab w:val="left" w:pos="1800"/>
        </w:tabs>
        <w:rPr>
          <w:rFonts w:asciiTheme="minorHAnsi" w:eastAsiaTheme="minorEastAsia" w:hAnsiTheme="minorHAnsi" w:cstheme="minorBidi"/>
          <w:b w:val="0"/>
          <w:szCs w:val="22"/>
          <w:lang w:val="en-AU" w:eastAsia="en-AU"/>
        </w:rPr>
      </w:pPr>
      <w:hyperlink w:anchor="_Toc478465498" w:history="1">
        <w:r w:rsidR="003F3214" w:rsidRPr="00EC7D1F">
          <w:rPr>
            <w:rStyle w:val="Hyperlink"/>
          </w:rPr>
          <w:t>Appendix 2</w:t>
        </w:r>
        <w:r w:rsidR="003F3214">
          <w:rPr>
            <w:rFonts w:asciiTheme="minorHAnsi" w:eastAsiaTheme="minorEastAsia" w:hAnsiTheme="minorHAnsi" w:cstheme="minorBidi"/>
            <w:b w:val="0"/>
            <w:szCs w:val="22"/>
            <w:lang w:val="en-AU" w:eastAsia="en-AU"/>
          </w:rPr>
          <w:tab/>
        </w:r>
        <w:r w:rsidR="003F3214" w:rsidRPr="00EC7D1F">
          <w:rPr>
            <w:rStyle w:val="Hyperlink"/>
          </w:rPr>
          <w:t>National water initiative pricing principles</w:t>
        </w:r>
        <w:r w:rsidR="003F3214">
          <w:rPr>
            <w:webHidden/>
          </w:rPr>
          <w:tab/>
        </w:r>
        <w:r w:rsidR="003F3214">
          <w:rPr>
            <w:webHidden/>
          </w:rPr>
          <w:fldChar w:fldCharType="begin"/>
        </w:r>
        <w:r w:rsidR="003F3214">
          <w:rPr>
            <w:webHidden/>
          </w:rPr>
          <w:instrText xml:space="preserve"> PAGEREF _Toc478465498 \h </w:instrText>
        </w:r>
        <w:r w:rsidR="003F3214">
          <w:rPr>
            <w:webHidden/>
          </w:rPr>
        </w:r>
        <w:r w:rsidR="003F3214">
          <w:rPr>
            <w:webHidden/>
          </w:rPr>
          <w:fldChar w:fldCharType="separate"/>
        </w:r>
        <w:r w:rsidR="00B22208">
          <w:rPr>
            <w:webHidden/>
          </w:rPr>
          <w:t>77</w:t>
        </w:r>
        <w:r w:rsidR="003F3214">
          <w:rPr>
            <w:webHidden/>
          </w:rPr>
          <w:fldChar w:fldCharType="end"/>
        </w:r>
      </w:hyperlink>
    </w:p>
    <w:p w14:paraId="2CDC103D" w14:textId="77777777" w:rsidR="003F3214" w:rsidRDefault="00EB59C9">
      <w:pPr>
        <w:pStyle w:val="TOC1"/>
        <w:tabs>
          <w:tab w:val="left" w:pos="1800"/>
        </w:tabs>
        <w:rPr>
          <w:rFonts w:asciiTheme="minorHAnsi" w:eastAsiaTheme="minorEastAsia" w:hAnsiTheme="minorHAnsi" w:cstheme="minorBidi"/>
          <w:b w:val="0"/>
          <w:szCs w:val="22"/>
          <w:lang w:val="en-AU" w:eastAsia="en-AU"/>
        </w:rPr>
      </w:pPr>
      <w:hyperlink w:anchor="_Toc478465499" w:history="1">
        <w:r w:rsidR="003F3214" w:rsidRPr="00EC7D1F">
          <w:rPr>
            <w:rStyle w:val="Hyperlink"/>
          </w:rPr>
          <w:t>Appendix 3</w:t>
        </w:r>
        <w:r w:rsidR="003F3214">
          <w:rPr>
            <w:rFonts w:asciiTheme="minorHAnsi" w:eastAsiaTheme="minorEastAsia" w:hAnsiTheme="minorHAnsi" w:cstheme="minorBidi"/>
            <w:b w:val="0"/>
            <w:szCs w:val="22"/>
            <w:lang w:val="en-AU" w:eastAsia="en-AU"/>
          </w:rPr>
          <w:tab/>
        </w:r>
        <w:r w:rsidR="003F3214" w:rsidRPr="00EC7D1F">
          <w:rPr>
            <w:rStyle w:val="Hyperlink"/>
          </w:rPr>
          <w:t>Water tariffs in other jurisdictions</w:t>
        </w:r>
        <w:r w:rsidR="003F3214">
          <w:rPr>
            <w:webHidden/>
          </w:rPr>
          <w:tab/>
        </w:r>
        <w:r w:rsidR="003F3214">
          <w:rPr>
            <w:webHidden/>
          </w:rPr>
          <w:fldChar w:fldCharType="begin"/>
        </w:r>
        <w:r w:rsidR="003F3214">
          <w:rPr>
            <w:webHidden/>
          </w:rPr>
          <w:instrText xml:space="preserve"> PAGEREF _Toc478465499 \h </w:instrText>
        </w:r>
        <w:r w:rsidR="003F3214">
          <w:rPr>
            <w:webHidden/>
          </w:rPr>
        </w:r>
        <w:r w:rsidR="003F3214">
          <w:rPr>
            <w:webHidden/>
          </w:rPr>
          <w:fldChar w:fldCharType="separate"/>
        </w:r>
        <w:r w:rsidR="00B22208">
          <w:rPr>
            <w:webHidden/>
          </w:rPr>
          <w:t>79</w:t>
        </w:r>
        <w:r w:rsidR="003F3214">
          <w:rPr>
            <w:webHidden/>
          </w:rPr>
          <w:fldChar w:fldCharType="end"/>
        </w:r>
      </w:hyperlink>
    </w:p>
    <w:p w14:paraId="1167BFB1" w14:textId="3A3E7016" w:rsidR="003F3214" w:rsidRDefault="00EB59C9" w:rsidP="007F53DC">
      <w:pPr>
        <w:pStyle w:val="TOC1"/>
        <w:tabs>
          <w:tab w:val="left" w:pos="1800"/>
        </w:tabs>
        <w:ind w:left="1440" w:hanging="1440"/>
        <w:rPr>
          <w:rFonts w:asciiTheme="minorHAnsi" w:eastAsiaTheme="minorEastAsia" w:hAnsiTheme="minorHAnsi" w:cstheme="minorBidi"/>
          <w:b w:val="0"/>
          <w:szCs w:val="22"/>
          <w:lang w:val="en-AU" w:eastAsia="en-AU"/>
        </w:rPr>
      </w:pPr>
      <w:hyperlink w:anchor="_Toc478465500" w:history="1">
        <w:r w:rsidR="003F3214" w:rsidRPr="00EC7D1F">
          <w:rPr>
            <w:rStyle w:val="Hyperlink"/>
          </w:rPr>
          <w:t>Appendix 4</w:t>
        </w:r>
        <w:r w:rsidR="003F3214">
          <w:rPr>
            <w:rFonts w:asciiTheme="minorHAnsi" w:eastAsiaTheme="minorEastAsia" w:hAnsiTheme="minorHAnsi" w:cstheme="minorBidi"/>
            <w:b w:val="0"/>
            <w:szCs w:val="22"/>
            <w:lang w:val="en-AU" w:eastAsia="en-AU"/>
          </w:rPr>
          <w:tab/>
        </w:r>
        <w:r w:rsidR="003F3214" w:rsidRPr="00EC7D1F">
          <w:rPr>
            <w:rStyle w:val="Hyperlink"/>
          </w:rPr>
          <w:t>Short-run marginal cost or long-run marginal cost as the marginal usage charge</w:t>
        </w:r>
        <w:r w:rsidR="003F3214">
          <w:rPr>
            <w:webHidden/>
          </w:rPr>
          <w:tab/>
        </w:r>
        <w:r w:rsidR="003F3214">
          <w:rPr>
            <w:webHidden/>
          </w:rPr>
          <w:fldChar w:fldCharType="begin"/>
        </w:r>
        <w:r w:rsidR="003F3214">
          <w:rPr>
            <w:webHidden/>
          </w:rPr>
          <w:instrText xml:space="preserve"> PAGEREF _Toc478465500 \h </w:instrText>
        </w:r>
        <w:r w:rsidR="003F3214">
          <w:rPr>
            <w:webHidden/>
          </w:rPr>
        </w:r>
        <w:r w:rsidR="003F3214">
          <w:rPr>
            <w:webHidden/>
          </w:rPr>
          <w:fldChar w:fldCharType="separate"/>
        </w:r>
        <w:r w:rsidR="00B22208">
          <w:rPr>
            <w:webHidden/>
          </w:rPr>
          <w:t>81</w:t>
        </w:r>
        <w:r w:rsidR="003F3214">
          <w:rPr>
            <w:webHidden/>
          </w:rPr>
          <w:fldChar w:fldCharType="end"/>
        </w:r>
      </w:hyperlink>
    </w:p>
    <w:p w14:paraId="5431A05F" w14:textId="77777777" w:rsidR="003F3214" w:rsidRDefault="00EB59C9">
      <w:pPr>
        <w:pStyle w:val="TOC1"/>
        <w:rPr>
          <w:rFonts w:asciiTheme="minorHAnsi" w:eastAsiaTheme="minorEastAsia" w:hAnsiTheme="minorHAnsi" w:cstheme="minorBidi"/>
          <w:b w:val="0"/>
          <w:szCs w:val="22"/>
          <w:lang w:val="en-AU" w:eastAsia="en-AU"/>
        </w:rPr>
      </w:pPr>
      <w:hyperlink w:anchor="_Toc478465501" w:history="1">
        <w:r w:rsidR="003F3214" w:rsidRPr="00EC7D1F">
          <w:rPr>
            <w:rStyle w:val="Hyperlink"/>
          </w:rPr>
          <w:t>Abbreviations and acronyms</w:t>
        </w:r>
        <w:r w:rsidR="003F3214">
          <w:rPr>
            <w:webHidden/>
          </w:rPr>
          <w:tab/>
        </w:r>
        <w:r w:rsidR="003F3214">
          <w:rPr>
            <w:webHidden/>
          </w:rPr>
          <w:fldChar w:fldCharType="begin"/>
        </w:r>
        <w:r w:rsidR="003F3214">
          <w:rPr>
            <w:webHidden/>
          </w:rPr>
          <w:instrText xml:space="preserve"> PAGEREF _Toc478465501 \h </w:instrText>
        </w:r>
        <w:r w:rsidR="003F3214">
          <w:rPr>
            <w:webHidden/>
          </w:rPr>
        </w:r>
        <w:r w:rsidR="003F3214">
          <w:rPr>
            <w:webHidden/>
          </w:rPr>
          <w:fldChar w:fldCharType="separate"/>
        </w:r>
        <w:r w:rsidR="00B22208">
          <w:rPr>
            <w:webHidden/>
          </w:rPr>
          <w:t>85</w:t>
        </w:r>
        <w:r w:rsidR="003F3214">
          <w:rPr>
            <w:webHidden/>
          </w:rPr>
          <w:fldChar w:fldCharType="end"/>
        </w:r>
      </w:hyperlink>
    </w:p>
    <w:p w14:paraId="0EE249C3" w14:textId="77777777" w:rsidR="003F3214" w:rsidRDefault="00EB59C9">
      <w:pPr>
        <w:pStyle w:val="TOC1"/>
        <w:rPr>
          <w:rFonts w:asciiTheme="minorHAnsi" w:eastAsiaTheme="minorEastAsia" w:hAnsiTheme="minorHAnsi" w:cstheme="minorBidi"/>
          <w:b w:val="0"/>
          <w:szCs w:val="22"/>
          <w:lang w:val="en-AU" w:eastAsia="en-AU"/>
        </w:rPr>
      </w:pPr>
      <w:hyperlink w:anchor="_Toc478465502" w:history="1">
        <w:r w:rsidR="003F3214" w:rsidRPr="00EC7D1F">
          <w:rPr>
            <w:rStyle w:val="Hyperlink"/>
          </w:rPr>
          <w:t>References</w:t>
        </w:r>
        <w:r w:rsidR="003F3214">
          <w:rPr>
            <w:webHidden/>
          </w:rPr>
          <w:tab/>
        </w:r>
        <w:r w:rsidR="003F3214">
          <w:rPr>
            <w:webHidden/>
          </w:rPr>
          <w:fldChar w:fldCharType="begin"/>
        </w:r>
        <w:r w:rsidR="003F3214">
          <w:rPr>
            <w:webHidden/>
          </w:rPr>
          <w:instrText xml:space="preserve"> PAGEREF _Toc478465502 \h </w:instrText>
        </w:r>
        <w:r w:rsidR="003F3214">
          <w:rPr>
            <w:webHidden/>
          </w:rPr>
        </w:r>
        <w:r w:rsidR="003F3214">
          <w:rPr>
            <w:webHidden/>
          </w:rPr>
          <w:fldChar w:fldCharType="separate"/>
        </w:r>
        <w:r w:rsidR="00B22208">
          <w:rPr>
            <w:webHidden/>
          </w:rPr>
          <w:t>87</w:t>
        </w:r>
        <w:r w:rsidR="003F3214">
          <w:rPr>
            <w:webHidden/>
          </w:rPr>
          <w:fldChar w:fldCharType="end"/>
        </w:r>
      </w:hyperlink>
    </w:p>
    <w:p w14:paraId="321F4FEC" w14:textId="77777777" w:rsidR="00640A28" w:rsidRDefault="00E62F0C" w:rsidP="007F026C">
      <w:pPr>
        <w:pStyle w:val="References"/>
        <w:rPr>
          <w:rFonts w:ascii="Arial" w:hAnsi="Arial" w:cs="Arial"/>
          <w:b/>
          <w:sz w:val="26"/>
          <w:szCs w:val="26"/>
        </w:rPr>
      </w:pPr>
      <w:r>
        <w:rPr>
          <w:noProof/>
          <w:szCs w:val="40"/>
          <w:lang w:val="en-AU"/>
        </w:rPr>
        <w:fldChar w:fldCharType="end"/>
      </w:r>
    </w:p>
    <w:p w14:paraId="7649E04E" w14:textId="77777777"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t>List of tables</w:t>
      </w:r>
    </w:p>
    <w:p w14:paraId="0380E997" w14:textId="77777777" w:rsidR="00B22208" w:rsidRDefault="00E62F0C">
      <w:pPr>
        <w:pStyle w:val="TableofFigures"/>
        <w:rPr>
          <w:rFonts w:asciiTheme="minorHAnsi" w:eastAsiaTheme="minorEastAsia" w:hAnsiTheme="minorHAnsi" w:cstheme="minorBidi"/>
          <w:szCs w:val="22"/>
          <w:lang w:val="en-AU" w:eastAsia="en-AU"/>
        </w:rPr>
      </w:pPr>
      <w:r>
        <w:rPr>
          <w:lang w:val="en-AU"/>
        </w:rPr>
        <w:fldChar w:fldCharType="begin"/>
      </w:r>
      <w:r w:rsidR="00874740">
        <w:rPr>
          <w:lang w:val="en-AU"/>
        </w:rPr>
        <w:instrText xml:space="preserve"> TOC \h \z \c "Table" </w:instrText>
      </w:r>
      <w:r>
        <w:rPr>
          <w:lang w:val="en-AU"/>
        </w:rPr>
        <w:fldChar w:fldCharType="separate"/>
      </w:r>
      <w:hyperlink w:anchor="_Toc478480705" w:history="1">
        <w:r w:rsidR="00B22208" w:rsidRPr="008762C6">
          <w:rPr>
            <w:rStyle w:val="Hyperlink"/>
          </w:rPr>
          <w:t>Table ES1</w:t>
        </w:r>
        <w:r w:rsidR="00B22208">
          <w:rPr>
            <w:rFonts w:asciiTheme="minorHAnsi" w:eastAsiaTheme="minorEastAsia" w:hAnsiTheme="minorHAnsi" w:cstheme="minorBidi"/>
            <w:szCs w:val="22"/>
            <w:lang w:val="en-AU" w:eastAsia="en-AU"/>
          </w:rPr>
          <w:tab/>
        </w:r>
        <w:r w:rsidR="00B22208" w:rsidRPr="008762C6">
          <w:rPr>
            <w:rStyle w:val="Hyperlink"/>
          </w:rPr>
          <w:t>Regulatory objectives and pricing principles for water and sewerage tariffs</w:t>
        </w:r>
        <w:r w:rsidR="00B22208">
          <w:rPr>
            <w:webHidden/>
          </w:rPr>
          <w:tab/>
        </w:r>
        <w:r w:rsidR="00B22208">
          <w:rPr>
            <w:webHidden/>
          </w:rPr>
          <w:fldChar w:fldCharType="begin"/>
        </w:r>
        <w:r w:rsidR="00B22208">
          <w:rPr>
            <w:webHidden/>
          </w:rPr>
          <w:instrText xml:space="preserve"> PAGEREF _Toc478480705 \h </w:instrText>
        </w:r>
        <w:r w:rsidR="00B22208">
          <w:rPr>
            <w:webHidden/>
          </w:rPr>
        </w:r>
        <w:r w:rsidR="00B22208">
          <w:rPr>
            <w:webHidden/>
          </w:rPr>
          <w:fldChar w:fldCharType="separate"/>
        </w:r>
        <w:r w:rsidR="00B22208">
          <w:rPr>
            <w:webHidden/>
          </w:rPr>
          <w:t>xv</w:t>
        </w:r>
        <w:r w:rsidR="00B22208">
          <w:rPr>
            <w:webHidden/>
          </w:rPr>
          <w:fldChar w:fldCharType="end"/>
        </w:r>
      </w:hyperlink>
    </w:p>
    <w:p w14:paraId="038E0A6B" w14:textId="77777777" w:rsidR="00B22208" w:rsidRDefault="00EB59C9">
      <w:pPr>
        <w:pStyle w:val="TableofFigures"/>
        <w:rPr>
          <w:rFonts w:asciiTheme="minorHAnsi" w:eastAsiaTheme="minorEastAsia" w:hAnsiTheme="minorHAnsi" w:cstheme="minorBidi"/>
          <w:szCs w:val="22"/>
          <w:lang w:val="en-AU" w:eastAsia="en-AU"/>
        </w:rPr>
      </w:pPr>
      <w:hyperlink w:anchor="_Toc478480706" w:history="1">
        <w:r w:rsidR="00B22208" w:rsidRPr="008762C6">
          <w:rPr>
            <w:rStyle w:val="Hyperlink"/>
          </w:rPr>
          <w:t>Table 3.1</w:t>
        </w:r>
        <w:r w:rsidR="00B22208">
          <w:rPr>
            <w:rFonts w:asciiTheme="minorHAnsi" w:eastAsiaTheme="minorEastAsia" w:hAnsiTheme="minorHAnsi" w:cstheme="minorBidi"/>
            <w:szCs w:val="22"/>
            <w:lang w:val="en-AU" w:eastAsia="en-AU"/>
          </w:rPr>
          <w:tab/>
        </w:r>
        <w:r w:rsidR="00B22208" w:rsidRPr="008762C6">
          <w:rPr>
            <w:rStyle w:val="Hyperlink"/>
          </w:rPr>
          <w:t>Regulatory objectives and pricing principles for the water and sewerage services tariffs</w:t>
        </w:r>
        <w:r w:rsidR="00B22208">
          <w:rPr>
            <w:webHidden/>
          </w:rPr>
          <w:tab/>
        </w:r>
        <w:r w:rsidR="00B22208">
          <w:rPr>
            <w:webHidden/>
          </w:rPr>
          <w:fldChar w:fldCharType="begin"/>
        </w:r>
        <w:r w:rsidR="00B22208">
          <w:rPr>
            <w:webHidden/>
          </w:rPr>
          <w:instrText xml:space="preserve"> PAGEREF _Toc478480706 \h </w:instrText>
        </w:r>
        <w:r w:rsidR="00B22208">
          <w:rPr>
            <w:webHidden/>
          </w:rPr>
        </w:r>
        <w:r w:rsidR="00B22208">
          <w:rPr>
            <w:webHidden/>
          </w:rPr>
          <w:fldChar w:fldCharType="separate"/>
        </w:r>
        <w:r w:rsidR="00B22208">
          <w:rPr>
            <w:webHidden/>
          </w:rPr>
          <w:t>16</w:t>
        </w:r>
        <w:r w:rsidR="00B22208">
          <w:rPr>
            <w:webHidden/>
          </w:rPr>
          <w:fldChar w:fldCharType="end"/>
        </w:r>
      </w:hyperlink>
    </w:p>
    <w:p w14:paraId="7B326610" w14:textId="77777777" w:rsidR="00B22208" w:rsidRDefault="00EB59C9">
      <w:pPr>
        <w:pStyle w:val="TableofFigures"/>
        <w:rPr>
          <w:rFonts w:asciiTheme="minorHAnsi" w:eastAsiaTheme="minorEastAsia" w:hAnsiTheme="minorHAnsi" w:cstheme="minorBidi"/>
          <w:szCs w:val="22"/>
          <w:lang w:val="en-AU" w:eastAsia="en-AU"/>
        </w:rPr>
      </w:pPr>
      <w:hyperlink w:anchor="_Toc478480707" w:history="1">
        <w:r w:rsidR="00B22208" w:rsidRPr="008762C6">
          <w:rPr>
            <w:rStyle w:val="Hyperlink"/>
          </w:rPr>
          <w:t>Table 4.1</w:t>
        </w:r>
        <w:r w:rsidR="00B22208">
          <w:rPr>
            <w:rFonts w:asciiTheme="minorHAnsi" w:eastAsiaTheme="minorEastAsia" w:hAnsiTheme="minorHAnsi" w:cstheme="minorBidi"/>
            <w:szCs w:val="22"/>
            <w:lang w:val="en-AU" w:eastAsia="en-AU"/>
          </w:rPr>
          <w:tab/>
        </w:r>
        <w:r w:rsidR="00B22208" w:rsidRPr="008762C6">
          <w:rPr>
            <w:rStyle w:val="Hyperlink"/>
          </w:rPr>
          <w:t>Summary of the current tariff structure</w:t>
        </w:r>
        <w:r w:rsidR="00B22208">
          <w:rPr>
            <w:webHidden/>
          </w:rPr>
          <w:tab/>
        </w:r>
        <w:r w:rsidR="00B22208">
          <w:rPr>
            <w:webHidden/>
          </w:rPr>
          <w:fldChar w:fldCharType="begin"/>
        </w:r>
        <w:r w:rsidR="00B22208">
          <w:rPr>
            <w:webHidden/>
          </w:rPr>
          <w:instrText xml:space="preserve"> PAGEREF _Toc478480707 \h </w:instrText>
        </w:r>
        <w:r w:rsidR="00B22208">
          <w:rPr>
            <w:webHidden/>
          </w:rPr>
        </w:r>
        <w:r w:rsidR="00B22208">
          <w:rPr>
            <w:webHidden/>
          </w:rPr>
          <w:fldChar w:fldCharType="separate"/>
        </w:r>
        <w:r w:rsidR="00B22208">
          <w:rPr>
            <w:webHidden/>
          </w:rPr>
          <w:t>30</w:t>
        </w:r>
        <w:r w:rsidR="00B22208">
          <w:rPr>
            <w:webHidden/>
          </w:rPr>
          <w:fldChar w:fldCharType="end"/>
        </w:r>
      </w:hyperlink>
    </w:p>
    <w:p w14:paraId="578260AF" w14:textId="77777777" w:rsidR="00B22208" w:rsidRDefault="00EB59C9">
      <w:pPr>
        <w:pStyle w:val="TableofFigures"/>
        <w:rPr>
          <w:rFonts w:asciiTheme="minorHAnsi" w:eastAsiaTheme="minorEastAsia" w:hAnsiTheme="minorHAnsi" w:cstheme="minorBidi"/>
          <w:szCs w:val="22"/>
          <w:lang w:val="en-AU" w:eastAsia="en-AU"/>
        </w:rPr>
      </w:pPr>
      <w:hyperlink w:anchor="_Toc478480708" w:history="1">
        <w:r w:rsidR="00B22208" w:rsidRPr="008762C6">
          <w:rPr>
            <w:rStyle w:val="Hyperlink"/>
          </w:rPr>
          <w:t>Table 5.1</w:t>
        </w:r>
        <w:r w:rsidR="00B22208">
          <w:rPr>
            <w:rFonts w:asciiTheme="minorHAnsi" w:eastAsiaTheme="minorEastAsia" w:hAnsiTheme="minorHAnsi" w:cstheme="minorBidi"/>
            <w:szCs w:val="22"/>
            <w:lang w:val="en-AU" w:eastAsia="en-AU"/>
          </w:rPr>
          <w:tab/>
        </w:r>
        <w:r w:rsidR="00B22208" w:rsidRPr="008762C6">
          <w:rPr>
            <w:rStyle w:val="Hyperlink"/>
          </w:rPr>
          <w:t>Summary assessment of proposed direction for changes to water tariff structure</w:t>
        </w:r>
        <w:r w:rsidR="00B22208">
          <w:rPr>
            <w:webHidden/>
          </w:rPr>
          <w:tab/>
        </w:r>
        <w:r w:rsidR="00B22208">
          <w:rPr>
            <w:webHidden/>
          </w:rPr>
          <w:fldChar w:fldCharType="begin"/>
        </w:r>
        <w:r w:rsidR="00B22208">
          <w:rPr>
            <w:webHidden/>
          </w:rPr>
          <w:instrText xml:space="preserve"> PAGEREF _Toc478480708 \h </w:instrText>
        </w:r>
        <w:r w:rsidR="00B22208">
          <w:rPr>
            <w:webHidden/>
          </w:rPr>
        </w:r>
        <w:r w:rsidR="00B22208">
          <w:rPr>
            <w:webHidden/>
          </w:rPr>
          <w:fldChar w:fldCharType="separate"/>
        </w:r>
        <w:r w:rsidR="00B22208">
          <w:rPr>
            <w:webHidden/>
          </w:rPr>
          <w:t>48</w:t>
        </w:r>
        <w:r w:rsidR="00B22208">
          <w:rPr>
            <w:webHidden/>
          </w:rPr>
          <w:fldChar w:fldCharType="end"/>
        </w:r>
      </w:hyperlink>
    </w:p>
    <w:p w14:paraId="3FC3F091" w14:textId="77777777" w:rsidR="00B22208" w:rsidRDefault="00EB59C9">
      <w:pPr>
        <w:pStyle w:val="TableofFigures"/>
        <w:rPr>
          <w:rFonts w:asciiTheme="minorHAnsi" w:eastAsiaTheme="minorEastAsia" w:hAnsiTheme="minorHAnsi" w:cstheme="minorBidi"/>
          <w:szCs w:val="22"/>
          <w:lang w:val="en-AU" w:eastAsia="en-AU"/>
        </w:rPr>
      </w:pPr>
      <w:hyperlink w:anchor="_Toc478480709" w:history="1">
        <w:r w:rsidR="00B22208" w:rsidRPr="008762C6">
          <w:rPr>
            <w:rStyle w:val="Hyperlink"/>
          </w:rPr>
          <w:t>Table 6.1</w:t>
        </w:r>
        <w:r w:rsidR="00B22208">
          <w:rPr>
            <w:rFonts w:asciiTheme="minorHAnsi" w:eastAsiaTheme="minorEastAsia" w:hAnsiTheme="minorHAnsi" w:cstheme="minorBidi"/>
            <w:szCs w:val="22"/>
            <w:lang w:val="en-AU" w:eastAsia="en-AU"/>
          </w:rPr>
          <w:tab/>
        </w:r>
        <w:r w:rsidR="00B22208" w:rsidRPr="008762C6">
          <w:rPr>
            <w:rStyle w:val="Hyperlink"/>
          </w:rPr>
          <w:t>Summary assessment of current sewerage services tariff structure</w:t>
        </w:r>
        <w:r w:rsidR="00B22208">
          <w:rPr>
            <w:webHidden/>
          </w:rPr>
          <w:tab/>
        </w:r>
        <w:r w:rsidR="00B22208">
          <w:rPr>
            <w:webHidden/>
          </w:rPr>
          <w:fldChar w:fldCharType="begin"/>
        </w:r>
        <w:r w:rsidR="00B22208">
          <w:rPr>
            <w:webHidden/>
          </w:rPr>
          <w:instrText xml:space="preserve"> PAGEREF _Toc478480709 \h </w:instrText>
        </w:r>
        <w:r w:rsidR="00B22208">
          <w:rPr>
            <w:webHidden/>
          </w:rPr>
        </w:r>
        <w:r w:rsidR="00B22208">
          <w:rPr>
            <w:webHidden/>
          </w:rPr>
          <w:fldChar w:fldCharType="separate"/>
        </w:r>
        <w:r w:rsidR="00B22208">
          <w:rPr>
            <w:webHidden/>
          </w:rPr>
          <w:t>54</w:t>
        </w:r>
        <w:r w:rsidR="00B22208">
          <w:rPr>
            <w:webHidden/>
          </w:rPr>
          <w:fldChar w:fldCharType="end"/>
        </w:r>
      </w:hyperlink>
    </w:p>
    <w:p w14:paraId="5AF0C018" w14:textId="77777777" w:rsidR="00B22208" w:rsidRDefault="00EB59C9">
      <w:pPr>
        <w:pStyle w:val="TableofFigures"/>
      </w:pPr>
      <w:hyperlink w:anchor="_Toc478480710" w:history="1">
        <w:r w:rsidR="00B22208" w:rsidRPr="008762C6">
          <w:rPr>
            <w:rStyle w:val="Hyperlink"/>
          </w:rPr>
          <w:t>Table 7.1</w:t>
        </w:r>
        <w:r w:rsidR="00B22208">
          <w:rPr>
            <w:rFonts w:asciiTheme="minorHAnsi" w:eastAsiaTheme="minorEastAsia" w:hAnsiTheme="minorHAnsi" w:cstheme="minorBidi"/>
            <w:szCs w:val="22"/>
            <w:lang w:val="en-AU" w:eastAsia="en-AU"/>
          </w:rPr>
          <w:tab/>
        </w:r>
        <w:r w:rsidR="00B22208" w:rsidRPr="008762C6">
          <w:rPr>
            <w:rStyle w:val="Hyperlink"/>
          </w:rPr>
          <w:t>Indicative timeline for the water and sewerage services price investigation for the period 1 July 2018 to 30 June 2023</w:t>
        </w:r>
        <w:r w:rsidR="00B22208">
          <w:rPr>
            <w:webHidden/>
          </w:rPr>
          <w:tab/>
        </w:r>
        <w:r w:rsidR="00B22208">
          <w:rPr>
            <w:webHidden/>
          </w:rPr>
          <w:fldChar w:fldCharType="begin"/>
        </w:r>
        <w:r w:rsidR="00B22208">
          <w:rPr>
            <w:webHidden/>
          </w:rPr>
          <w:instrText xml:space="preserve"> PAGEREF _Toc478480710 \h </w:instrText>
        </w:r>
        <w:r w:rsidR="00B22208">
          <w:rPr>
            <w:webHidden/>
          </w:rPr>
        </w:r>
        <w:r w:rsidR="00B22208">
          <w:rPr>
            <w:webHidden/>
          </w:rPr>
          <w:fldChar w:fldCharType="separate"/>
        </w:r>
        <w:r w:rsidR="00B22208">
          <w:rPr>
            <w:webHidden/>
          </w:rPr>
          <w:t>60</w:t>
        </w:r>
        <w:r w:rsidR="00B22208">
          <w:rPr>
            <w:webHidden/>
          </w:rPr>
          <w:fldChar w:fldCharType="end"/>
        </w:r>
      </w:hyperlink>
    </w:p>
    <w:p w14:paraId="7E96EE3F" w14:textId="68D46CF7" w:rsidR="00702C16" w:rsidRPr="00702C16" w:rsidRDefault="00702C16" w:rsidP="00702C16">
      <w:r>
        <w:t>Table A3.1</w:t>
      </w:r>
      <w:r>
        <w:tab/>
        <w:t>Water tariffs in other jurisdictions</w:t>
      </w:r>
      <w:r>
        <w:tab/>
      </w:r>
      <w:r>
        <w:tab/>
      </w:r>
      <w:r>
        <w:tab/>
      </w:r>
      <w:r>
        <w:tab/>
        <w:t xml:space="preserve">    79</w:t>
      </w:r>
    </w:p>
    <w:p w14:paraId="4EE680E8" w14:textId="77777777" w:rsidR="00022CFE" w:rsidRDefault="00E62F0C" w:rsidP="008A1C91">
      <w:pPr>
        <w:pStyle w:val="References"/>
        <w:rPr>
          <w:lang w:val="en-AU"/>
        </w:rPr>
      </w:pPr>
      <w:r>
        <w:rPr>
          <w:lang w:val="en-AU"/>
        </w:rPr>
        <w:fldChar w:fldCharType="end"/>
      </w:r>
    </w:p>
    <w:p w14:paraId="7BEC18B9" w14:textId="77777777" w:rsidR="00043BCD" w:rsidRPr="00570879" w:rsidRDefault="00043BCD" w:rsidP="008A1C91">
      <w:pPr>
        <w:pStyle w:val="References"/>
        <w:rPr>
          <w:sz w:val="26"/>
          <w:szCs w:val="26"/>
        </w:rPr>
      </w:pPr>
      <w:r w:rsidRPr="001E3780">
        <w:rPr>
          <w:rFonts w:ascii="Arial" w:hAnsi="Arial" w:cs="Arial"/>
          <w:b/>
          <w:sz w:val="26"/>
          <w:szCs w:val="26"/>
        </w:rPr>
        <w:t>List of figures</w:t>
      </w:r>
    </w:p>
    <w:p w14:paraId="07379984" w14:textId="77777777" w:rsidR="00B22208" w:rsidRDefault="00E62F0C">
      <w:pPr>
        <w:pStyle w:val="TableofFigures"/>
        <w:rPr>
          <w:rFonts w:asciiTheme="minorHAnsi" w:eastAsiaTheme="minorEastAsia" w:hAnsiTheme="minorHAnsi" w:cstheme="minorBidi"/>
          <w:szCs w:val="22"/>
          <w:lang w:val="en-AU" w:eastAsia="en-AU"/>
        </w:rPr>
      </w:pPr>
      <w:r w:rsidRPr="00570879">
        <w:rPr>
          <w:lang w:val="en-AU"/>
        </w:rPr>
        <w:fldChar w:fldCharType="begin"/>
      </w:r>
      <w:r w:rsidR="005859F1" w:rsidRPr="00570879">
        <w:rPr>
          <w:lang w:val="en-AU"/>
        </w:rPr>
        <w:instrText xml:space="preserve"> TOC \h \z \c "Figure" </w:instrText>
      </w:r>
      <w:r w:rsidRPr="00570879">
        <w:rPr>
          <w:lang w:val="en-AU"/>
        </w:rPr>
        <w:fldChar w:fldCharType="separate"/>
      </w:r>
      <w:hyperlink w:anchor="_Toc478480740" w:history="1">
        <w:r w:rsidR="00B22208" w:rsidRPr="00104B6D">
          <w:rPr>
            <w:rStyle w:val="Hyperlink"/>
          </w:rPr>
          <w:t>Figure ES1</w:t>
        </w:r>
        <w:r w:rsidR="00B22208">
          <w:rPr>
            <w:rFonts w:asciiTheme="minorHAnsi" w:eastAsiaTheme="minorEastAsia" w:hAnsiTheme="minorHAnsi" w:cstheme="minorBidi"/>
            <w:szCs w:val="22"/>
            <w:lang w:val="en-AU" w:eastAsia="en-AU"/>
          </w:rPr>
          <w:tab/>
        </w:r>
        <w:r w:rsidR="00B22208" w:rsidRPr="00104B6D">
          <w:rPr>
            <w:rStyle w:val="Hyperlink"/>
          </w:rPr>
          <w:t>Residential water fixed supply charges by utility, 2016–17</w:t>
        </w:r>
        <w:r w:rsidR="00B22208">
          <w:rPr>
            <w:webHidden/>
          </w:rPr>
          <w:tab/>
        </w:r>
        <w:r w:rsidR="00B22208">
          <w:rPr>
            <w:webHidden/>
          </w:rPr>
          <w:fldChar w:fldCharType="begin"/>
        </w:r>
        <w:r w:rsidR="00B22208">
          <w:rPr>
            <w:webHidden/>
          </w:rPr>
          <w:instrText xml:space="preserve"> PAGEREF _Toc478480740 \h </w:instrText>
        </w:r>
        <w:r w:rsidR="00B22208">
          <w:rPr>
            <w:webHidden/>
          </w:rPr>
        </w:r>
        <w:r w:rsidR="00B22208">
          <w:rPr>
            <w:webHidden/>
          </w:rPr>
          <w:fldChar w:fldCharType="separate"/>
        </w:r>
        <w:r w:rsidR="00B22208">
          <w:rPr>
            <w:webHidden/>
          </w:rPr>
          <w:t>xii</w:t>
        </w:r>
        <w:r w:rsidR="00B22208">
          <w:rPr>
            <w:webHidden/>
          </w:rPr>
          <w:fldChar w:fldCharType="end"/>
        </w:r>
      </w:hyperlink>
    </w:p>
    <w:p w14:paraId="7B09154C" w14:textId="77777777" w:rsidR="00B22208" w:rsidRDefault="00EB59C9">
      <w:pPr>
        <w:pStyle w:val="TableofFigures"/>
        <w:rPr>
          <w:rFonts w:asciiTheme="minorHAnsi" w:eastAsiaTheme="minorEastAsia" w:hAnsiTheme="minorHAnsi" w:cstheme="minorBidi"/>
          <w:szCs w:val="22"/>
          <w:lang w:val="en-AU" w:eastAsia="en-AU"/>
        </w:rPr>
      </w:pPr>
      <w:hyperlink w:anchor="_Toc478480741" w:history="1">
        <w:r w:rsidR="00B22208" w:rsidRPr="00104B6D">
          <w:rPr>
            <w:rStyle w:val="Hyperlink"/>
          </w:rPr>
          <w:t>Figure ES2</w:t>
        </w:r>
        <w:r w:rsidR="00B22208">
          <w:rPr>
            <w:rFonts w:asciiTheme="minorHAnsi" w:eastAsiaTheme="minorEastAsia" w:hAnsiTheme="minorHAnsi" w:cstheme="minorBidi"/>
            <w:szCs w:val="22"/>
            <w:lang w:val="en-AU" w:eastAsia="en-AU"/>
          </w:rPr>
          <w:tab/>
        </w:r>
        <w:r w:rsidR="00B22208" w:rsidRPr="00104B6D">
          <w:rPr>
            <w:rStyle w:val="Hyperlink"/>
          </w:rPr>
          <w:t>Residential water usage charges by utility, 2016–17</w:t>
        </w:r>
        <w:r w:rsidR="00B22208">
          <w:rPr>
            <w:webHidden/>
          </w:rPr>
          <w:tab/>
        </w:r>
        <w:r w:rsidR="00B22208">
          <w:rPr>
            <w:webHidden/>
          </w:rPr>
          <w:fldChar w:fldCharType="begin"/>
        </w:r>
        <w:r w:rsidR="00B22208">
          <w:rPr>
            <w:webHidden/>
          </w:rPr>
          <w:instrText xml:space="preserve"> PAGEREF _Toc478480741 \h </w:instrText>
        </w:r>
        <w:r w:rsidR="00B22208">
          <w:rPr>
            <w:webHidden/>
          </w:rPr>
        </w:r>
        <w:r w:rsidR="00B22208">
          <w:rPr>
            <w:webHidden/>
          </w:rPr>
          <w:fldChar w:fldCharType="separate"/>
        </w:r>
        <w:r w:rsidR="00B22208">
          <w:rPr>
            <w:webHidden/>
          </w:rPr>
          <w:t>xiii</w:t>
        </w:r>
        <w:r w:rsidR="00B22208">
          <w:rPr>
            <w:webHidden/>
          </w:rPr>
          <w:fldChar w:fldCharType="end"/>
        </w:r>
      </w:hyperlink>
    </w:p>
    <w:p w14:paraId="2682F53A" w14:textId="77777777" w:rsidR="00B22208" w:rsidRDefault="00EB59C9">
      <w:pPr>
        <w:pStyle w:val="TableofFigures"/>
        <w:rPr>
          <w:rFonts w:asciiTheme="minorHAnsi" w:eastAsiaTheme="minorEastAsia" w:hAnsiTheme="minorHAnsi" w:cstheme="minorBidi"/>
          <w:szCs w:val="22"/>
          <w:lang w:val="en-AU" w:eastAsia="en-AU"/>
        </w:rPr>
      </w:pPr>
      <w:hyperlink w:anchor="_Toc478480742" w:history="1">
        <w:r w:rsidR="00B22208" w:rsidRPr="00104B6D">
          <w:rPr>
            <w:rStyle w:val="Hyperlink"/>
          </w:rPr>
          <w:t>Figure ES3</w:t>
        </w:r>
        <w:r w:rsidR="00B22208">
          <w:rPr>
            <w:rFonts w:asciiTheme="minorHAnsi" w:eastAsiaTheme="minorEastAsia" w:hAnsiTheme="minorHAnsi" w:cstheme="minorBidi"/>
            <w:szCs w:val="22"/>
            <w:lang w:val="en-AU" w:eastAsia="en-AU"/>
          </w:rPr>
          <w:tab/>
        </w:r>
        <w:r w:rsidR="00B22208" w:rsidRPr="00104B6D">
          <w:rPr>
            <w:rStyle w:val="Hyperlink"/>
          </w:rPr>
          <w:t>Icon Water dam releases per capita, 1999–2016</w:t>
        </w:r>
        <w:r w:rsidR="00B22208">
          <w:rPr>
            <w:webHidden/>
          </w:rPr>
          <w:tab/>
        </w:r>
        <w:r w:rsidR="00B22208">
          <w:rPr>
            <w:webHidden/>
          </w:rPr>
          <w:fldChar w:fldCharType="begin"/>
        </w:r>
        <w:r w:rsidR="00B22208">
          <w:rPr>
            <w:webHidden/>
          </w:rPr>
          <w:instrText xml:space="preserve"> PAGEREF _Toc478480742 \h </w:instrText>
        </w:r>
        <w:r w:rsidR="00B22208">
          <w:rPr>
            <w:webHidden/>
          </w:rPr>
        </w:r>
        <w:r w:rsidR="00B22208">
          <w:rPr>
            <w:webHidden/>
          </w:rPr>
          <w:fldChar w:fldCharType="separate"/>
        </w:r>
        <w:r w:rsidR="00B22208">
          <w:rPr>
            <w:webHidden/>
          </w:rPr>
          <w:t>xiv</w:t>
        </w:r>
        <w:r w:rsidR="00B22208">
          <w:rPr>
            <w:webHidden/>
          </w:rPr>
          <w:fldChar w:fldCharType="end"/>
        </w:r>
      </w:hyperlink>
    </w:p>
    <w:p w14:paraId="09068C36" w14:textId="77777777" w:rsidR="00B22208" w:rsidRDefault="00EB59C9">
      <w:pPr>
        <w:pStyle w:val="TableofFigures"/>
        <w:rPr>
          <w:rFonts w:asciiTheme="minorHAnsi" w:eastAsiaTheme="minorEastAsia" w:hAnsiTheme="minorHAnsi" w:cstheme="minorBidi"/>
          <w:szCs w:val="22"/>
          <w:lang w:val="en-AU" w:eastAsia="en-AU"/>
        </w:rPr>
      </w:pPr>
      <w:hyperlink w:anchor="_Toc478480743" w:history="1">
        <w:r w:rsidR="00B22208" w:rsidRPr="00104B6D">
          <w:rPr>
            <w:rStyle w:val="Hyperlink"/>
          </w:rPr>
          <w:t>Figure ES4</w:t>
        </w:r>
        <w:r w:rsidR="00B22208">
          <w:rPr>
            <w:rFonts w:asciiTheme="minorHAnsi" w:eastAsiaTheme="minorEastAsia" w:hAnsiTheme="minorHAnsi" w:cstheme="minorBidi"/>
            <w:szCs w:val="22"/>
            <w:lang w:val="en-AU" w:eastAsia="en-AU"/>
          </w:rPr>
          <w:tab/>
        </w:r>
        <w:r w:rsidR="00B22208" w:rsidRPr="00104B6D">
          <w:rPr>
            <w:rStyle w:val="Hyperlink"/>
          </w:rPr>
          <w:t>Icon Water residential billed water consumption, 1999–2016</w:t>
        </w:r>
        <w:r w:rsidR="00B22208">
          <w:rPr>
            <w:webHidden/>
          </w:rPr>
          <w:tab/>
        </w:r>
        <w:r w:rsidR="00B22208">
          <w:rPr>
            <w:webHidden/>
          </w:rPr>
          <w:fldChar w:fldCharType="begin"/>
        </w:r>
        <w:r w:rsidR="00B22208">
          <w:rPr>
            <w:webHidden/>
          </w:rPr>
          <w:instrText xml:space="preserve"> PAGEREF _Toc478480743 \h </w:instrText>
        </w:r>
        <w:r w:rsidR="00B22208">
          <w:rPr>
            <w:webHidden/>
          </w:rPr>
        </w:r>
        <w:r w:rsidR="00B22208">
          <w:rPr>
            <w:webHidden/>
          </w:rPr>
          <w:fldChar w:fldCharType="separate"/>
        </w:r>
        <w:r w:rsidR="00B22208">
          <w:rPr>
            <w:webHidden/>
          </w:rPr>
          <w:t>xv</w:t>
        </w:r>
        <w:r w:rsidR="00B22208">
          <w:rPr>
            <w:webHidden/>
          </w:rPr>
          <w:fldChar w:fldCharType="end"/>
        </w:r>
      </w:hyperlink>
    </w:p>
    <w:p w14:paraId="5B3DBACC" w14:textId="77777777" w:rsidR="00B22208" w:rsidRDefault="00EB59C9">
      <w:pPr>
        <w:pStyle w:val="TableofFigures"/>
        <w:rPr>
          <w:rFonts w:asciiTheme="minorHAnsi" w:eastAsiaTheme="minorEastAsia" w:hAnsiTheme="minorHAnsi" w:cstheme="minorBidi"/>
          <w:szCs w:val="22"/>
          <w:lang w:val="en-AU" w:eastAsia="en-AU"/>
        </w:rPr>
      </w:pPr>
      <w:hyperlink w:anchor="_Toc478480744" w:history="1">
        <w:r w:rsidR="00B22208" w:rsidRPr="00104B6D">
          <w:rPr>
            <w:rStyle w:val="Hyperlink"/>
          </w:rPr>
          <w:t>Figure 1.1</w:t>
        </w:r>
        <w:r w:rsidR="00B22208">
          <w:rPr>
            <w:rFonts w:asciiTheme="minorHAnsi" w:eastAsiaTheme="minorEastAsia" w:hAnsiTheme="minorHAnsi" w:cstheme="minorBidi"/>
            <w:szCs w:val="22"/>
            <w:lang w:val="en-AU" w:eastAsia="en-AU"/>
          </w:rPr>
          <w:tab/>
        </w:r>
        <w:r w:rsidR="00B22208" w:rsidRPr="00104B6D">
          <w:rPr>
            <w:rStyle w:val="Hyperlink"/>
          </w:rPr>
          <w:t>Residential water fixed supply charges by utility, 2016–17</w:t>
        </w:r>
        <w:r w:rsidR="00B22208">
          <w:rPr>
            <w:webHidden/>
          </w:rPr>
          <w:tab/>
        </w:r>
        <w:r w:rsidR="00B22208">
          <w:rPr>
            <w:webHidden/>
          </w:rPr>
          <w:fldChar w:fldCharType="begin"/>
        </w:r>
        <w:r w:rsidR="00B22208">
          <w:rPr>
            <w:webHidden/>
          </w:rPr>
          <w:instrText xml:space="preserve"> PAGEREF _Toc478480744 \h </w:instrText>
        </w:r>
        <w:r w:rsidR="00B22208">
          <w:rPr>
            <w:webHidden/>
          </w:rPr>
        </w:r>
        <w:r w:rsidR="00B22208">
          <w:rPr>
            <w:webHidden/>
          </w:rPr>
          <w:fldChar w:fldCharType="separate"/>
        </w:r>
        <w:r w:rsidR="00B22208">
          <w:rPr>
            <w:webHidden/>
          </w:rPr>
          <w:t>2</w:t>
        </w:r>
        <w:r w:rsidR="00B22208">
          <w:rPr>
            <w:webHidden/>
          </w:rPr>
          <w:fldChar w:fldCharType="end"/>
        </w:r>
      </w:hyperlink>
    </w:p>
    <w:p w14:paraId="6A341360" w14:textId="77777777" w:rsidR="00B22208" w:rsidRDefault="00EB59C9">
      <w:pPr>
        <w:pStyle w:val="TableofFigures"/>
        <w:rPr>
          <w:rFonts w:asciiTheme="minorHAnsi" w:eastAsiaTheme="minorEastAsia" w:hAnsiTheme="minorHAnsi" w:cstheme="minorBidi"/>
          <w:szCs w:val="22"/>
          <w:lang w:val="en-AU" w:eastAsia="en-AU"/>
        </w:rPr>
      </w:pPr>
      <w:hyperlink w:anchor="_Toc478480745" w:history="1">
        <w:r w:rsidR="00B22208" w:rsidRPr="00104B6D">
          <w:rPr>
            <w:rStyle w:val="Hyperlink"/>
          </w:rPr>
          <w:t>Figure 1.2</w:t>
        </w:r>
        <w:r w:rsidR="00B22208">
          <w:rPr>
            <w:rFonts w:asciiTheme="minorHAnsi" w:eastAsiaTheme="minorEastAsia" w:hAnsiTheme="minorHAnsi" w:cstheme="minorBidi"/>
            <w:szCs w:val="22"/>
            <w:lang w:val="en-AU" w:eastAsia="en-AU"/>
          </w:rPr>
          <w:tab/>
        </w:r>
        <w:r w:rsidR="00B22208" w:rsidRPr="00104B6D">
          <w:rPr>
            <w:rStyle w:val="Hyperlink"/>
          </w:rPr>
          <w:t>Residential water usage charges by utility, 2016–17</w:t>
        </w:r>
        <w:r w:rsidR="00B22208">
          <w:rPr>
            <w:webHidden/>
          </w:rPr>
          <w:tab/>
        </w:r>
        <w:r w:rsidR="00B22208">
          <w:rPr>
            <w:webHidden/>
          </w:rPr>
          <w:fldChar w:fldCharType="begin"/>
        </w:r>
        <w:r w:rsidR="00B22208">
          <w:rPr>
            <w:webHidden/>
          </w:rPr>
          <w:instrText xml:space="preserve"> PAGEREF _Toc478480745 \h </w:instrText>
        </w:r>
        <w:r w:rsidR="00B22208">
          <w:rPr>
            <w:webHidden/>
          </w:rPr>
        </w:r>
        <w:r w:rsidR="00B22208">
          <w:rPr>
            <w:webHidden/>
          </w:rPr>
          <w:fldChar w:fldCharType="separate"/>
        </w:r>
        <w:r w:rsidR="00B22208">
          <w:rPr>
            <w:webHidden/>
          </w:rPr>
          <w:t>2</w:t>
        </w:r>
        <w:r w:rsidR="00B22208">
          <w:rPr>
            <w:webHidden/>
          </w:rPr>
          <w:fldChar w:fldCharType="end"/>
        </w:r>
      </w:hyperlink>
    </w:p>
    <w:p w14:paraId="6AD83FF6" w14:textId="77777777" w:rsidR="00B22208" w:rsidRDefault="00EB59C9">
      <w:pPr>
        <w:pStyle w:val="TableofFigures"/>
        <w:rPr>
          <w:rFonts w:asciiTheme="minorHAnsi" w:eastAsiaTheme="minorEastAsia" w:hAnsiTheme="minorHAnsi" w:cstheme="minorBidi"/>
          <w:szCs w:val="22"/>
          <w:lang w:val="en-AU" w:eastAsia="en-AU"/>
        </w:rPr>
      </w:pPr>
      <w:hyperlink w:anchor="_Toc478480746" w:history="1">
        <w:r w:rsidR="00B22208" w:rsidRPr="00104B6D">
          <w:rPr>
            <w:rStyle w:val="Hyperlink"/>
          </w:rPr>
          <w:t>Figure 1.3</w:t>
        </w:r>
        <w:r w:rsidR="00B22208">
          <w:rPr>
            <w:rFonts w:asciiTheme="minorHAnsi" w:eastAsiaTheme="minorEastAsia" w:hAnsiTheme="minorHAnsi" w:cstheme="minorBidi"/>
            <w:szCs w:val="22"/>
            <w:lang w:val="en-AU" w:eastAsia="en-AU"/>
          </w:rPr>
          <w:tab/>
        </w:r>
        <w:r w:rsidR="00B22208" w:rsidRPr="00104B6D">
          <w:rPr>
            <w:rStyle w:val="Hyperlink"/>
          </w:rPr>
          <w:t>ACT dam storage levels, as at 13 March 2017</w:t>
        </w:r>
        <w:r w:rsidR="00B22208">
          <w:rPr>
            <w:webHidden/>
          </w:rPr>
          <w:tab/>
        </w:r>
        <w:r w:rsidR="00B22208">
          <w:rPr>
            <w:webHidden/>
          </w:rPr>
          <w:fldChar w:fldCharType="begin"/>
        </w:r>
        <w:r w:rsidR="00B22208">
          <w:rPr>
            <w:webHidden/>
          </w:rPr>
          <w:instrText xml:space="preserve"> PAGEREF _Toc478480746 \h </w:instrText>
        </w:r>
        <w:r w:rsidR="00B22208">
          <w:rPr>
            <w:webHidden/>
          </w:rPr>
        </w:r>
        <w:r w:rsidR="00B22208">
          <w:rPr>
            <w:webHidden/>
          </w:rPr>
          <w:fldChar w:fldCharType="separate"/>
        </w:r>
        <w:r w:rsidR="00B22208">
          <w:rPr>
            <w:webHidden/>
          </w:rPr>
          <w:t>3</w:t>
        </w:r>
        <w:r w:rsidR="00B22208">
          <w:rPr>
            <w:webHidden/>
          </w:rPr>
          <w:fldChar w:fldCharType="end"/>
        </w:r>
      </w:hyperlink>
    </w:p>
    <w:p w14:paraId="051AA466" w14:textId="77777777" w:rsidR="00B22208" w:rsidRDefault="00EB59C9">
      <w:pPr>
        <w:pStyle w:val="TableofFigures"/>
        <w:rPr>
          <w:rFonts w:asciiTheme="minorHAnsi" w:eastAsiaTheme="minorEastAsia" w:hAnsiTheme="minorHAnsi" w:cstheme="minorBidi"/>
          <w:szCs w:val="22"/>
          <w:lang w:val="en-AU" w:eastAsia="en-AU"/>
        </w:rPr>
      </w:pPr>
      <w:hyperlink w:anchor="_Toc478480747" w:history="1">
        <w:r w:rsidR="00B22208" w:rsidRPr="00104B6D">
          <w:rPr>
            <w:rStyle w:val="Hyperlink"/>
          </w:rPr>
          <w:t>Figure 1.4</w:t>
        </w:r>
        <w:r w:rsidR="00B22208">
          <w:rPr>
            <w:rFonts w:asciiTheme="minorHAnsi" w:eastAsiaTheme="minorEastAsia" w:hAnsiTheme="minorHAnsi" w:cstheme="minorBidi"/>
            <w:szCs w:val="22"/>
            <w:lang w:val="en-AU" w:eastAsia="en-AU"/>
          </w:rPr>
          <w:tab/>
        </w:r>
        <w:r w:rsidR="00B22208" w:rsidRPr="00104B6D">
          <w:rPr>
            <w:rStyle w:val="Hyperlink"/>
          </w:rPr>
          <w:t>Icon Water dam releases per capita, 1999–2016</w:t>
        </w:r>
        <w:r w:rsidR="00B22208">
          <w:rPr>
            <w:webHidden/>
          </w:rPr>
          <w:tab/>
        </w:r>
        <w:r w:rsidR="00B22208">
          <w:rPr>
            <w:webHidden/>
          </w:rPr>
          <w:fldChar w:fldCharType="begin"/>
        </w:r>
        <w:r w:rsidR="00B22208">
          <w:rPr>
            <w:webHidden/>
          </w:rPr>
          <w:instrText xml:space="preserve"> PAGEREF _Toc478480747 \h </w:instrText>
        </w:r>
        <w:r w:rsidR="00B22208">
          <w:rPr>
            <w:webHidden/>
          </w:rPr>
        </w:r>
        <w:r w:rsidR="00B22208">
          <w:rPr>
            <w:webHidden/>
          </w:rPr>
          <w:fldChar w:fldCharType="separate"/>
        </w:r>
        <w:r w:rsidR="00B22208">
          <w:rPr>
            <w:webHidden/>
          </w:rPr>
          <w:t>4</w:t>
        </w:r>
        <w:r w:rsidR="00B22208">
          <w:rPr>
            <w:webHidden/>
          </w:rPr>
          <w:fldChar w:fldCharType="end"/>
        </w:r>
      </w:hyperlink>
    </w:p>
    <w:p w14:paraId="6A21A369" w14:textId="77777777" w:rsidR="00B22208" w:rsidRDefault="00EB59C9">
      <w:pPr>
        <w:pStyle w:val="TableofFigures"/>
        <w:rPr>
          <w:rFonts w:asciiTheme="minorHAnsi" w:eastAsiaTheme="minorEastAsia" w:hAnsiTheme="minorHAnsi" w:cstheme="minorBidi"/>
          <w:szCs w:val="22"/>
          <w:lang w:val="en-AU" w:eastAsia="en-AU"/>
        </w:rPr>
      </w:pPr>
      <w:hyperlink w:anchor="_Toc478480748" w:history="1">
        <w:r w:rsidR="00B22208" w:rsidRPr="00104B6D">
          <w:rPr>
            <w:rStyle w:val="Hyperlink"/>
          </w:rPr>
          <w:t>Figure 1.5</w:t>
        </w:r>
        <w:r w:rsidR="00B22208">
          <w:rPr>
            <w:rFonts w:asciiTheme="minorHAnsi" w:eastAsiaTheme="minorEastAsia" w:hAnsiTheme="minorHAnsi" w:cstheme="minorBidi"/>
            <w:szCs w:val="22"/>
            <w:lang w:val="en-AU" w:eastAsia="en-AU"/>
          </w:rPr>
          <w:tab/>
        </w:r>
        <w:r w:rsidR="00B22208" w:rsidRPr="00104B6D">
          <w:rPr>
            <w:rStyle w:val="Hyperlink"/>
          </w:rPr>
          <w:t>Icon Water residential billed water consumption, 1999–2016</w:t>
        </w:r>
        <w:r w:rsidR="00B22208">
          <w:rPr>
            <w:webHidden/>
          </w:rPr>
          <w:tab/>
        </w:r>
        <w:r w:rsidR="00B22208">
          <w:rPr>
            <w:webHidden/>
          </w:rPr>
          <w:fldChar w:fldCharType="begin"/>
        </w:r>
        <w:r w:rsidR="00B22208">
          <w:rPr>
            <w:webHidden/>
          </w:rPr>
          <w:instrText xml:space="preserve"> PAGEREF _Toc478480748 \h </w:instrText>
        </w:r>
        <w:r w:rsidR="00B22208">
          <w:rPr>
            <w:webHidden/>
          </w:rPr>
        </w:r>
        <w:r w:rsidR="00B22208">
          <w:rPr>
            <w:webHidden/>
          </w:rPr>
          <w:fldChar w:fldCharType="separate"/>
        </w:r>
        <w:r w:rsidR="00B22208">
          <w:rPr>
            <w:webHidden/>
          </w:rPr>
          <w:t>4</w:t>
        </w:r>
        <w:r w:rsidR="00B22208">
          <w:rPr>
            <w:webHidden/>
          </w:rPr>
          <w:fldChar w:fldCharType="end"/>
        </w:r>
      </w:hyperlink>
    </w:p>
    <w:p w14:paraId="2786E27D" w14:textId="77777777" w:rsidR="00B22208" w:rsidRDefault="00EB59C9">
      <w:pPr>
        <w:pStyle w:val="TableofFigures"/>
        <w:rPr>
          <w:rFonts w:asciiTheme="minorHAnsi" w:eastAsiaTheme="minorEastAsia" w:hAnsiTheme="minorHAnsi" w:cstheme="minorBidi"/>
          <w:szCs w:val="22"/>
          <w:lang w:val="en-AU" w:eastAsia="en-AU"/>
        </w:rPr>
      </w:pPr>
      <w:hyperlink w:anchor="_Toc478480749" w:history="1">
        <w:r w:rsidR="00B22208" w:rsidRPr="00104B6D">
          <w:rPr>
            <w:rStyle w:val="Hyperlink"/>
          </w:rPr>
          <w:t>Figure 1.6</w:t>
        </w:r>
        <w:r w:rsidR="00B22208">
          <w:rPr>
            <w:rFonts w:asciiTheme="minorHAnsi" w:eastAsiaTheme="minorEastAsia" w:hAnsiTheme="minorHAnsi" w:cstheme="minorBidi"/>
            <w:szCs w:val="22"/>
            <w:lang w:val="en-AU" w:eastAsia="en-AU"/>
          </w:rPr>
          <w:tab/>
        </w:r>
        <w:r w:rsidR="00B22208" w:rsidRPr="00104B6D">
          <w:rPr>
            <w:rStyle w:val="Hyperlink"/>
          </w:rPr>
          <w:t>Demand and the probability of water restrictions</w:t>
        </w:r>
        <w:r w:rsidR="00B22208">
          <w:rPr>
            <w:webHidden/>
          </w:rPr>
          <w:tab/>
        </w:r>
        <w:r w:rsidR="00B22208">
          <w:rPr>
            <w:webHidden/>
          </w:rPr>
          <w:fldChar w:fldCharType="begin"/>
        </w:r>
        <w:r w:rsidR="00B22208">
          <w:rPr>
            <w:webHidden/>
          </w:rPr>
          <w:instrText xml:space="preserve"> PAGEREF _Toc478480749 \h </w:instrText>
        </w:r>
        <w:r w:rsidR="00B22208">
          <w:rPr>
            <w:webHidden/>
          </w:rPr>
        </w:r>
        <w:r w:rsidR="00B22208">
          <w:rPr>
            <w:webHidden/>
          </w:rPr>
          <w:fldChar w:fldCharType="separate"/>
        </w:r>
        <w:r w:rsidR="00B22208">
          <w:rPr>
            <w:webHidden/>
          </w:rPr>
          <w:t>5</w:t>
        </w:r>
        <w:r w:rsidR="00B22208">
          <w:rPr>
            <w:webHidden/>
          </w:rPr>
          <w:fldChar w:fldCharType="end"/>
        </w:r>
      </w:hyperlink>
    </w:p>
    <w:p w14:paraId="7CABAC19" w14:textId="77777777" w:rsidR="00B22208" w:rsidRDefault="00EB59C9">
      <w:pPr>
        <w:pStyle w:val="TableofFigures"/>
        <w:rPr>
          <w:rFonts w:asciiTheme="minorHAnsi" w:eastAsiaTheme="minorEastAsia" w:hAnsiTheme="minorHAnsi" w:cstheme="minorBidi"/>
          <w:szCs w:val="22"/>
          <w:lang w:val="en-AU" w:eastAsia="en-AU"/>
        </w:rPr>
      </w:pPr>
      <w:hyperlink w:anchor="_Toc478480750" w:history="1">
        <w:r w:rsidR="00B22208" w:rsidRPr="00104B6D">
          <w:rPr>
            <w:rStyle w:val="Hyperlink"/>
          </w:rPr>
          <w:t>Figure 4.1</w:t>
        </w:r>
        <w:r w:rsidR="00B22208">
          <w:rPr>
            <w:rFonts w:asciiTheme="minorHAnsi" w:eastAsiaTheme="minorEastAsia" w:hAnsiTheme="minorHAnsi" w:cstheme="minorBidi"/>
            <w:szCs w:val="22"/>
            <w:lang w:val="en-AU" w:eastAsia="en-AU"/>
          </w:rPr>
          <w:tab/>
        </w:r>
        <w:r w:rsidR="00B22208" w:rsidRPr="00104B6D">
          <w:rPr>
            <w:rStyle w:val="Hyperlink"/>
          </w:rPr>
          <w:t>Marginal cost estimate for water, summary</w:t>
        </w:r>
        <w:r w:rsidR="00B22208">
          <w:rPr>
            <w:webHidden/>
          </w:rPr>
          <w:tab/>
        </w:r>
        <w:r w:rsidR="00B22208">
          <w:rPr>
            <w:webHidden/>
          </w:rPr>
          <w:fldChar w:fldCharType="begin"/>
        </w:r>
        <w:r w:rsidR="00B22208">
          <w:rPr>
            <w:webHidden/>
          </w:rPr>
          <w:instrText xml:space="preserve"> PAGEREF _Toc478480750 \h </w:instrText>
        </w:r>
        <w:r w:rsidR="00B22208">
          <w:rPr>
            <w:webHidden/>
          </w:rPr>
        </w:r>
        <w:r w:rsidR="00B22208">
          <w:rPr>
            <w:webHidden/>
          </w:rPr>
          <w:fldChar w:fldCharType="separate"/>
        </w:r>
        <w:r w:rsidR="00B22208">
          <w:rPr>
            <w:webHidden/>
          </w:rPr>
          <w:t>23</w:t>
        </w:r>
        <w:r w:rsidR="00B22208">
          <w:rPr>
            <w:webHidden/>
          </w:rPr>
          <w:fldChar w:fldCharType="end"/>
        </w:r>
      </w:hyperlink>
    </w:p>
    <w:p w14:paraId="60F6415A" w14:textId="77777777" w:rsidR="00B22208" w:rsidRDefault="00EB59C9">
      <w:pPr>
        <w:pStyle w:val="TableofFigures"/>
        <w:rPr>
          <w:rFonts w:asciiTheme="minorHAnsi" w:eastAsiaTheme="minorEastAsia" w:hAnsiTheme="minorHAnsi" w:cstheme="minorBidi"/>
          <w:szCs w:val="22"/>
          <w:lang w:val="en-AU" w:eastAsia="en-AU"/>
        </w:rPr>
      </w:pPr>
      <w:hyperlink w:anchor="_Toc478480751" w:history="1">
        <w:r w:rsidR="00B22208" w:rsidRPr="00104B6D">
          <w:rPr>
            <w:rStyle w:val="Hyperlink"/>
          </w:rPr>
          <w:t>Figure 4.2</w:t>
        </w:r>
        <w:r w:rsidR="00B22208">
          <w:rPr>
            <w:rFonts w:asciiTheme="minorHAnsi" w:eastAsiaTheme="minorEastAsia" w:hAnsiTheme="minorHAnsi" w:cstheme="minorBidi"/>
            <w:szCs w:val="22"/>
            <w:lang w:val="en-AU" w:eastAsia="en-AU"/>
          </w:rPr>
          <w:tab/>
        </w:r>
        <w:r w:rsidR="00B22208" w:rsidRPr="00104B6D">
          <w:rPr>
            <w:rStyle w:val="Hyperlink"/>
          </w:rPr>
          <w:t>Icon Water Tier 1 proportion of total water sales, 2008–09 to 2014–15</w:t>
        </w:r>
        <w:r w:rsidR="00B22208">
          <w:rPr>
            <w:webHidden/>
          </w:rPr>
          <w:tab/>
        </w:r>
        <w:r w:rsidR="00B22208">
          <w:rPr>
            <w:webHidden/>
          </w:rPr>
          <w:fldChar w:fldCharType="begin"/>
        </w:r>
        <w:r w:rsidR="00B22208">
          <w:rPr>
            <w:webHidden/>
          </w:rPr>
          <w:instrText xml:space="preserve"> PAGEREF _Toc478480751 \h </w:instrText>
        </w:r>
        <w:r w:rsidR="00B22208">
          <w:rPr>
            <w:webHidden/>
          </w:rPr>
        </w:r>
        <w:r w:rsidR="00B22208">
          <w:rPr>
            <w:webHidden/>
          </w:rPr>
          <w:fldChar w:fldCharType="separate"/>
        </w:r>
        <w:r w:rsidR="00B22208">
          <w:rPr>
            <w:webHidden/>
          </w:rPr>
          <w:t>29</w:t>
        </w:r>
        <w:r w:rsidR="00B22208">
          <w:rPr>
            <w:webHidden/>
          </w:rPr>
          <w:fldChar w:fldCharType="end"/>
        </w:r>
      </w:hyperlink>
    </w:p>
    <w:p w14:paraId="7A59BA42" w14:textId="77777777" w:rsidR="00022CFE" w:rsidRDefault="00E62F0C" w:rsidP="008A1C91">
      <w:pPr>
        <w:pStyle w:val="References"/>
        <w:rPr>
          <w:lang w:val="en-AU"/>
        </w:rPr>
      </w:pPr>
      <w:r w:rsidRPr="00570879">
        <w:rPr>
          <w:lang w:val="en-AU"/>
        </w:rPr>
        <w:fldChar w:fldCharType="end"/>
      </w:r>
      <w:bookmarkStart w:id="11" w:name="_Toc118359367"/>
      <w:bookmarkStart w:id="12" w:name="_Toc202785427"/>
      <w:bookmarkStart w:id="13" w:name="_Toc260327869"/>
    </w:p>
    <w:p w14:paraId="5F4B73DB" w14:textId="77777777" w:rsidR="00440F18" w:rsidRDefault="00DF2628" w:rsidP="00440F18">
      <w:pPr>
        <w:rPr>
          <w:sz w:val="24"/>
          <w:szCs w:val="24"/>
          <w:lang w:val="en-AU"/>
        </w:rPr>
      </w:pPr>
      <w:r>
        <w:rPr>
          <w:rFonts w:ascii="Arial" w:hAnsi="Arial" w:cs="Arial"/>
          <w:b/>
          <w:sz w:val="26"/>
          <w:szCs w:val="26"/>
        </w:rPr>
        <w:t>List of boxes</w:t>
      </w:r>
    </w:p>
    <w:p w14:paraId="6B4511AB" w14:textId="77777777" w:rsidR="00B22208" w:rsidRDefault="00E62F0C">
      <w:pPr>
        <w:pStyle w:val="TableofFigures"/>
        <w:rPr>
          <w:rFonts w:asciiTheme="minorHAnsi" w:eastAsiaTheme="minorEastAsia" w:hAnsiTheme="minorHAnsi" w:cstheme="minorBidi"/>
          <w:szCs w:val="22"/>
          <w:lang w:val="en-AU" w:eastAsia="en-AU"/>
        </w:rPr>
      </w:pPr>
      <w:r>
        <w:rPr>
          <w:sz w:val="24"/>
          <w:szCs w:val="24"/>
          <w:lang w:val="en-AU"/>
        </w:rPr>
        <w:fldChar w:fldCharType="begin"/>
      </w:r>
      <w:r w:rsidR="00DF2628">
        <w:rPr>
          <w:sz w:val="24"/>
          <w:szCs w:val="24"/>
          <w:lang w:val="en-AU"/>
        </w:rPr>
        <w:instrText xml:space="preserve"> TOC \h \z \c "Box" </w:instrText>
      </w:r>
      <w:r>
        <w:rPr>
          <w:sz w:val="24"/>
          <w:szCs w:val="24"/>
          <w:lang w:val="en-AU"/>
        </w:rPr>
        <w:fldChar w:fldCharType="separate"/>
      </w:r>
      <w:hyperlink w:anchor="_Toc478480752" w:history="1">
        <w:r w:rsidR="00B22208" w:rsidRPr="002B4B94">
          <w:rPr>
            <w:rStyle w:val="Hyperlink"/>
          </w:rPr>
          <w:t>Box A2.1</w:t>
        </w:r>
        <w:r w:rsidR="00B22208">
          <w:rPr>
            <w:rFonts w:asciiTheme="minorHAnsi" w:eastAsiaTheme="minorEastAsia" w:hAnsiTheme="minorHAnsi" w:cstheme="minorBidi"/>
            <w:szCs w:val="22"/>
            <w:lang w:val="en-AU" w:eastAsia="en-AU"/>
          </w:rPr>
          <w:tab/>
        </w:r>
        <w:r w:rsidR="00B22208" w:rsidRPr="002B4B94">
          <w:rPr>
            <w:rStyle w:val="Hyperlink"/>
          </w:rPr>
          <w:t>National Water Initiative urban water price-setting principles</w:t>
        </w:r>
        <w:r w:rsidR="00B22208">
          <w:rPr>
            <w:webHidden/>
          </w:rPr>
          <w:tab/>
        </w:r>
        <w:r w:rsidR="00B22208">
          <w:rPr>
            <w:webHidden/>
          </w:rPr>
          <w:fldChar w:fldCharType="begin"/>
        </w:r>
        <w:r w:rsidR="00B22208">
          <w:rPr>
            <w:webHidden/>
          </w:rPr>
          <w:instrText xml:space="preserve"> PAGEREF _Toc478480752 \h </w:instrText>
        </w:r>
        <w:r w:rsidR="00B22208">
          <w:rPr>
            <w:webHidden/>
          </w:rPr>
        </w:r>
        <w:r w:rsidR="00B22208">
          <w:rPr>
            <w:webHidden/>
          </w:rPr>
          <w:fldChar w:fldCharType="separate"/>
        </w:r>
        <w:r w:rsidR="00B22208">
          <w:rPr>
            <w:webHidden/>
          </w:rPr>
          <w:t>78</w:t>
        </w:r>
        <w:r w:rsidR="00B22208">
          <w:rPr>
            <w:webHidden/>
          </w:rPr>
          <w:fldChar w:fldCharType="end"/>
        </w:r>
      </w:hyperlink>
    </w:p>
    <w:p w14:paraId="53C3C1DC" w14:textId="77777777" w:rsidR="00B22208" w:rsidRDefault="00EB59C9">
      <w:pPr>
        <w:pStyle w:val="TableofFigures"/>
        <w:rPr>
          <w:rFonts w:asciiTheme="minorHAnsi" w:eastAsiaTheme="minorEastAsia" w:hAnsiTheme="minorHAnsi" w:cstheme="minorBidi"/>
          <w:szCs w:val="22"/>
          <w:lang w:val="en-AU" w:eastAsia="en-AU"/>
        </w:rPr>
      </w:pPr>
      <w:hyperlink w:anchor="_Toc478480753" w:history="1">
        <w:r w:rsidR="00B22208" w:rsidRPr="002B4B94">
          <w:rPr>
            <w:rStyle w:val="Hyperlink"/>
          </w:rPr>
          <w:t>Box A3.1</w:t>
        </w:r>
        <w:r w:rsidR="00B22208">
          <w:rPr>
            <w:rFonts w:asciiTheme="minorHAnsi" w:eastAsiaTheme="minorEastAsia" w:hAnsiTheme="minorHAnsi" w:cstheme="minorBidi"/>
            <w:szCs w:val="22"/>
            <w:lang w:val="en-AU" w:eastAsia="en-AU"/>
          </w:rPr>
          <w:tab/>
        </w:r>
        <w:r w:rsidR="00B22208" w:rsidRPr="002B4B94">
          <w:rPr>
            <w:rStyle w:val="Hyperlink"/>
          </w:rPr>
          <w:t>Water tariffs in various jurisdictions, 2016–17</w:t>
        </w:r>
        <w:r w:rsidR="00B22208">
          <w:rPr>
            <w:webHidden/>
          </w:rPr>
          <w:tab/>
        </w:r>
        <w:r w:rsidR="00B22208">
          <w:rPr>
            <w:webHidden/>
          </w:rPr>
          <w:fldChar w:fldCharType="begin"/>
        </w:r>
        <w:r w:rsidR="00B22208">
          <w:rPr>
            <w:webHidden/>
          </w:rPr>
          <w:instrText xml:space="preserve"> PAGEREF _Toc478480753 \h </w:instrText>
        </w:r>
        <w:r w:rsidR="00B22208">
          <w:rPr>
            <w:webHidden/>
          </w:rPr>
        </w:r>
        <w:r w:rsidR="00B22208">
          <w:rPr>
            <w:webHidden/>
          </w:rPr>
          <w:fldChar w:fldCharType="separate"/>
        </w:r>
        <w:r w:rsidR="00B22208">
          <w:rPr>
            <w:webHidden/>
          </w:rPr>
          <w:t>79</w:t>
        </w:r>
        <w:r w:rsidR="00B22208">
          <w:rPr>
            <w:webHidden/>
          </w:rPr>
          <w:fldChar w:fldCharType="end"/>
        </w:r>
      </w:hyperlink>
    </w:p>
    <w:p w14:paraId="50A6C45D" w14:textId="77777777" w:rsidR="00440F18" w:rsidRDefault="00E62F0C" w:rsidP="00440F18">
      <w:pPr>
        <w:rPr>
          <w:sz w:val="24"/>
          <w:szCs w:val="24"/>
          <w:lang w:val="en-AU"/>
        </w:rPr>
        <w:sectPr w:rsidR="00440F18" w:rsidSect="00EF19E9">
          <w:endnotePr>
            <w:numFmt w:val="decimal"/>
          </w:endnotePr>
          <w:type w:val="continuous"/>
          <w:pgSz w:w="11907" w:h="16840" w:code="9"/>
          <w:pgMar w:top="2268" w:right="2098" w:bottom="1701" w:left="2098" w:header="578" w:footer="578" w:gutter="0"/>
          <w:pgNumType w:fmt="lowerRoman"/>
          <w:cols w:space="720"/>
          <w:docGrid w:linePitch="299"/>
        </w:sectPr>
      </w:pPr>
      <w:r>
        <w:rPr>
          <w:sz w:val="24"/>
          <w:szCs w:val="24"/>
          <w:lang w:val="en-AU"/>
        </w:rPr>
        <w:fldChar w:fldCharType="end"/>
      </w:r>
    </w:p>
    <w:p w14:paraId="28C7F78F" w14:textId="77777777" w:rsidR="00EF7B9F" w:rsidRDefault="00EF7B9F" w:rsidP="001164D6">
      <w:pPr>
        <w:pStyle w:val="Heading1a"/>
      </w:pPr>
      <w:bookmarkStart w:id="14" w:name="Chap1"/>
      <w:bookmarkStart w:id="15" w:name="_Ref364695177"/>
      <w:bookmarkStart w:id="16" w:name="_Toc200251148"/>
      <w:bookmarkStart w:id="17" w:name="_Toc264971521"/>
      <w:bookmarkStart w:id="18" w:name="_Toc478465437"/>
      <w:bookmarkEnd w:id="10"/>
      <w:bookmarkEnd w:id="11"/>
      <w:bookmarkEnd w:id="12"/>
      <w:bookmarkEnd w:id="13"/>
      <w:bookmarkEnd w:id="14"/>
      <w:r>
        <w:lastRenderedPageBreak/>
        <w:t>Executive summary</w:t>
      </w:r>
      <w:bookmarkStart w:id="19" w:name="_Ref349552218"/>
      <w:bookmarkStart w:id="20" w:name="_Toc349563150"/>
      <w:bookmarkStart w:id="21" w:name="_Toc349563312"/>
      <w:bookmarkStart w:id="22" w:name="_Toc349563390"/>
      <w:bookmarkStart w:id="23" w:name="_Toc349571506"/>
      <w:bookmarkEnd w:id="15"/>
      <w:bookmarkEnd w:id="16"/>
      <w:bookmarkEnd w:id="17"/>
      <w:bookmarkEnd w:id="18"/>
    </w:p>
    <w:p w14:paraId="1A70DF46" w14:textId="77777777" w:rsidR="00EF19E9" w:rsidRDefault="00EF19E9" w:rsidP="000D1D6E">
      <w:pPr>
        <w:sectPr w:rsidR="00EF19E9" w:rsidSect="00687EE3">
          <w:headerReference w:type="even" r:id="rId27"/>
          <w:headerReference w:type="default" r:id="rId28"/>
          <w:endnotePr>
            <w:numFmt w:val="decimal"/>
          </w:endnotePr>
          <w:type w:val="oddPage"/>
          <w:pgSz w:w="11907" w:h="16840" w:code="9"/>
          <w:pgMar w:top="2268" w:right="2098" w:bottom="1701" w:left="2098" w:header="578" w:footer="578" w:gutter="0"/>
          <w:pgNumType w:fmt="lowerRoman"/>
          <w:cols w:space="720"/>
          <w:docGrid w:linePitch="299"/>
        </w:sectPr>
      </w:pPr>
    </w:p>
    <w:p w14:paraId="77324E5A" w14:textId="08309C42" w:rsidR="00EF19E9" w:rsidRDefault="00B71DF0" w:rsidP="00EF19E9">
      <w:r>
        <w:t>T</w:t>
      </w:r>
      <w:r w:rsidR="00EF19E9">
        <w:t xml:space="preserve">he Commission </w:t>
      </w:r>
      <w:r>
        <w:t xml:space="preserve">has </w:t>
      </w:r>
      <w:r w:rsidR="00EF19E9">
        <w:t xml:space="preserve">examined </w:t>
      </w:r>
      <w:r w:rsidR="00E813B2">
        <w:t xml:space="preserve">the current </w:t>
      </w:r>
      <w:r w:rsidR="00E813B2" w:rsidRPr="00BF2FD1">
        <w:t>tariff structures f</w:t>
      </w:r>
      <w:r w:rsidR="00E813B2">
        <w:t xml:space="preserve">or </w:t>
      </w:r>
      <w:r w:rsidR="00EF19E9">
        <w:t>Icon</w:t>
      </w:r>
      <w:r w:rsidR="00EF19E9" w:rsidRPr="00ED36C4">
        <w:t xml:space="preserve"> Water</w:t>
      </w:r>
      <w:r w:rsidR="00DC674F">
        <w:t>’</w:t>
      </w:r>
      <w:r w:rsidR="00EF19E9" w:rsidRPr="00ED36C4">
        <w:t xml:space="preserve">s water and sewerage </w:t>
      </w:r>
      <w:proofErr w:type="gramStart"/>
      <w:r w:rsidR="00EF19E9" w:rsidRPr="00ED36C4">
        <w:t>services</w:t>
      </w:r>
      <w:proofErr w:type="gramEnd"/>
      <w:r w:rsidR="00EF19E9">
        <w:t xml:space="preserve"> as it was required to do by the </w:t>
      </w:r>
      <w:r w:rsidR="00146853">
        <w:t>s</w:t>
      </w:r>
      <w:r w:rsidR="00EF19E9">
        <w:t xml:space="preserve">ubstituted </w:t>
      </w:r>
      <w:r w:rsidR="00146853">
        <w:t>p</w:t>
      </w:r>
      <w:r w:rsidR="00EF19E9">
        <w:t xml:space="preserve">rice </w:t>
      </w:r>
      <w:r w:rsidR="00146853">
        <w:t>d</w:t>
      </w:r>
      <w:r w:rsidR="00EF19E9">
        <w:t>etermination.</w:t>
      </w:r>
      <w:r w:rsidR="00EF19E9">
        <w:rPr>
          <w:rStyle w:val="FootnoteReference"/>
        </w:rPr>
        <w:footnoteReference w:id="2"/>
      </w:r>
      <w:r w:rsidR="00DC674F">
        <w:t xml:space="preserve"> </w:t>
      </w:r>
      <w:r w:rsidR="00EF19E9">
        <w:t xml:space="preserve">In this </w:t>
      </w:r>
      <w:r>
        <w:t>f</w:t>
      </w:r>
      <w:r w:rsidR="00EF19E9">
        <w:t xml:space="preserve">inal </w:t>
      </w:r>
      <w:r>
        <w:t>r</w:t>
      </w:r>
      <w:r w:rsidR="00EF19E9">
        <w:t xml:space="preserve">eport the Commission </w:t>
      </w:r>
      <w:r>
        <w:t>sets out</w:t>
      </w:r>
      <w:r w:rsidR="00EF19E9">
        <w:t xml:space="preserve"> a number of principles that will </w:t>
      </w:r>
      <w:r w:rsidR="00E813B2">
        <w:t>guide any changes to</w:t>
      </w:r>
      <w:r w:rsidR="00EF19E9">
        <w:t xml:space="preserve"> the water ser</w:t>
      </w:r>
      <w:r w:rsidR="00EF19E9" w:rsidRPr="00146853">
        <w:t>vices tariff in</w:t>
      </w:r>
      <w:r w:rsidR="00EF19E9">
        <w:t xml:space="preserve"> future price reviews.</w:t>
      </w:r>
      <w:r w:rsidR="00DC674F">
        <w:t xml:space="preserve"> </w:t>
      </w:r>
      <w:r w:rsidR="00EF19E9">
        <w:t xml:space="preserve">The Commission proposes leaving the sewerage services tariff unchanged </w:t>
      </w:r>
      <w:r w:rsidR="00EF19E9" w:rsidRPr="00146853">
        <w:t xml:space="preserve">and </w:t>
      </w:r>
      <w:r w:rsidR="00146853" w:rsidRPr="00146853">
        <w:t>support</w:t>
      </w:r>
      <w:r w:rsidR="00146853">
        <w:t>s</w:t>
      </w:r>
      <w:r w:rsidR="00146853" w:rsidRPr="00146853">
        <w:t xml:space="preserve"> </w:t>
      </w:r>
      <w:r w:rsidR="00EF19E9" w:rsidRPr="00146853">
        <w:t>th</w:t>
      </w:r>
      <w:r w:rsidR="00EF19E9">
        <w:t>e introduction of a cost-reflective tariff for trade waste.</w:t>
      </w:r>
    </w:p>
    <w:p w14:paraId="5FF4CF4D" w14:textId="11BFDA91" w:rsidR="00EF19E9" w:rsidRDefault="00EF19E9" w:rsidP="00EF19E9">
      <w:r>
        <w:t>The Commission</w:t>
      </w:r>
      <w:r w:rsidR="00DC674F">
        <w:t>’</w:t>
      </w:r>
      <w:r>
        <w:t xml:space="preserve">s view is that while some change to the structure of the water tariff is desirable, this </w:t>
      </w:r>
      <w:proofErr w:type="gramStart"/>
      <w:r>
        <w:t>should be properly considered</w:t>
      </w:r>
      <w:proofErr w:type="gramEnd"/>
      <w:r>
        <w:t xml:space="preserve"> as part of future price determinations, including the investigation into a price determination for water and sewerage services to apply </w:t>
      </w:r>
      <w:r w:rsidR="00B71DF0">
        <w:t xml:space="preserve">for </w:t>
      </w:r>
      <w:r>
        <w:t>the period 1 July 2018 to 30 June 2023.</w:t>
      </w:r>
      <w:r w:rsidR="00DC674F">
        <w:t xml:space="preserve"> </w:t>
      </w:r>
      <w:r>
        <w:t xml:space="preserve">At that </w:t>
      </w:r>
      <w:proofErr w:type="gramStart"/>
      <w:r>
        <w:t>point</w:t>
      </w:r>
      <w:proofErr w:type="gramEnd"/>
      <w:r>
        <w:t xml:space="preserve"> the Commission will have all the relevant information on costs, supply and usage</w:t>
      </w:r>
      <w:r w:rsidR="00CA55C8">
        <w:t xml:space="preserve">. </w:t>
      </w:r>
    </w:p>
    <w:p w14:paraId="4DC19982" w14:textId="3E32DE97" w:rsidR="00EF19E9" w:rsidRDefault="00EF19E9" w:rsidP="00BF2FD1">
      <w:r>
        <w:t>The findings in this report will provide guidance to the Commission in setting the structure o</w:t>
      </w:r>
      <w:r w:rsidRPr="00146853">
        <w:t xml:space="preserve">f </w:t>
      </w:r>
      <w:r w:rsidR="008C1AEA">
        <w:t xml:space="preserve">the </w:t>
      </w:r>
      <w:r w:rsidRPr="00146853">
        <w:t>water tariff.</w:t>
      </w:r>
    </w:p>
    <w:p w14:paraId="172AF695" w14:textId="77777777" w:rsidR="00980AB5" w:rsidRDefault="00EF19E9">
      <w:pPr>
        <w:pStyle w:val="Heading4"/>
      </w:pPr>
      <w:bookmarkStart w:id="24" w:name="_Toc468175199"/>
      <w:r>
        <w:t>Key features of the current water tariff structure</w:t>
      </w:r>
      <w:bookmarkEnd w:id="24"/>
    </w:p>
    <w:p w14:paraId="66426A40" w14:textId="400BA933" w:rsidR="00EF19E9" w:rsidRDefault="00EF19E9" w:rsidP="00CA7AFB">
      <w:pPr>
        <w:pStyle w:val="ColorfulList-Accent110"/>
        <w:numPr>
          <w:ilvl w:val="0"/>
          <w:numId w:val="13"/>
        </w:numPr>
      </w:pPr>
      <w:r>
        <w:t>The current ACT water tariff structure comprises an annual connection or supply charge and a two-tier usage charge with a</w:t>
      </w:r>
      <w:r w:rsidR="00B71DF0">
        <w:t xml:space="preserve"> lower price for the first 200 </w:t>
      </w:r>
      <w:r>
        <w:t>kilolitres (kL) of water use</w:t>
      </w:r>
      <w:r w:rsidR="00E828FC">
        <w:t>d</w:t>
      </w:r>
      <w:r>
        <w:t xml:space="preserve"> and a higher price for water used above that level.</w:t>
      </w:r>
      <w:r>
        <w:rPr>
          <w:rStyle w:val="FootnoteReference"/>
        </w:rPr>
        <w:footnoteReference w:id="3"/>
      </w:r>
      <w:r w:rsidR="00DC674F">
        <w:t xml:space="preserve"> </w:t>
      </w:r>
      <w:r>
        <w:t xml:space="preserve">This </w:t>
      </w:r>
      <w:proofErr w:type="gramStart"/>
      <w:r>
        <w:t>is known</w:t>
      </w:r>
      <w:proofErr w:type="gramEnd"/>
      <w:r>
        <w:t xml:space="preserve"> as an inclining block tariff structure.</w:t>
      </w:r>
    </w:p>
    <w:p w14:paraId="1CF2F4F7" w14:textId="77777777" w:rsidR="00EF19E9" w:rsidRDefault="00EF19E9" w:rsidP="00CA7AFB">
      <w:pPr>
        <w:pStyle w:val="ColorfulList-Accent110"/>
        <w:numPr>
          <w:ilvl w:val="0"/>
          <w:numId w:val="13"/>
        </w:numPr>
      </w:pPr>
      <w:r>
        <w:t xml:space="preserve">The current supply charge is $101.48 per year. </w:t>
      </w:r>
    </w:p>
    <w:p w14:paraId="2FAC67CC" w14:textId="77777777" w:rsidR="00EF19E9" w:rsidRDefault="00EF19E9" w:rsidP="00CA7AFB">
      <w:pPr>
        <w:pStyle w:val="ColorfulList-Accent110"/>
        <w:numPr>
          <w:ilvl w:val="0"/>
          <w:numId w:val="13"/>
        </w:numPr>
      </w:pPr>
      <w:r>
        <w:t xml:space="preserve">The current usage charges are $2.61 per kL for the first tier and $5.24 per kL for the second tier. </w:t>
      </w:r>
    </w:p>
    <w:p w14:paraId="0416BC34" w14:textId="77777777" w:rsidR="00EF19E9" w:rsidRDefault="00EF19E9" w:rsidP="00CA7AFB">
      <w:pPr>
        <w:pStyle w:val="ColorfulList-Accent110"/>
        <w:numPr>
          <w:ilvl w:val="0"/>
          <w:numId w:val="13"/>
        </w:numPr>
      </w:pPr>
      <w:r>
        <w:t xml:space="preserve">The usage charges </w:t>
      </w:r>
      <w:proofErr w:type="gramStart"/>
      <w:r>
        <w:t>are not based</w:t>
      </w:r>
      <w:proofErr w:type="gramEnd"/>
      <w:r>
        <w:t xml:space="preserve"> on economic measures of cost but have the effect of providing an </w:t>
      </w:r>
      <w:r w:rsidR="00DC674F">
        <w:t>‘</w:t>
      </w:r>
      <w:r>
        <w:t>essential</w:t>
      </w:r>
      <w:r w:rsidR="00DC674F">
        <w:t>’</w:t>
      </w:r>
      <w:r>
        <w:t xml:space="preserve"> amount of water at a relatively low price, with higher levels of consumption charged at relatively high prices to provide incentives to conserve water. </w:t>
      </w:r>
    </w:p>
    <w:p w14:paraId="773EC81E" w14:textId="77777777" w:rsidR="00EF19E9" w:rsidRDefault="00EF19E9" w:rsidP="00CA7AFB">
      <w:pPr>
        <w:pStyle w:val="ColorfulList-Accent110"/>
        <w:numPr>
          <w:ilvl w:val="0"/>
          <w:numId w:val="13"/>
        </w:numPr>
      </w:pPr>
      <w:r>
        <w:t>With the current structure of the tariff, Icon Water recovers about 10 per cent of its water revenue from the supply charge</w:t>
      </w:r>
      <w:r w:rsidR="00564CEF">
        <w:t xml:space="preserve"> and</w:t>
      </w:r>
      <w:r>
        <w:t xml:space="preserve"> the remaining 90 per cent from usage charges. </w:t>
      </w:r>
    </w:p>
    <w:p w14:paraId="3E900DB3" w14:textId="77777777" w:rsidR="00EF19E9" w:rsidRDefault="00EF19E9" w:rsidP="00CA7AFB">
      <w:pPr>
        <w:pStyle w:val="ColorfulList-Accent110"/>
        <w:numPr>
          <w:ilvl w:val="0"/>
          <w:numId w:val="13"/>
        </w:numPr>
      </w:pPr>
      <w:r>
        <w:t>This structure compares with Icon Water</w:t>
      </w:r>
      <w:r w:rsidR="00564CEF">
        <w:t>’s</w:t>
      </w:r>
      <w:r>
        <w:t xml:space="preserve"> </w:t>
      </w:r>
      <w:r w:rsidR="00564CEF">
        <w:t>cost structure, which com</w:t>
      </w:r>
      <w:r w:rsidR="00564CEF" w:rsidRPr="00564CEF">
        <w:t>pris</w:t>
      </w:r>
      <w:r w:rsidR="00564CEF">
        <w:t>es</w:t>
      </w:r>
      <w:r w:rsidR="00564CEF" w:rsidRPr="00564CEF">
        <w:t xml:space="preserve"> </w:t>
      </w:r>
      <w:r w:rsidRPr="00564CEF">
        <w:t>over</w:t>
      </w:r>
      <w:r>
        <w:t xml:space="preserve"> 80 per cent fixed costs that do not vary with changes in water consumed.</w:t>
      </w:r>
      <w:r w:rsidR="00DC674F">
        <w:t xml:space="preserve"> </w:t>
      </w:r>
      <w:r>
        <w:t xml:space="preserve">The infrastructure component of costs is around 50 per cent of total costs and these costs </w:t>
      </w:r>
      <w:proofErr w:type="gramStart"/>
      <w:r>
        <w:t>are sunk</w:t>
      </w:r>
      <w:proofErr w:type="gramEnd"/>
      <w:r>
        <w:t xml:space="preserve"> in the sense that they cannot be used for another purpose.</w:t>
      </w:r>
    </w:p>
    <w:p w14:paraId="376A6DF6" w14:textId="01816D3D" w:rsidR="00EF19E9" w:rsidRDefault="00A40691" w:rsidP="00EF19E9">
      <w:r>
        <w:fldChar w:fldCharType="begin"/>
      </w:r>
      <w:r>
        <w:instrText xml:space="preserve"> REF _Ref478396831 \h </w:instrText>
      </w:r>
      <w:r>
        <w:fldChar w:fldCharType="separate"/>
      </w:r>
      <w:r>
        <w:t>Figure ES</w:t>
      </w:r>
      <w:r>
        <w:rPr>
          <w:noProof/>
        </w:rPr>
        <w:t>1</w:t>
      </w:r>
      <w:r>
        <w:fldChar w:fldCharType="end"/>
      </w:r>
      <w:r w:rsidR="00EF19E9">
        <w:t xml:space="preserve">and </w:t>
      </w:r>
      <w:r>
        <w:fldChar w:fldCharType="begin"/>
      </w:r>
      <w:r>
        <w:instrText xml:space="preserve"> REF _Ref478396842 \h </w:instrText>
      </w:r>
      <w:r>
        <w:fldChar w:fldCharType="separate"/>
      </w:r>
      <w:r>
        <w:t>Figure ES</w:t>
      </w:r>
      <w:r>
        <w:rPr>
          <w:noProof/>
        </w:rPr>
        <w:t>2</w:t>
      </w:r>
      <w:r>
        <w:fldChar w:fldCharType="end"/>
      </w:r>
      <w:r>
        <w:t xml:space="preserve"> </w:t>
      </w:r>
      <w:r w:rsidR="0053563C">
        <w:t>compare</w:t>
      </w:r>
      <w:r w:rsidR="00EF19E9">
        <w:t xml:space="preserve"> the residential tariff structure components for Icon Water </w:t>
      </w:r>
      <w:r w:rsidR="0053563C">
        <w:t xml:space="preserve">with those of </w:t>
      </w:r>
      <w:r w:rsidR="00EF19E9">
        <w:t>a number of urban utilities in other Australian jurisdictions.</w:t>
      </w:r>
      <w:r w:rsidR="00DC674F">
        <w:t xml:space="preserve"> </w:t>
      </w:r>
      <w:r w:rsidR="00EF19E9">
        <w:t xml:space="preserve">The </w:t>
      </w:r>
      <w:r w:rsidR="00EF19E9">
        <w:lastRenderedPageBreak/>
        <w:t xml:space="preserve">supply charge in </w:t>
      </w:r>
      <w:r w:rsidR="00E62F0C">
        <w:fldChar w:fldCharType="begin"/>
      </w:r>
      <w:r w:rsidR="00EF19E9">
        <w:instrText xml:space="preserve"> REF _Ref476556407 \h </w:instrText>
      </w:r>
      <w:r w:rsidR="00E62F0C">
        <w:fldChar w:fldCharType="separate"/>
      </w:r>
      <w:r w:rsidR="00F157C3" w:rsidRPr="00855A1E">
        <w:t>Figure ES</w:t>
      </w:r>
      <w:r w:rsidR="00F157C3">
        <w:rPr>
          <w:noProof/>
        </w:rPr>
        <w:t>1</w:t>
      </w:r>
      <w:r w:rsidR="00E62F0C">
        <w:fldChar w:fldCharType="end"/>
      </w:r>
      <w:r w:rsidR="00EF19E9">
        <w:t xml:space="preserve"> is the Tier 1 charge and Icon Water</w:t>
      </w:r>
      <w:r w:rsidR="00DC674F">
        <w:t>’</w:t>
      </w:r>
      <w:r w:rsidR="00EF19E9">
        <w:t>s supply charge is among the lowest.</w:t>
      </w:r>
    </w:p>
    <w:p w14:paraId="69963D92" w14:textId="3E6DA85E" w:rsidR="000F2B8A" w:rsidRDefault="000F2B8A" w:rsidP="000B7671">
      <w:pPr>
        <w:pStyle w:val="FigureName0"/>
      </w:pPr>
      <w:bookmarkStart w:id="25" w:name="_Ref478396831"/>
      <w:bookmarkStart w:id="26" w:name="_Toc478480740"/>
      <w:r>
        <w:t>Figure ES</w:t>
      </w:r>
      <w:r>
        <w:fldChar w:fldCharType="begin"/>
      </w:r>
      <w:r>
        <w:instrText xml:space="preserve"> SEQ Figure \* ARABIC \s 1 </w:instrText>
      </w:r>
      <w:r>
        <w:fldChar w:fldCharType="separate"/>
      </w:r>
      <w:r>
        <w:rPr>
          <w:noProof/>
        </w:rPr>
        <w:t>1</w:t>
      </w:r>
      <w:r>
        <w:fldChar w:fldCharType="end"/>
      </w:r>
      <w:bookmarkEnd w:id="25"/>
      <w:r w:rsidR="00655B1D">
        <w:tab/>
      </w:r>
      <w:r w:rsidR="00655B1D" w:rsidRPr="00855A1E">
        <w:t>Residential</w:t>
      </w:r>
      <w:r w:rsidR="00655B1D" w:rsidRPr="00B10FFC">
        <w:t xml:space="preserve"> water </w:t>
      </w:r>
      <w:r w:rsidR="00655B1D">
        <w:t xml:space="preserve">fixed </w:t>
      </w:r>
      <w:r w:rsidR="00655B1D" w:rsidRPr="00B10FFC">
        <w:t>supply charges by utility, 2016</w:t>
      </w:r>
      <w:r w:rsidR="00655B1D">
        <w:t>–</w:t>
      </w:r>
      <w:r w:rsidR="00655B1D" w:rsidRPr="00B10FFC">
        <w:t>17</w:t>
      </w:r>
      <w:bookmarkEnd w:id="26"/>
    </w:p>
    <w:p w14:paraId="0909395B" w14:textId="312F6C6D" w:rsidR="00EF19E9" w:rsidRPr="00B10FFC" w:rsidRDefault="00897C72" w:rsidP="00EF19E9">
      <w:pPr>
        <w:pStyle w:val="FigureName0"/>
      </w:pPr>
      <w:bookmarkStart w:id="27" w:name="_Ref474142272"/>
      <w:r>
        <w:rPr>
          <w:noProof/>
          <w:lang w:val="en-AU" w:eastAsia="en-AU"/>
        </w:rPr>
        <w:drawing>
          <wp:inline distT="0" distB="0" distL="0" distR="0" wp14:anchorId="0674C503" wp14:editId="1DF3A931">
            <wp:extent cx="5238750" cy="349567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27"/>
    <w:p w14:paraId="4D027ED6" w14:textId="77777777" w:rsidR="00EF19E9" w:rsidRDefault="00EF19E9" w:rsidP="00EF19E9">
      <w:pPr>
        <w:pStyle w:val="TableNotesLast0"/>
        <w:keepNext/>
      </w:pPr>
      <w:r w:rsidRPr="0098193E">
        <w:t>Source</w:t>
      </w:r>
      <w:r w:rsidR="009F7D9C">
        <w:t>s</w:t>
      </w:r>
      <w:r w:rsidRPr="0098193E">
        <w:t>:</w:t>
      </w:r>
      <w:r w:rsidR="0098193E">
        <w:t xml:space="preserve"> </w:t>
      </w:r>
      <w:r w:rsidR="00E62F0C">
        <w:fldChar w:fldCharType="begin"/>
      </w:r>
      <w:r w:rsidR="0098193E">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rsidR="00E62F0C">
        <w:fldChar w:fldCharType="separate"/>
      </w:r>
      <w:hyperlink w:anchor="_ENREF_6" w:tooltip="City West Water, 2016 #742" w:history="1">
        <w:r w:rsidR="0098193E">
          <w:rPr>
            <w:noProof/>
          </w:rPr>
          <w:t>City West Water (2016</w:t>
        </w:r>
      </w:hyperlink>
      <w:r w:rsidR="0098193E">
        <w:rPr>
          <w:noProof/>
        </w:rPr>
        <w:t>)</w:t>
      </w:r>
      <w:r w:rsidR="00E62F0C">
        <w:fldChar w:fldCharType="end"/>
      </w:r>
      <w:r w:rsidR="0098193E">
        <w:t xml:space="preserve">; </w:t>
      </w:r>
      <w:hyperlink w:anchor="_ENREF_15" w:tooltip="Hunter Water, 2016 #748" w:history="1">
        <w:r w:rsidR="0098193E">
          <w:rPr>
            <w:noProof/>
          </w:rPr>
          <w:t>Hunter Water (2016a</w:t>
        </w:r>
      </w:hyperlink>
      <w:r w:rsidR="0098193E">
        <w:rPr>
          <w:noProof/>
        </w:rPr>
        <w:t xml:space="preserve">); </w:t>
      </w:r>
      <w:hyperlink w:anchor="_ENREF_16" w:tooltip="Hunter Water, 2016 #749" w:history="1">
        <w:r w:rsidR="0098193E">
          <w:rPr>
            <w:noProof/>
          </w:rPr>
          <w:t>Hunter Water (2016b</w:t>
        </w:r>
      </w:hyperlink>
      <w:r w:rsidR="0098193E">
        <w:rPr>
          <w:noProof/>
        </w:rPr>
        <w:t xml:space="preserve">); </w:t>
      </w:r>
      <w:r w:rsidR="0098193E">
        <w:t xml:space="preserve">Icon Water (2016e); PowerWater (2016); Queensland Urban Utilities (2017a); Queensland Urban Utilities (2017b); </w:t>
      </w:r>
      <w:r w:rsidR="00E62F0C">
        <w:fldChar w:fldCharType="begin"/>
      </w:r>
      <w:r w:rsidR="0098193E">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rsidR="00E62F0C">
        <w:fldChar w:fldCharType="separate"/>
      </w:r>
      <w:hyperlink w:anchor="_ENREF_34" w:tooltip="SA Water, 2016 #751" w:history="1">
        <w:r w:rsidR="0098193E">
          <w:rPr>
            <w:noProof/>
          </w:rPr>
          <w:t>SA Water (2016</w:t>
        </w:r>
      </w:hyperlink>
      <w:r w:rsidR="0098193E">
        <w:rPr>
          <w:noProof/>
        </w:rPr>
        <w:t>)</w:t>
      </w:r>
      <w:r w:rsidR="00E62F0C">
        <w:fldChar w:fldCharType="end"/>
      </w:r>
      <w:r w:rsidR="0098193E">
        <w:t xml:space="preserve">; South East Water (2016); </w:t>
      </w:r>
      <w:r w:rsidR="00E62F0C">
        <w:fldChar w:fldCharType="begin"/>
      </w:r>
      <w:r w:rsidR="0098193E">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rsidR="00E62F0C">
        <w:fldChar w:fldCharType="separate"/>
      </w:r>
      <w:hyperlink w:anchor="_ENREF_37" w:tooltip="Sydney Water, 2016 #745" w:history="1">
        <w:r w:rsidR="0098193E">
          <w:rPr>
            <w:noProof/>
          </w:rPr>
          <w:t>Sydney Water (2016b</w:t>
        </w:r>
      </w:hyperlink>
      <w:r w:rsidR="0098193E">
        <w:rPr>
          <w:noProof/>
        </w:rPr>
        <w:t>)</w:t>
      </w:r>
      <w:r w:rsidR="00E62F0C">
        <w:fldChar w:fldCharType="end"/>
      </w:r>
      <w:r w:rsidR="0098193E">
        <w:t xml:space="preserve">; </w:t>
      </w:r>
      <w:r w:rsidR="00E62F0C">
        <w:fldChar w:fldCharType="begin"/>
      </w:r>
      <w:r w:rsidR="0098193E">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rsidR="00E62F0C">
        <w:fldChar w:fldCharType="separate"/>
      </w:r>
      <w:hyperlink w:anchor="_ENREF_36" w:tooltip="Sydney Water, 2016 #746" w:history="1">
        <w:r w:rsidR="0098193E">
          <w:rPr>
            <w:noProof/>
          </w:rPr>
          <w:t>Sydney Water (2016a</w:t>
        </w:r>
      </w:hyperlink>
      <w:r w:rsidR="0098193E">
        <w:rPr>
          <w:noProof/>
        </w:rPr>
        <w:t>)</w:t>
      </w:r>
      <w:r w:rsidR="00E62F0C">
        <w:fldChar w:fldCharType="end"/>
      </w:r>
      <w:r w:rsidR="0098193E">
        <w:t xml:space="preserve">; and </w:t>
      </w:r>
      <w:r w:rsidR="00E62F0C">
        <w:fldChar w:fldCharType="begin"/>
      </w:r>
      <w:r w:rsidR="0098193E">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rsidR="00E62F0C">
        <w:fldChar w:fldCharType="separate"/>
      </w:r>
      <w:hyperlink w:anchor="_ENREF_38" w:tooltip="TasWater, 2015 #594" w:history="1">
        <w:r w:rsidR="0098193E">
          <w:rPr>
            <w:noProof/>
          </w:rPr>
          <w:t>TasWater (2015</w:t>
        </w:r>
      </w:hyperlink>
      <w:r w:rsidR="0098193E">
        <w:rPr>
          <w:noProof/>
        </w:rPr>
        <w:t>)</w:t>
      </w:r>
      <w:r w:rsidR="00E62F0C">
        <w:fldChar w:fldCharType="end"/>
      </w:r>
      <w:r>
        <w:t>.</w:t>
      </w:r>
    </w:p>
    <w:p w14:paraId="73C8A6CA" w14:textId="203E02A4" w:rsidR="00EF19E9" w:rsidRDefault="00E62F0C" w:rsidP="00EF19E9">
      <w:r>
        <w:fldChar w:fldCharType="begin"/>
      </w:r>
      <w:r w:rsidR="00EF19E9">
        <w:instrText xml:space="preserve"> REF _Ref476556423 \h </w:instrText>
      </w:r>
      <w:r>
        <w:fldChar w:fldCharType="separate"/>
      </w:r>
      <w:r w:rsidR="00F157C3" w:rsidRPr="00855A1E">
        <w:t>Figure ES</w:t>
      </w:r>
      <w:r w:rsidR="00F157C3">
        <w:rPr>
          <w:noProof/>
        </w:rPr>
        <w:t>2</w:t>
      </w:r>
      <w:r>
        <w:fldChar w:fldCharType="end"/>
      </w:r>
      <w:r w:rsidR="00EF19E9">
        <w:t xml:space="preserve"> compares the water usage charges for these urban water utilities.</w:t>
      </w:r>
      <w:r w:rsidR="00DC674F">
        <w:t xml:space="preserve"> </w:t>
      </w:r>
      <w:r w:rsidR="00EF19E9">
        <w:t>Icon Water</w:t>
      </w:r>
      <w:r w:rsidR="00DC674F">
        <w:t>’</w:t>
      </w:r>
      <w:r w:rsidR="00EF19E9">
        <w:t xml:space="preserve">s Tier 2 charge is the highest marginal usage charge </w:t>
      </w:r>
      <w:r w:rsidR="0053563C">
        <w:t xml:space="preserve">among </w:t>
      </w:r>
      <w:r w:rsidR="00EF19E9">
        <w:t xml:space="preserve">all the utilities shown. </w:t>
      </w:r>
      <w:r w:rsidR="00EF19E9">
        <w:br w:type="page"/>
      </w:r>
    </w:p>
    <w:p w14:paraId="3C2230CA" w14:textId="73258246" w:rsidR="00F52921" w:rsidRDefault="000F2B8A" w:rsidP="00F52921">
      <w:pPr>
        <w:pStyle w:val="FigureName0"/>
      </w:pPr>
      <w:bookmarkStart w:id="28" w:name="_Ref478396842"/>
      <w:bookmarkStart w:id="29" w:name="_Toc478480741"/>
      <w:r>
        <w:lastRenderedPageBreak/>
        <w:t>Figure ES</w:t>
      </w:r>
      <w:r w:rsidR="00802FFD">
        <w:fldChar w:fldCharType="begin"/>
      </w:r>
      <w:r w:rsidR="00802FFD">
        <w:instrText xml:space="preserve"> SEQ Figure \* ARABIC \s 1 </w:instrText>
      </w:r>
      <w:r w:rsidR="00802FFD">
        <w:fldChar w:fldCharType="separate"/>
      </w:r>
      <w:r w:rsidR="00802FFD">
        <w:rPr>
          <w:noProof/>
        </w:rPr>
        <w:t>2</w:t>
      </w:r>
      <w:r w:rsidR="00802FFD">
        <w:fldChar w:fldCharType="end"/>
      </w:r>
      <w:bookmarkEnd w:id="28"/>
      <w:r w:rsidR="00F52921">
        <w:tab/>
      </w:r>
      <w:r w:rsidR="00F52921" w:rsidRPr="00855A1E">
        <w:t>Residential water usage charges by utility, 2016</w:t>
      </w:r>
      <w:r w:rsidR="00F52921">
        <w:t>–</w:t>
      </w:r>
      <w:r w:rsidR="00F52921" w:rsidRPr="00855A1E">
        <w:t>17</w:t>
      </w:r>
      <w:bookmarkEnd w:id="29"/>
    </w:p>
    <w:p w14:paraId="49126BC2" w14:textId="2EA0958D" w:rsidR="00EF19E9" w:rsidRPr="00162061" w:rsidRDefault="00990529" w:rsidP="00EF19E9">
      <w:r>
        <w:rPr>
          <w:rFonts w:ascii="Arial Narrow" w:hAnsi="Arial Narrow"/>
          <w:noProof/>
          <w:sz w:val="20"/>
          <w:lang w:val="en-AU" w:eastAsia="en-AU"/>
        </w:rPr>
        <w:drawing>
          <wp:inline distT="0" distB="0" distL="0" distR="0" wp14:anchorId="2DBBAB6B" wp14:editId="5B070403">
            <wp:extent cx="5495925" cy="42100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BCBE20" w14:textId="77777777" w:rsidR="00EF19E9" w:rsidRDefault="00EF19E9" w:rsidP="00EF19E9">
      <w:pPr>
        <w:pStyle w:val="TableNotesLast0"/>
        <w:keepNext/>
      </w:pPr>
      <w:bookmarkStart w:id="30" w:name="_Toc467849295"/>
      <w:bookmarkStart w:id="31" w:name="_Toc468171763"/>
      <w:r>
        <w:t>Source</w:t>
      </w:r>
      <w:r w:rsidR="009F7D9C">
        <w:t>s</w:t>
      </w:r>
      <w:r>
        <w:t>:</w:t>
      </w:r>
      <w:r w:rsidR="0098193E">
        <w:t xml:space="preserve"> </w:t>
      </w:r>
      <w:r w:rsidR="00E62F0C">
        <w:fldChar w:fldCharType="begin"/>
      </w:r>
      <w:r w:rsidR="0098193E">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rsidR="00E62F0C">
        <w:fldChar w:fldCharType="separate"/>
      </w:r>
      <w:hyperlink w:anchor="_ENREF_6" w:tooltip="City West Water, 2016 #742" w:history="1">
        <w:r w:rsidR="0098193E">
          <w:rPr>
            <w:noProof/>
          </w:rPr>
          <w:t>City West Water (2016</w:t>
        </w:r>
      </w:hyperlink>
      <w:r w:rsidR="0098193E">
        <w:rPr>
          <w:noProof/>
        </w:rPr>
        <w:t>)</w:t>
      </w:r>
      <w:r w:rsidR="00E62F0C">
        <w:fldChar w:fldCharType="end"/>
      </w:r>
      <w:r w:rsidR="0098193E">
        <w:t xml:space="preserve">; </w:t>
      </w:r>
      <w:hyperlink w:anchor="_ENREF_15" w:tooltip="Hunter Water, 2016 #748" w:history="1">
        <w:r w:rsidR="0098193E">
          <w:rPr>
            <w:noProof/>
          </w:rPr>
          <w:t>Hunter Water (2016a</w:t>
        </w:r>
      </w:hyperlink>
      <w:r w:rsidR="0098193E">
        <w:rPr>
          <w:noProof/>
        </w:rPr>
        <w:t xml:space="preserve">); </w:t>
      </w:r>
      <w:hyperlink w:anchor="_ENREF_16" w:tooltip="Hunter Water, 2016 #749" w:history="1">
        <w:r w:rsidR="0098193E">
          <w:rPr>
            <w:noProof/>
          </w:rPr>
          <w:t>Hunter Water (2016b</w:t>
        </w:r>
      </w:hyperlink>
      <w:r w:rsidR="0098193E">
        <w:rPr>
          <w:noProof/>
        </w:rPr>
        <w:t xml:space="preserve">); </w:t>
      </w:r>
      <w:r w:rsidR="0098193E">
        <w:t xml:space="preserve">Icon Water (2016e); PowerWater (2016); Queensland Urban Utilities (2017a); Queensland Urban Utilities (2017b); </w:t>
      </w:r>
      <w:r w:rsidR="00E62F0C">
        <w:fldChar w:fldCharType="begin"/>
      </w:r>
      <w:r w:rsidR="0098193E">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rsidR="00E62F0C">
        <w:fldChar w:fldCharType="separate"/>
      </w:r>
      <w:hyperlink w:anchor="_ENREF_34" w:tooltip="SA Water, 2016 #751" w:history="1">
        <w:r w:rsidR="0098193E">
          <w:rPr>
            <w:noProof/>
          </w:rPr>
          <w:t>SA Water (2016</w:t>
        </w:r>
      </w:hyperlink>
      <w:r w:rsidR="0098193E">
        <w:rPr>
          <w:noProof/>
        </w:rPr>
        <w:t>)</w:t>
      </w:r>
      <w:r w:rsidR="00E62F0C">
        <w:fldChar w:fldCharType="end"/>
      </w:r>
      <w:r w:rsidR="0098193E">
        <w:t xml:space="preserve">; South East Water (2016); </w:t>
      </w:r>
      <w:r w:rsidR="00E62F0C">
        <w:fldChar w:fldCharType="begin"/>
      </w:r>
      <w:r w:rsidR="0098193E">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rsidR="00E62F0C">
        <w:fldChar w:fldCharType="separate"/>
      </w:r>
      <w:hyperlink w:anchor="_ENREF_37" w:tooltip="Sydney Water, 2016 #745" w:history="1">
        <w:r w:rsidR="0098193E">
          <w:rPr>
            <w:noProof/>
          </w:rPr>
          <w:t>Sydney Water (2016b</w:t>
        </w:r>
      </w:hyperlink>
      <w:r w:rsidR="0098193E">
        <w:rPr>
          <w:noProof/>
        </w:rPr>
        <w:t>)</w:t>
      </w:r>
      <w:r w:rsidR="00E62F0C">
        <w:fldChar w:fldCharType="end"/>
      </w:r>
      <w:r w:rsidR="0098193E">
        <w:t xml:space="preserve">; </w:t>
      </w:r>
      <w:r w:rsidR="00E62F0C">
        <w:fldChar w:fldCharType="begin"/>
      </w:r>
      <w:r w:rsidR="0098193E">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rsidR="00E62F0C">
        <w:fldChar w:fldCharType="separate"/>
      </w:r>
      <w:hyperlink w:anchor="_ENREF_36" w:tooltip="Sydney Water, 2016 #746" w:history="1">
        <w:r w:rsidR="0098193E">
          <w:rPr>
            <w:noProof/>
          </w:rPr>
          <w:t>Sydney Water (2016a</w:t>
        </w:r>
      </w:hyperlink>
      <w:r w:rsidR="0098193E">
        <w:rPr>
          <w:noProof/>
        </w:rPr>
        <w:t>)</w:t>
      </w:r>
      <w:r w:rsidR="00E62F0C">
        <w:fldChar w:fldCharType="end"/>
      </w:r>
      <w:r w:rsidR="0098193E">
        <w:t xml:space="preserve">; and </w:t>
      </w:r>
      <w:r w:rsidR="00E62F0C">
        <w:fldChar w:fldCharType="begin"/>
      </w:r>
      <w:r w:rsidR="0098193E">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rsidR="00E62F0C">
        <w:fldChar w:fldCharType="separate"/>
      </w:r>
      <w:hyperlink w:anchor="_ENREF_38" w:tooltip="TasWater, 2015 #594" w:history="1">
        <w:r w:rsidR="0098193E">
          <w:rPr>
            <w:noProof/>
          </w:rPr>
          <w:t>TasWater (2015</w:t>
        </w:r>
      </w:hyperlink>
      <w:r w:rsidR="0098193E">
        <w:rPr>
          <w:noProof/>
        </w:rPr>
        <w:t>)</w:t>
      </w:r>
      <w:r w:rsidR="00E62F0C">
        <w:fldChar w:fldCharType="end"/>
      </w:r>
      <w:r>
        <w:t>.</w:t>
      </w:r>
    </w:p>
    <w:bookmarkEnd w:id="30"/>
    <w:bookmarkEnd w:id="31"/>
    <w:p w14:paraId="7DD6CADB" w14:textId="77777777" w:rsidR="00EF19E9" w:rsidRDefault="00EF19E9" w:rsidP="00EF19E9">
      <w:r>
        <w:t>Icon Water</w:t>
      </w:r>
      <w:r w:rsidR="00DC674F">
        <w:t>’</w:t>
      </w:r>
      <w:r>
        <w:t xml:space="preserve">s </w:t>
      </w:r>
      <w:r w:rsidR="008C1AEA">
        <w:t>inclining block tariff</w:t>
      </w:r>
      <w:r>
        <w:t xml:space="preserve"> structure was in place during the Millennium Drought that affected southeast Australia from about 1997 to 2009.</w:t>
      </w:r>
      <w:r w:rsidR="00DC674F">
        <w:t xml:space="preserve"> </w:t>
      </w:r>
      <w:r>
        <w:t xml:space="preserve">The shortage of water in this period led to </w:t>
      </w:r>
      <w:r w:rsidR="0053563C">
        <w:t xml:space="preserve">the implementation of </w:t>
      </w:r>
      <w:r>
        <w:t>temporary water restrictions, permanent conservation measures and a relatively high usage charge for the higher tier.</w:t>
      </w:r>
      <w:r w:rsidR="00DC674F">
        <w:t xml:space="preserve"> </w:t>
      </w:r>
      <w:r>
        <w:t xml:space="preserve">At the time, this structure was helpful in providing a price signal to </w:t>
      </w:r>
      <w:r w:rsidR="0053563C">
        <w:t xml:space="preserve">consumers to </w:t>
      </w:r>
      <w:r>
        <w:t xml:space="preserve">conserve water while making some water available at a lower charge to meet essential needs. </w:t>
      </w:r>
    </w:p>
    <w:p w14:paraId="34312FB7" w14:textId="77777777" w:rsidR="00EF19E9" w:rsidRPr="00800C3B" w:rsidRDefault="00EF19E9" w:rsidP="00EF19E9">
      <w:r>
        <w:t xml:space="preserve">As </w:t>
      </w:r>
      <w:r w:rsidRPr="000619C3">
        <w:t xml:space="preserve">a </w:t>
      </w:r>
      <w:proofErr w:type="gramStart"/>
      <w:r w:rsidRPr="000619C3">
        <w:t>longer</w:t>
      </w:r>
      <w:r w:rsidR="0053563C">
        <w:t xml:space="preserve"> </w:t>
      </w:r>
      <w:r>
        <w:t>term</w:t>
      </w:r>
      <w:proofErr w:type="gramEnd"/>
      <w:r>
        <w:t xml:space="preserve"> measure, Icon Water also embarked on a substantial investment program to augment Canberra</w:t>
      </w:r>
      <w:r w:rsidR="00DC674F">
        <w:t>’</w:t>
      </w:r>
      <w:r>
        <w:t>s water supply.</w:t>
      </w:r>
      <w:r w:rsidR="00DC674F">
        <w:t xml:space="preserve"> </w:t>
      </w:r>
      <w:r>
        <w:t>The key projects were the enlargement of the Cotter Dam from four gigalitres (</w:t>
      </w:r>
      <w:r w:rsidR="00F52DAB">
        <w:t>G</w:t>
      </w:r>
      <w:r>
        <w:t xml:space="preserve">L) to 76 </w:t>
      </w:r>
      <w:r w:rsidR="00F52DAB">
        <w:t>G</w:t>
      </w:r>
      <w:r>
        <w:t>L and the construction of the Murrumbidgee to Googong Dam pipeline to transfer water directly from the Murrumbidgee River to the Googong Dam</w:t>
      </w:r>
      <w:r w:rsidRPr="00B1219E">
        <w:t>.</w:t>
      </w:r>
      <w:r w:rsidRPr="00800C3B">
        <w:t xml:space="preserve"> </w:t>
      </w:r>
    </w:p>
    <w:p w14:paraId="5E005892" w14:textId="77777777" w:rsidR="00EF19E9" w:rsidRDefault="00EF19E9" w:rsidP="00EF19E9">
      <w:pPr>
        <w:pStyle w:val="Heading4"/>
      </w:pPr>
      <w:r>
        <w:t>The ACT is now more water</w:t>
      </w:r>
      <w:r w:rsidR="007537BF">
        <w:t>-</w:t>
      </w:r>
      <w:r>
        <w:t>secure</w:t>
      </w:r>
    </w:p>
    <w:p w14:paraId="4E52B1C1" w14:textId="4CC6A4EA" w:rsidR="00EF19E9" w:rsidRDefault="00EF19E9" w:rsidP="00EF19E9">
      <w:r w:rsidRPr="000619C3">
        <w:t>The ACT</w:t>
      </w:r>
      <w:r w:rsidR="00DC674F" w:rsidRPr="000619C3">
        <w:t>’</w:t>
      </w:r>
      <w:r w:rsidRPr="000619C3">
        <w:t>s water supply and demand balance today is very different.</w:t>
      </w:r>
      <w:r w:rsidR="000619C3">
        <w:t xml:space="preserve"> The ACT’s water security is now much more positive, both currently and over the longer term.</w:t>
      </w:r>
    </w:p>
    <w:p w14:paraId="557A1559" w14:textId="77777777" w:rsidR="00EF19E9" w:rsidRPr="006F0C67" w:rsidRDefault="00EF19E9" w:rsidP="00EF19E9">
      <w:pPr>
        <w:rPr>
          <w:b/>
        </w:rPr>
      </w:pPr>
      <w:r>
        <w:lastRenderedPageBreak/>
        <w:t>The enlarged Cotter Dam increased the ACT</w:t>
      </w:r>
      <w:r w:rsidR="007537BF">
        <w:t>’s</w:t>
      </w:r>
      <w:r>
        <w:t xml:space="preserve"> combined dam storage capacity by more than a third</w:t>
      </w:r>
      <w:r w:rsidR="00F52DAB">
        <w:t>,</w:t>
      </w:r>
      <w:r>
        <w:t xml:space="preserve"> from </w:t>
      </w:r>
      <w:r w:rsidRPr="00F52DAB">
        <w:t>206</w:t>
      </w:r>
      <w:r>
        <w:t xml:space="preserve"> </w:t>
      </w:r>
      <w:r w:rsidR="00F52DAB">
        <w:t xml:space="preserve">GL </w:t>
      </w:r>
      <w:r>
        <w:t>to 278 GL.</w:t>
      </w:r>
      <w:r w:rsidR="00DC674F">
        <w:t xml:space="preserve"> </w:t>
      </w:r>
      <w:r>
        <w:t xml:space="preserve">The combined dam storage level in early March 2017 was </w:t>
      </w:r>
      <w:r w:rsidR="00E62F0C" w:rsidRPr="00E62F0C">
        <w:t>90.5</w:t>
      </w:r>
      <w:r>
        <w:t> per cent.</w:t>
      </w:r>
      <w:r>
        <w:rPr>
          <w:rStyle w:val="FootnoteReference"/>
        </w:rPr>
        <w:footnoteReference w:id="4"/>
      </w:r>
      <w:r>
        <w:t xml:space="preserve"> </w:t>
      </w:r>
    </w:p>
    <w:p w14:paraId="4791E82D" w14:textId="15A95416" w:rsidR="00EF19E9" w:rsidRDefault="00EF19E9" w:rsidP="00EF19E9">
      <w:r w:rsidRPr="001949CA">
        <w:t xml:space="preserve">On the demand side, there has been </w:t>
      </w:r>
      <w:r w:rsidR="00D13899">
        <w:t xml:space="preserve">little </w:t>
      </w:r>
      <w:r w:rsidR="00D13899" w:rsidRPr="001949CA">
        <w:t>evidence</w:t>
      </w:r>
      <w:r w:rsidRPr="001949CA">
        <w:t xml:space="preserve"> of a bounce</w:t>
      </w:r>
      <w:r w:rsidR="007537BF">
        <w:t>-</w:t>
      </w:r>
      <w:r w:rsidRPr="001949CA">
        <w:t>back in per capita water consumption or aggregate demand levels since the lifting of temporary water restrictions in 2010.</w:t>
      </w:r>
      <w:r w:rsidR="00DC674F">
        <w:t xml:space="preserve"> </w:t>
      </w:r>
      <w:r>
        <w:t xml:space="preserve">As shown in </w:t>
      </w:r>
      <w:r w:rsidR="00E62F0C">
        <w:fldChar w:fldCharType="begin"/>
      </w:r>
      <w:r>
        <w:instrText xml:space="preserve"> REF _Ref476754398 \h </w:instrText>
      </w:r>
      <w:r w:rsidR="00E62F0C">
        <w:fldChar w:fldCharType="separate"/>
      </w:r>
      <w:r w:rsidR="00F157C3" w:rsidRPr="00855A1E">
        <w:t>Figure ES</w:t>
      </w:r>
      <w:r w:rsidR="00F157C3">
        <w:rPr>
          <w:noProof/>
        </w:rPr>
        <w:t>3</w:t>
      </w:r>
      <w:r w:rsidR="00E62F0C">
        <w:fldChar w:fldCharType="end"/>
      </w:r>
      <w:r>
        <w:t xml:space="preserve"> and </w:t>
      </w:r>
      <w:r w:rsidR="00E62F0C">
        <w:fldChar w:fldCharType="begin"/>
      </w:r>
      <w:r>
        <w:instrText xml:space="preserve"> REF _Ref476754406 \h </w:instrText>
      </w:r>
      <w:r w:rsidR="00E62F0C">
        <w:fldChar w:fldCharType="separate"/>
      </w:r>
      <w:r w:rsidR="00F157C3" w:rsidRPr="00855A1E">
        <w:t>Figure ES</w:t>
      </w:r>
      <w:r w:rsidR="00F157C3">
        <w:rPr>
          <w:noProof/>
        </w:rPr>
        <w:t>4</w:t>
      </w:r>
      <w:r w:rsidR="00E62F0C">
        <w:fldChar w:fldCharType="end"/>
      </w:r>
      <w:r>
        <w:t xml:space="preserve">, recent levels of dam releases per capita and </w:t>
      </w:r>
      <w:r w:rsidR="007537BF">
        <w:t xml:space="preserve">residential </w:t>
      </w:r>
      <w:r>
        <w:t xml:space="preserve">billed water consumption are well below the </w:t>
      </w:r>
      <w:r w:rsidR="007537BF">
        <w:t xml:space="preserve">levels that </w:t>
      </w:r>
      <w:r>
        <w:t>prevail</w:t>
      </w:r>
      <w:r w:rsidR="007537BF">
        <w:t>ed</w:t>
      </w:r>
      <w:r>
        <w:t xml:space="preserve"> in the early to mid-2000s.</w:t>
      </w:r>
    </w:p>
    <w:p w14:paraId="7EF7E951" w14:textId="2E162779" w:rsidR="00F52921" w:rsidRDefault="000F2B8A" w:rsidP="000B7671">
      <w:pPr>
        <w:pStyle w:val="FigureName0"/>
        <w:rPr>
          <w:rStyle w:val="CommentReference"/>
        </w:rPr>
      </w:pPr>
      <w:bookmarkStart w:id="32" w:name="_Ref474142442"/>
      <w:bookmarkStart w:id="33" w:name="_Toc478480742"/>
      <w:r>
        <w:t>Figure ES</w:t>
      </w:r>
      <w:r>
        <w:fldChar w:fldCharType="begin"/>
      </w:r>
      <w:r>
        <w:instrText xml:space="preserve"> SEQ Figure \* ARABIC \s 1 </w:instrText>
      </w:r>
      <w:r>
        <w:fldChar w:fldCharType="separate"/>
      </w:r>
      <w:r>
        <w:rPr>
          <w:noProof/>
        </w:rPr>
        <w:t>3</w:t>
      </w:r>
      <w:r>
        <w:fldChar w:fldCharType="end"/>
      </w:r>
      <w:r w:rsidR="00F52921">
        <w:tab/>
      </w:r>
      <w:r w:rsidR="00F52921" w:rsidRPr="00855A1E">
        <w:t>Icon Water dam releases per capita, 1999</w:t>
      </w:r>
      <w:r w:rsidR="00F52921">
        <w:t>–</w:t>
      </w:r>
      <w:r w:rsidR="00F52921" w:rsidRPr="00855A1E">
        <w:t>2016</w:t>
      </w:r>
      <w:bookmarkEnd w:id="32"/>
      <w:bookmarkEnd w:id="33"/>
    </w:p>
    <w:p w14:paraId="590440DA" w14:textId="07BECE8D" w:rsidR="00EF19E9" w:rsidRPr="00C63BD3" w:rsidRDefault="006B0CE1" w:rsidP="000B7671">
      <w:pPr>
        <w:pStyle w:val="FigureName"/>
        <w:rPr>
          <w:lang w:val="en-AU"/>
        </w:rPr>
      </w:pPr>
      <w:r w:rsidRPr="00171A18">
        <w:rPr>
          <w:noProof/>
          <w:color w:val="FF0000"/>
          <w:lang w:val="en-AU" w:eastAsia="en-AU"/>
        </w:rPr>
        <w:drawing>
          <wp:inline distT="0" distB="0" distL="0" distR="0" wp14:anchorId="1A5B7FEE" wp14:editId="07B9A9BC">
            <wp:extent cx="4895850" cy="2447925"/>
            <wp:effectExtent l="0" t="0" r="0" b="9525"/>
            <wp:docPr id="23"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2447925"/>
                    </a:xfrm>
                    <a:prstGeom prst="rect">
                      <a:avLst/>
                    </a:prstGeom>
                    <a:noFill/>
                    <a:ln>
                      <a:noFill/>
                    </a:ln>
                  </pic:spPr>
                </pic:pic>
              </a:graphicData>
            </a:graphic>
          </wp:inline>
        </w:drawing>
      </w:r>
    </w:p>
    <w:p w14:paraId="1338DFB6" w14:textId="6ADE5EAF" w:rsidR="00447B98" w:rsidRDefault="00EF19E9" w:rsidP="00E7089F">
      <w:pPr>
        <w:pStyle w:val="TableNotesLast0"/>
      </w:pPr>
      <w:r>
        <w:t>Source</w:t>
      </w:r>
      <w:r w:rsidR="009F7D9C">
        <w:t>s</w:t>
      </w:r>
      <w:r>
        <w:t>:</w:t>
      </w:r>
      <w:r w:rsidR="009F7D9C">
        <w:t xml:space="preserve"> </w:t>
      </w:r>
      <w:r>
        <w:t>ABS (2014)</w:t>
      </w:r>
      <w:r w:rsidR="000619C3">
        <w:t>;</w:t>
      </w:r>
      <w:r>
        <w:t xml:space="preserve"> ACT Government (2014c)</w:t>
      </w:r>
      <w:r w:rsidR="000619C3">
        <w:t>;</w:t>
      </w:r>
      <w:r>
        <w:t xml:space="preserve"> and Icon Water dam release data.</w:t>
      </w:r>
      <w:r w:rsidR="00447B98">
        <w:br w:type="page"/>
      </w:r>
    </w:p>
    <w:p w14:paraId="02AAED14" w14:textId="33B96752" w:rsidR="00F52921" w:rsidRDefault="000F2B8A" w:rsidP="00447B98">
      <w:pPr>
        <w:pStyle w:val="FigureName0"/>
        <w:rPr>
          <w:rStyle w:val="CommentReference"/>
          <w:rFonts w:ascii="Times New Roman" w:hAnsi="Times New Roman"/>
          <w:b w:val="0"/>
        </w:rPr>
      </w:pPr>
      <w:bookmarkStart w:id="34" w:name="_Ref476044290"/>
      <w:bookmarkStart w:id="35" w:name="_Toc476556455"/>
      <w:bookmarkStart w:id="36" w:name="_Ref476754406"/>
      <w:bookmarkStart w:id="37" w:name="_Toc478480743"/>
      <w:r>
        <w:lastRenderedPageBreak/>
        <w:t>Figure ES</w:t>
      </w:r>
      <w:r>
        <w:fldChar w:fldCharType="begin"/>
      </w:r>
      <w:r>
        <w:instrText xml:space="preserve"> SEQ Figure \* ARABIC \s 1 </w:instrText>
      </w:r>
      <w:r>
        <w:fldChar w:fldCharType="separate"/>
      </w:r>
      <w:r>
        <w:t>4</w:t>
      </w:r>
      <w:r>
        <w:fldChar w:fldCharType="end"/>
      </w:r>
      <w:r w:rsidR="00F52921">
        <w:tab/>
      </w:r>
      <w:r w:rsidR="00F52921" w:rsidRPr="00855A1E">
        <w:t>Icon Water residential</w:t>
      </w:r>
      <w:r w:rsidR="00F52921">
        <w:t xml:space="preserve"> </w:t>
      </w:r>
      <w:r w:rsidR="00F52921" w:rsidRPr="006E154A">
        <w:t>billed water consumption</w:t>
      </w:r>
      <w:r w:rsidR="00F52921">
        <w:t>,</w:t>
      </w:r>
      <w:r w:rsidR="00F52921" w:rsidRPr="006E154A">
        <w:t xml:space="preserve"> 1999</w:t>
      </w:r>
      <w:r w:rsidR="00F52921">
        <w:t>–</w:t>
      </w:r>
      <w:r w:rsidR="00F52921" w:rsidRPr="00B10FFC">
        <w:t>2016</w:t>
      </w:r>
      <w:bookmarkEnd w:id="34"/>
      <w:bookmarkEnd w:id="35"/>
      <w:bookmarkEnd w:id="36"/>
      <w:bookmarkEnd w:id="37"/>
    </w:p>
    <w:p w14:paraId="5F812704" w14:textId="7255BF00" w:rsidR="00EF19E9" w:rsidRDefault="006B0CE1" w:rsidP="00A40691">
      <w:pPr>
        <w:pStyle w:val="FigureName"/>
      </w:pPr>
      <w:r w:rsidRPr="00171A18">
        <w:rPr>
          <w:noProof/>
          <w:lang w:val="en-AU" w:eastAsia="en-AU"/>
        </w:rPr>
        <w:drawing>
          <wp:inline distT="0" distB="0" distL="0" distR="0" wp14:anchorId="4347970A" wp14:editId="26F7767E">
            <wp:extent cx="4895850" cy="2895600"/>
            <wp:effectExtent l="0" t="0" r="0" b="0"/>
            <wp:docPr id="2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895600"/>
                    </a:xfrm>
                    <a:prstGeom prst="rect">
                      <a:avLst/>
                    </a:prstGeom>
                    <a:noFill/>
                    <a:ln>
                      <a:noFill/>
                    </a:ln>
                  </pic:spPr>
                </pic:pic>
              </a:graphicData>
            </a:graphic>
          </wp:inline>
        </w:drawing>
      </w:r>
    </w:p>
    <w:p w14:paraId="78C2A4F5" w14:textId="77777777" w:rsidR="00EF19E9" w:rsidRPr="00636FE1" w:rsidRDefault="00EF19E9" w:rsidP="00A40691">
      <w:pPr>
        <w:pStyle w:val="TableNotesLast0"/>
      </w:pPr>
      <w:r w:rsidRPr="00B10FFC">
        <w:t>Source:</w:t>
      </w:r>
      <w:r w:rsidR="009F7D9C">
        <w:t xml:space="preserve"> </w:t>
      </w:r>
      <w:r w:rsidRPr="00B10FFC">
        <w:t xml:space="preserve">Icon Water </w:t>
      </w:r>
      <w:r w:rsidR="008042E7">
        <w:t>b</w:t>
      </w:r>
      <w:r w:rsidRPr="00B10FFC">
        <w:t xml:space="preserve">illed </w:t>
      </w:r>
      <w:r w:rsidR="008042E7">
        <w:t>w</w:t>
      </w:r>
      <w:r w:rsidRPr="00B10FFC">
        <w:t xml:space="preserve">ater </w:t>
      </w:r>
      <w:r w:rsidR="008042E7">
        <w:t>c</w:t>
      </w:r>
      <w:r w:rsidRPr="00B10FFC">
        <w:t xml:space="preserve">onsumption </w:t>
      </w:r>
      <w:r w:rsidR="008042E7">
        <w:t>s</w:t>
      </w:r>
      <w:r w:rsidRPr="00B10FFC">
        <w:t>eries 1998</w:t>
      </w:r>
      <w:r w:rsidR="008042E7">
        <w:t>–</w:t>
      </w:r>
      <w:r w:rsidRPr="00B10FFC">
        <w:t>2016</w:t>
      </w:r>
      <w:r w:rsidR="008042E7">
        <w:t>.</w:t>
      </w:r>
    </w:p>
    <w:p w14:paraId="5E3F4968" w14:textId="77777777" w:rsidR="00EF19E9" w:rsidRPr="007024C9" w:rsidRDefault="00EF19E9" w:rsidP="00EF19E9">
      <w:r>
        <w:t xml:space="preserve">If current levels of per capita consumption </w:t>
      </w:r>
      <w:proofErr w:type="gramStart"/>
      <w:r>
        <w:t>are maintained</w:t>
      </w:r>
      <w:proofErr w:type="gramEnd"/>
      <w:r>
        <w:t xml:space="preserve"> and account is taken of population growth, projected dam inflows and available capacity, then, based on modelling results, further augmentation of water supply infrastructure is not likely to be needed for about 40 years. </w:t>
      </w:r>
    </w:p>
    <w:p w14:paraId="3CF0051B" w14:textId="77777777" w:rsidR="00EF19E9" w:rsidRPr="000F1C17" w:rsidRDefault="00EF19E9" w:rsidP="00EF19E9">
      <w:pPr>
        <w:pStyle w:val="Heading4"/>
      </w:pPr>
      <w:bookmarkStart w:id="38" w:name="_Toc420064858"/>
      <w:bookmarkStart w:id="39" w:name="_Toc468175201"/>
      <w:r>
        <w:t>Environmental objectives are a priority and are being met</w:t>
      </w:r>
      <w:bookmarkEnd w:id="38"/>
      <w:bookmarkEnd w:id="39"/>
    </w:p>
    <w:p w14:paraId="5F00ACFB" w14:textId="77777777" w:rsidR="00EF19E9" w:rsidRDefault="00EF19E9" w:rsidP="00EF19E9">
      <w:r>
        <w:t xml:space="preserve">Environmental objectives </w:t>
      </w:r>
      <w:proofErr w:type="gramStart"/>
      <w:r>
        <w:t>are specified</w:t>
      </w:r>
      <w:proofErr w:type="gramEnd"/>
      <w:r>
        <w:t xml:space="preserve"> in legislation</w:t>
      </w:r>
      <w:r w:rsidR="000619C3">
        <w:t>; they</w:t>
      </w:r>
      <w:r>
        <w:t xml:space="preserve"> are being met by Icon Water </w:t>
      </w:r>
      <w:r w:rsidRPr="000619C3">
        <w:t>and are given priority</w:t>
      </w:r>
      <w:r w:rsidR="002B5F07">
        <w:t>,</w:t>
      </w:r>
      <w:r>
        <w:t xml:space="preserve"> including during drought conditions.</w:t>
      </w:r>
    </w:p>
    <w:p w14:paraId="37F900A9" w14:textId="77777777" w:rsidR="00EF19E9" w:rsidRDefault="00EF19E9" w:rsidP="00EF19E9">
      <w:r>
        <w:t xml:space="preserve">Icon Water is subject to requirements to ensure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sidR="00DC674F">
        <w:rPr>
          <w:iCs/>
          <w:lang w:val="en-AU"/>
        </w:rPr>
        <w:t xml:space="preserve"> </w:t>
      </w:r>
      <w:r>
        <w:t>Icon Water</w:t>
      </w:r>
      <w:r w:rsidR="00DC674F">
        <w:t>’</w:t>
      </w:r>
      <w:r>
        <w:t xml:space="preserve">s licence to take water requires it to ensure that environmental flows </w:t>
      </w:r>
      <w:proofErr w:type="gramStart"/>
      <w:r>
        <w:t>are given</w:t>
      </w:r>
      <w:proofErr w:type="gramEnd"/>
      <w:r>
        <w:t xml:space="preserve"> first priority.</w:t>
      </w:r>
      <w:r w:rsidR="00DC674F">
        <w:t xml:space="preserve"> </w:t>
      </w:r>
      <w:r>
        <w:t>It is also noted that the downstream environmental benefits in the ACT of any water (over and above environmental flows) that flow</w:t>
      </w:r>
      <w:r w:rsidR="002B5F07">
        <w:t>s</w:t>
      </w:r>
      <w:r>
        <w:t xml:space="preserve"> from ACT dams are limited because there are no key environmental assets in the ACT that require specific environmental watering</w:t>
      </w:r>
      <w:r w:rsidR="00351123">
        <w:t>, a</w:t>
      </w:r>
      <w:r>
        <w:t xml:space="preserve">lthough </w:t>
      </w:r>
      <w:r w:rsidR="00351123">
        <w:t>such flows may have</w:t>
      </w:r>
      <w:r>
        <w:t xml:space="preserve"> broader environmental benefits beyond the ACT. </w:t>
      </w:r>
    </w:p>
    <w:p w14:paraId="669B2750" w14:textId="77777777" w:rsidR="00EF19E9" w:rsidRDefault="00EF19E9" w:rsidP="00EF19E9">
      <w:r>
        <w:t>Further, largely due to its urban nature, the ACT only consumes a small proportion of the total amount of water that flows into its catchments.</w:t>
      </w:r>
      <w:r w:rsidR="00DC674F">
        <w:t xml:space="preserve"> </w:t>
      </w:r>
      <w:r>
        <w:t>The net use</w:t>
      </w:r>
      <w:r>
        <w:rPr>
          <w:rStyle w:val="FootnoteReference"/>
        </w:rPr>
        <w:footnoteReference w:id="5"/>
      </w:r>
      <w:r>
        <w:t xml:space="preserve"> has been at or below 20 </w:t>
      </w:r>
      <w:r w:rsidR="00F52DAB">
        <w:t>G</w:t>
      </w:r>
      <w:r>
        <w:t>L per year since 2007</w:t>
      </w:r>
      <w:r>
        <w:sym w:font="Symbol" w:char="F02D"/>
      </w:r>
      <w:r>
        <w:t>08</w:t>
      </w:r>
      <w:r w:rsidR="002B5F07">
        <w:t>,</w:t>
      </w:r>
      <w:r>
        <w:t xml:space="preserve"> amounting to four per cent of total inflows or eight per cent of the balance after environmental flows. This is also well below the ACT</w:t>
      </w:r>
      <w:r w:rsidR="00DC674F">
        <w:t>’</w:t>
      </w:r>
      <w:r>
        <w:t>s sustainable diversion limit under the Murray</w:t>
      </w:r>
      <w:r w:rsidR="00F01B1A">
        <w:t>–</w:t>
      </w:r>
      <w:r>
        <w:t>Darling Basin Plan of 40.5 GL per year taken from watercourses.</w:t>
      </w:r>
    </w:p>
    <w:p w14:paraId="694012AF" w14:textId="77777777" w:rsidR="00EF19E9" w:rsidRDefault="00EF19E9" w:rsidP="00EF19E9">
      <w:r>
        <w:lastRenderedPageBreak/>
        <w:t xml:space="preserve">As a result, tighter temporary water restrictions appear unlikely to be required </w:t>
      </w:r>
      <w:proofErr w:type="gramStart"/>
      <w:r>
        <w:t>to further restrict</w:t>
      </w:r>
      <w:proofErr w:type="gramEnd"/>
      <w:r>
        <w:t xml:space="preserve"> demand in the next regulatory period and probably for some time after that.</w:t>
      </w:r>
      <w:r w:rsidR="00DC674F">
        <w:t xml:space="preserve"> </w:t>
      </w:r>
      <w:r>
        <w:t>The economic cost of using water in these circumstances is therefore lower than it was in the past.</w:t>
      </w:r>
      <w:r w:rsidR="00DC674F">
        <w:t xml:space="preserve"> </w:t>
      </w:r>
      <w:r>
        <w:t>This is because a large part of the long</w:t>
      </w:r>
      <w:r w:rsidR="00F01B1A">
        <w:t>-</w:t>
      </w:r>
      <w:r>
        <w:t xml:space="preserve">term value of the water resource itself derives from its contribution to postponing </w:t>
      </w:r>
      <w:r w:rsidR="004A318B">
        <w:t xml:space="preserve">the need for </w:t>
      </w:r>
      <w:r>
        <w:t>further augmentation of the water supply system.</w:t>
      </w:r>
    </w:p>
    <w:p w14:paraId="5A19AF9F" w14:textId="77777777" w:rsidR="00EF19E9" w:rsidRDefault="00EF19E9" w:rsidP="00EF19E9">
      <w:r>
        <w:t>Given these circumstances, there is some scope to change the tariff structure without compromising environmental objectives.</w:t>
      </w:r>
      <w:r w:rsidR="00DC674F">
        <w:t xml:space="preserve"> </w:t>
      </w:r>
      <w:proofErr w:type="gramStart"/>
      <w:r>
        <w:t>B</w:t>
      </w:r>
      <w:r w:rsidRPr="004A318B">
        <w:t>ut</w:t>
      </w:r>
      <w:proofErr w:type="gramEnd"/>
      <w:r w:rsidRPr="004A318B">
        <w:t>, any</w:t>
      </w:r>
      <w:r>
        <w:t xml:space="preserve"> change to the tariff structure needs to show that it can better address a number of objectives on a sustainable basis.</w:t>
      </w:r>
    </w:p>
    <w:p w14:paraId="26733DC1" w14:textId="77777777" w:rsidR="00EF19E9" w:rsidRDefault="00EF19E9" w:rsidP="00EF19E9">
      <w:pPr>
        <w:pStyle w:val="Heading4"/>
      </w:pPr>
      <w:r>
        <w:t xml:space="preserve">Public policies and regulatory objectives </w:t>
      </w:r>
    </w:p>
    <w:p w14:paraId="2E14EA88" w14:textId="77777777" w:rsidR="00EF19E9" w:rsidRDefault="00EF19E9" w:rsidP="00EF19E9">
      <w:r>
        <w:t xml:space="preserve">Directions for change need to take account of public policies and regulatory objectives and principles. </w:t>
      </w:r>
    </w:p>
    <w:p w14:paraId="73763FF1" w14:textId="77777777" w:rsidR="00EF19E9" w:rsidRDefault="00EF19E9" w:rsidP="00EF19E9">
      <w:r>
        <w:t xml:space="preserve">The Commission has a number of regulatory objectives and matters it must consider as specified in the </w:t>
      </w:r>
      <w:r w:rsidRPr="000273CA">
        <w:rPr>
          <w:i/>
        </w:rPr>
        <w:t>Independent Competition and Regulatory Commission Act 1997</w:t>
      </w:r>
      <w:r>
        <w:t xml:space="preserve"> (</w:t>
      </w:r>
      <w:r w:rsidRPr="00146853">
        <w:t>the</w:t>
      </w:r>
      <w:r>
        <w:t xml:space="preserve"> ICRC Act).</w:t>
      </w:r>
      <w:r w:rsidR="00DC674F">
        <w:t xml:space="preserve"> </w:t>
      </w:r>
      <w:r>
        <w:t>These requirements cover economic, environmental and social considerations.</w:t>
      </w:r>
      <w:r w:rsidR="00DC674F">
        <w:t xml:space="preserve"> </w:t>
      </w:r>
      <w:r>
        <w:t>In making a price direction, the Commission</w:t>
      </w:r>
      <w:r w:rsidR="0084127E">
        <w:t xml:space="preserve">’s </w:t>
      </w:r>
      <w:r w:rsidR="009E7A13" w:rsidRPr="00E8094D">
        <w:t>overall</w:t>
      </w:r>
      <w:r>
        <w:t xml:space="preserve"> objective </w:t>
      </w:r>
      <w:r w:rsidR="0084127E">
        <w:t xml:space="preserve">is to promote </w:t>
      </w:r>
      <w:r>
        <w:t>the various aspects of economic efficiency for the long</w:t>
      </w:r>
      <w:r w:rsidR="00F01B1A">
        <w:t>-</w:t>
      </w:r>
      <w:r>
        <w:t>term interests of consumers.</w:t>
      </w:r>
      <w:r w:rsidR="00DC674F">
        <w:t xml:space="preserve"> </w:t>
      </w:r>
      <w:r>
        <w:t xml:space="preserve">Economic efficiency </w:t>
      </w:r>
      <w:r w:rsidR="0084127E">
        <w:t xml:space="preserve">encompasses </w:t>
      </w:r>
      <w:r>
        <w:t>efficient investment, efficient operation and efficient use of regulated services.</w:t>
      </w:r>
      <w:r w:rsidR="00DC674F">
        <w:t xml:space="preserve"> </w:t>
      </w:r>
      <w:r>
        <w:t>However, economic efficiency consideration</w:t>
      </w:r>
      <w:r w:rsidR="0084127E">
        <w:t>s</w:t>
      </w:r>
      <w:r>
        <w:t xml:space="preserve"> </w:t>
      </w:r>
      <w:proofErr w:type="gramStart"/>
      <w:r>
        <w:t>must be appropriately balanced</w:t>
      </w:r>
      <w:proofErr w:type="gramEnd"/>
      <w:r>
        <w:t xml:space="preserve"> with environmental and social considerations </w:t>
      </w:r>
      <w:r w:rsidR="0084127E">
        <w:t>to ensure decisions are in</w:t>
      </w:r>
      <w:r>
        <w:t xml:space="preserve"> the long-term interest of consumers. </w:t>
      </w:r>
    </w:p>
    <w:p w14:paraId="1A7FE6E8" w14:textId="77777777" w:rsidR="00EF19E9" w:rsidRDefault="00EF19E9" w:rsidP="00EF19E9">
      <w:proofErr w:type="gramStart"/>
      <w:r>
        <w:t>There are also a number of government policies and national agreements that are relevant in considering changes to the tariff structure.</w:t>
      </w:r>
      <w:proofErr w:type="gramEnd"/>
      <w:r w:rsidR="00DC674F">
        <w:t xml:space="preserve"> </w:t>
      </w:r>
      <w:r>
        <w:t>Of particular relevance is the ACT Water Strategy 2014</w:t>
      </w:r>
      <w:r w:rsidR="00F01B1A">
        <w:t>–</w:t>
      </w:r>
      <w:r>
        <w:t>44</w:t>
      </w:r>
      <w:r w:rsidR="00F01B1A">
        <w:t>,</w:t>
      </w:r>
      <w:r>
        <w:t xml:space="preserve"> which sets out the ACT Government</w:t>
      </w:r>
      <w:r w:rsidR="00DC674F">
        <w:t>’</w:t>
      </w:r>
      <w:r>
        <w:t>s overarching long</w:t>
      </w:r>
      <w:r w:rsidR="00F01B1A">
        <w:t>-</w:t>
      </w:r>
      <w:r>
        <w:t>term water resources management policy.</w:t>
      </w:r>
      <w:r w:rsidR="00DC674F">
        <w:t xml:space="preserve"> </w:t>
      </w:r>
      <w:r>
        <w:t xml:space="preserve">A key outcome specified in the </w:t>
      </w:r>
      <w:r w:rsidR="002D3316">
        <w:t>s</w:t>
      </w:r>
      <w:r>
        <w:t>trategy is to manage and promote the sustainable use of water.</w:t>
      </w:r>
      <w:r w:rsidR="00DC674F">
        <w:t xml:space="preserve"> </w:t>
      </w:r>
      <w:r>
        <w:t xml:space="preserve">The </w:t>
      </w:r>
      <w:r w:rsidR="002D3316">
        <w:t>s</w:t>
      </w:r>
      <w:r>
        <w:t>trategy proposes investigating the use of scarcity pricing in promoting water use efficiency.</w:t>
      </w:r>
      <w:r w:rsidR="00DC674F">
        <w:t xml:space="preserve"> </w:t>
      </w:r>
      <w:proofErr w:type="gramStart"/>
      <w:r>
        <w:t>There are also a number of other water conservation and planning requirements that relate to the management of water.</w:t>
      </w:r>
      <w:proofErr w:type="gramEnd"/>
    </w:p>
    <w:p w14:paraId="37CA0A8E" w14:textId="77777777" w:rsidR="00EF19E9" w:rsidRPr="00E7129F" w:rsidRDefault="00EF19E9" w:rsidP="00EF19E9">
      <w:r w:rsidRPr="003209A6">
        <w:t xml:space="preserve">In </w:t>
      </w:r>
      <w:r w:rsidR="00792ABF">
        <w:t>addition</w:t>
      </w:r>
      <w:r w:rsidRPr="003209A6">
        <w:t xml:space="preserve">, </w:t>
      </w:r>
      <w:r>
        <w:t>t</w:t>
      </w:r>
      <w:r w:rsidRPr="00E80F43">
        <w:t>he ACT is a signatory to the Murray</w:t>
      </w:r>
      <w:r w:rsidR="002D3316">
        <w:t>–</w:t>
      </w:r>
      <w:r w:rsidRPr="00E80F43">
        <w:t>Darling Basin Agreement, an intergovernmental agreement between Basin jurisdictions.</w:t>
      </w:r>
      <w:r w:rsidR="00DC674F">
        <w:t xml:space="preserve"> </w:t>
      </w:r>
      <w:r w:rsidRPr="0022149B">
        <w:t>In 2010, a set of N</w:t>
      </w:r>
      <w:r>
        <w:t xml:space="preserve">ational </w:t>
      </w:r>
      <w:r w:rsidRPr="0022149B">
        <w:t>W</w:t>
      </w:r>
      <w:r>
        <w:t xml:space="preserve">ater </w:t>
      </w:r>
      <w:r w:rsidRPr="0022149B">
        <w:t>I</w:t>
      </w:r>
      <w:r>
        <w:t>nitiative</w:t>
      </w:r>
      <w:r w:rsidRPr="0022149B">
        <w:t xml:space="preserve"> pricing </w:t>
      </w:r>
      <w:r w:rsidR="00D13899" w:rsidRPr="0022149B">
        <w:t>principles</w:t>
      </w:r>
      <w:r w:rsidRPr="0022149B">
        <w:t xml:space="preserve"> </w:t>
      </w:r>
      <w:proofErr w:type="gramStart"/>
      <w:r>
        <w:t>was developed</w:t>
      </w:r>
      <w:proofErr w:type="gramEnd"/>
      <w:r>
        <w:t xml:space="preserve"> </w:t>
      </w:r>
      <w:r w:rsidRPr="00101524">
        <w:t>as the basis for setting water</w:t>
      </w:r>
      <w:r>
        <w:t xml:space="preserve"> </w:t>
      </w:r>
      <w:r w:rsidRPr="00101524">
        <w:t xml:space="preserve">prices in </w:t>
      </w:r>
      <w:r>
        <w:t xml:space="preserve">all </w:t>
      </w:r>
      <w:r w:rsidRPr="00101524">
        <w:t>jurisdictions</w:t>
      </w:r>
      <w:r w:rsidR="0084127E">
        <w:t xml:space="preserve"> (see Appendix 2)</w:t>
      </w:r>
      <w:r w:rsidRPr="00101524">
        <w:t>.</w:t>
      </w:r>
      <w:r w:rsidR="00DC674F">
        <w:t xml:space="preserve"> </w:t>
      </w:r>
      <w:r>
        <w:t>The principles cover various aspects of economically efficient pric</w:t>
      </w:r>
      <w:r w:rsidR="00792ABF">
        <w:t>ing</w:t>
      </w:r>
      <w:r w:rsidR="002D3316">
        <w:t>,</w:t>
      </w:r>
      <w:r>
        <w:t xml:space="preserve"> including application of two-part tariffs unless demonstrated </w:t>
      </w:r>
      <w:proofErr w:type="gramStart"/>
      <w:r>
        <w:t xml:space="preserve">to not </w:t>
      </w:r>
      <w:r w:rsidR="00792ABF">
        <w:t>be</w:t>
      </w:r>
      <w:proofErr w:type="gramEnd"/>
      <w:r w:rsidR="00792ABF">
        <w:t xml:space="preserve"> </w:t>
      </w:r>
      <w:r>
        <w:t>cost-effective.</w:t>
      </w:r>
    </w:p>
    <w:p w14:paraId="5D03ACDF" w14:textId="77777777" w:rsidR="00EF19E9" w:rsidRDefault="00EF19E9" w:rsidP="00EF19E9">
      <w:pPr>
        <w:pStyle w:val="Heading4"/>
      </w:pPr>
      <w:r>
        <w:t xml:space="preserve">Pricing principles </w:t>
      </w:r>
    </w:p>
    <w:p w14:paraId="710BC532" w14:textId="77777777" w:rsidR="00EF19E9" w:rsidRDefault="00EF19E9" w:rsidP="00EF19E9">
      <w:r>
        <w:t>To help determine whether and how to change the tariff structure</w:t>
      </w:r>
      <w:r w:rsidR="00151E21">
        <w:t>s</w:t>
      </w:r>
      <w:r>
        <w:t xml:space="preserve"> for water and sewerage services in the A</w:t>
      </w:r>
      <w:r w:rsidRPr="00792ABF">
        <w:t xml:space="preserve">CT, </w:t>
      </w:r>
      <w:r w:rsidR="00792ABF">
        <w:t xml:space="preserve">the Commission has developed </w:t>
      </w:r>
      <w:r w:rsidRPr="00792ABF">
        <w:t>key pricing principles that ta</w:t>
      </w:r>
      <w:r>
        <w:t>ke account of both legislative and government policy objectives as well as generally accepted economic and regulatory governance principles.</w:t>
      </w:r>
      <w:r w:rsidR="008013DA">
        <w:t xml:space="preserve"> </w:t>
      </w:r>
    </w:p>
    <w:p w14:paraId="6B98F55D" w14:textId="77777777" w:rsidR="00EF19E9" w:rsidRDefault="00EF19E9" w:rsidP="00EF19E9">
      <w:r>
        <w:lastRenderedPageBreak/>
        <w:t>The key price</w:t>
      </w:r>
      <w:r w:rsidR="002D3316">
        <w:t>-</w:t>
      </w:r>
      <w:r>
        <w:t>setting principles that the Commission considers relevant for assess</w:t>
      </w:r>
      <w:r w:rsidR="00792ABF">
        <w:t>ing</w:t>
      </w:r>
      <w:r>
        <w:t xml:space="preserve"> tariff structure</w:t>
      </w:r>
      <w:r w:rsidR="00792ABF">
        <w:t>s</w:t>
      </w:r>
      <w:r>
        <w:t xml:space="preserve"> are summarised in </w:t>
      </w:r>
      <w:r w:rsidR="00E62F0C">
        <w:fldChar w:fldCharType="begin"/>
      </w:r>
      <w:r>
        <w:instrText xml:space="preserve"> REF _Ref474142974 \h </w:instrText>
      </w:r>
      <w:r w:rsidR="00E62F0C">
        <w:fldChar w:fldCharType="separate"/>
      </w:r>
      <w:r w:rsidR="00F157C3">
        <w:t>Table ES</w:t>
      </w:r>
      <w:r w:rsidR="00F157C3">
        <w:rPr>
          <w:noProof/>
        </w:rPr>
        <w:t>1</w:t>
      </w:r>
      <w:r w:rsidR="00E62F0C">
        <w:fldChar w:fldCharType="end"/>
      </w:r>
      <w:r>
        <w:t>.</w:t>
      </w:r>
      <w:r w:rsidR="00DC674F">
        <w:t xml:space="preserve"> </w:t>
      </w:r>
      <w:r>
        <w:t>The</w:t>
      </w:r>
      <w:r w:rsidR="00792ABF">
        <w:t>se</w:t>
      </w:r>
      <w:r>
        <w:t xml:space="preserve"> principles </w:t>
      </w:r>
      <w:r w:rsidRPr="00792ABF">
        <w:t>reflect</w:t>
      </w:r>
      <w:r>
        <w:t xml:space="preserve"> the Commission</w:t>
      </w:r>
      <w:r w:rsidR="00DC674F">
        <w:t>’</w:t>
      </w:r>
      <w:r>
        <w:t>s interpretation of the legislative objectives, government policies and national agreements that prescribe and guide its decision</w:t>
      </w:r>
      <w:r w:rsidRPr="00792ABF">
        <w:t xml:space="preserve">s </w:t>
      </w:r>
      <w:r w:rsidR="00792ABF">
        <w:t>on</w:t>
      </w:r>
      <w:r>
        <w:t xml:space="preserve"> water and sewerage prices.</w:t>
      </w:r>
      <w:r w:rsidR="00DC674F">
        <w:t xml:space="preserve"> </w:t>
      </w:r>
    </w:p>
    <w:p w14:paraId="6609E7B2" w14:textId="77777777" w:rsidR="00EF19E9" w:rsidRDefault="00EF19E9" w:rsidP="00EF19E9">
      <w:r>
        <w:t xml:space="preserve">The principles are also consistent with the approach that the Commission intends to apply </w:t>
      </w:r>
      <w:proofErr w:type="gramStart"/>
      <w:r>
        <w:t>in its investigat</w:t>
      </w:r>
      <w:r w:rsidRPr="00792ABF">
        <w:t xml:space="preserve">ion </w:t>
      </w:r>
      <w:r w:rsidR="00792ABF">
        <w:t>into</w:t>
      </w:r>
      <w:r w:rsidRPr="00792ABF">
        <w:t xml:space="preserve"> th</w:t>
      </w:r>
      <w:r>
        <w:t>e price direction for Icon Water for the perio</w:t>
      </w:r>
      <w:r w:rsidRPr="00792ABF">
        <w:t>d from 1</w:t>
      </w:r>
      <w:r w:rsidR="00792ABF">
        <w:t> </w:t>
      </w:r>
      <w:r w:rsidRPr="00792ABF">
        <w:t>July 2018 to 30 June 2023</w:t>
      </w:r>
      <w:proofErr w:type="gramEnd"/>
      <w:r>
        <w:t>.</w:t>
      </w:r>
    </w:p>
    <w:p w14:paraId="250A7BB2" w14:textId="5AEDD859" w:rsidR="00EF19E9" w:rsidRPr="00B40AA3" w:rsidRDefault="00EF19E9" w:rsidP="00EF19E9">
      <w:pPr>
        <w:pStyle w:val="TableName0"/>
      </w:pPr>
      <w:bookmarkStart w:id="40" w:name="_Ref474142974"/>
      <w:bookmarkStart w:id="41" w:name="_Toc476559520"/>
      <w:bookmarkStart w:id="42" w:name="_Toc478480705"/>
      <w:r>
        <w:t>Table ES</w:t>
      </w:r>
      <w:r w:rsidR="00702C16">
        <w:fldChar w:fldCharType="begin"/>
      </w:r>
      <w:r w:rsidR="00702C16">
        <w:instrText xml:space="preserve"> STYLEREF 1 \s </w:instrText>
      </w:r>
      <w:r w:rsidR="00702C16">
        <w:fldChar w:fldCharType="separate"/>
      </w:r>
      <w:r w:rsidR="00702C16">
        <w:rPr>
          <w:noProof/>
        </w:rPr>
        <w:t>1</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40"/>
      <w:r>
        <w:tab/>
      </w:r>
      <w:r w:rsidRPr="00FD63AB">
        <w:t>Regulatory objectives and pricing principles for water and sewerage tariffs</w:t>
      </w:r>
      <w:bookmarkEnd w:id="41"/>
      <w:bookmarkEnd w:id="42"/>
    </w:p>
    <w:tbl>
      <w:tblPr>
        <w:tblW w:w="5027"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293"/>
        <w:gridCol w:w="1475"/>
        <w:gridCol w:w="4985"/>
      </w:tblGrid>
      <w:tr w:rsidR="00902B24" w:rsidRPr="00144F8C" w14:paraId="1F984A33" w14:textId="77777777" w:rsidTr="00902B24">
        <w:trPr>
          <w:cantSplit/>
          <w:trHeight w:val="385"/>
        </w:trPr>
        <w:tc>
          <w:tcPr>
            <w:tcW w:w="834" w:type="pct"/>
            <w:tcBorders>
              <w:top w:val="single" w:sz="12" w:space="0" w:color="44546A"/>
              <w:left w:val="nil"/>
              <w:bottom w:val="single" w:sz="8" w:space="0" w:color="44546A"/>
              <w:right w:val="nil"/>
            </w:tcBorders>
            <w:shd w:val="clear" w:color="auto" w:fill="DEEAF6"/>
            <w:vAlign w:val="bottom"/>
          </w:tcPr>
          <w:p w14:paraId="1E3821F3" w14:textId="77777777" w:rsidR="003F0C09" w:rsidRPr="00B40AA3" w:rsidRDefault="003F0C09" w:rsidP="003F0C09">
            <w:pPr>
              <w:pStyle w:val="TableHeadingLeft"/>
            </w:pPr>
            <w:r>
              <w:t>Category</w:t>
            </w:r>
          </w:p>
        </w:tc>
        <w:tc>
          <w:tcPr>
            <w:tcW w:w="951" w:type="pct"/>
            <w:tcBorders>
              <w:top w:val="single" w:sz="12" w:space="0" w:color="44546A"/>
              <w:left w:val="nil"/>
              <w:bottom w:val="single" w:sz="8" w:space="0" w:color="44546A"/>
              <w:right w:val="nil"/>
            </w:tcBorders>
            <w:shd w:val="clear" w:color="auto" w:fill="DEEAF6"/>
            <w:vAlign w:val="bottom"/>
          </w:tcPr>
          <w:p w14:paraId="6A7B2949" w14:textId="77777777" w:rsidR="003F0C09" w:rsidRPr="00B40AA3" w:rsidRDefault="003F0C09" w:rsidP="003F0C09">
            <w:pPr>
              <w:pStyle w:val="TableHeadingLeft"/>
            </w:pPr>
            <w:r>
              <w:t>Aspect</w:t>
            </w:r>
          </w:p>
        </w:tc>
        <w:tc>
          <w:tcPr>
            <w:tcW w:w="3215" w:type="pct"/>
            <w:tcBorders>
              <w:top w:val="single" w:sz="12" w:space="0" w:color="44546A"/>
              <w:left w:val="nil"/>
              <w:bottom w:val="single" w:sz="8" w:space="0" w:color="44546A"/>
              <w:right w:val="nil"/>
            </w:tcBorders>
            <w:shd w:val="clear" w:color="auto" w:fill="DEEAF6"/>
            <w:vAlign w:val="bottom"/>
          </w:tcPr>
          <w:p w14:paraId="11EBD6B3" w14:textId="77777777" w:rsidR="003F0C09" w:rsidRPr="00B40AA3" w:rsidRDefault="003F0C09" w:rsidP="003F0C09">
            <w:pPr>
              <w:pStyle w:val="TableHeadingLeft"/>
            </w:pPr>
            <w:r>
              <w:t>Detail</w:t>
            </w:r>
          </w:p>
        </w:tc>
      </w:tr>
      <w:tr w:rsidR="00902B24" w:rsidRPr="00144F8C" w14:paraId="20B8F125" w14:textId="77777777" w:rsidTr="00902B24">
        <w:trPr>
          <w:cantSplit/>
          <w:trHeight w:val="2057"/>
        </w:trPr>
        <w:tc>
          <w:tcPr>
            <w:tcW w:w="834" w:type="pct"/>
            <w:tcBorders>
              <w:top w:val="nil"/>
              <w:left w:val="nil"/>
              <w:bottom w:val="nil"/>
              <w:right w:val="nil"/>
            </w:tcBorders>
            <w:shd w:val="clear" w:color="auto" w:fill="F2F2F2"/>
          </w:tcPr>
          <w:p w14:paraId="306350B5" w14:textId="77777777" w:rsidR="003F0C09" w:rsidRPr="00A658D0" w:rsidRDefault="003F0C09" w:rsidP="001164D6">
            <w:pPr>
              <w:pStyle w:val="TableTextLeft"/>
              <w:rPr>
                <w:b/>
              </w:rPr>
            </w:pPr>
            <w:r w:rsidRPr="00A658D0">
              <w:rPr>
                <w:b/>
              </w:rPr>
              <w:t>Objective</w:t>
            </w:r>
          </w:p>
        </w:tc>
        <w:tc>
          <w:tcPr>
            <w:tcW w:w="951" w:type="pct"/>
            <w:tcBorders>
              <w:top w:val="nil"/>
              <w:left w:val="nil"/>
              <w:bottom w:val="nil"/>
              <w:right w:val="nil"/>
            </w:tcBorders>
            <w:shd w:val="clear" w:color="auto" w:fill="F2F2F2"/>
          </w:tcPr>
          <w:p w14:paraId="6D1C02D9" w14:textId="77777777" w:rsidR="00BA2FA6" w:rsidRDefault="006162FD" w:rsidP="001164D6">
            <w:pPr>
              <w:pStyle w:val="TableTextLeft"/>
              <w:rPr>
                <w:b/>
              </w:rPr>
            </w:pPr>
            <w:r>
              <w:rPr>
                <w:b/>
              </w:rPr>
              <w:t xml:space="preserve">Overarching </w:t>
            </w:r>
            <w:r>
              <w:rPr>
                <w:b/>
              </w:rPr>
              <w:br/>
            </w:r>
          </w:p>
          <w:p w14:paraId="66A62987" w14:textId="77777777" w:rsidR="003F0C09" w:rsidRPr="00D370E6" w:rsidRDefault="003F0C09" w:rsidP="001164D6">
            <w:pPr>
              <w:pStyle w:val="TableTextLeft"/>
              <w:rPr>
                <w:b/>
              </w:rPr>
            </w:pPr>
            <w:r>
              <w:rPr>
                <w:b/>
              </w:rPr>
              <w:br/>
            </w:r>
            <w:r w:rsidRPr="00D370E6">
              <w:rPr>
                <w:b/>
              </w:rPr>
              <w:t>Interpretation</w:t>
            </w:r>
          </w:p>
        </w:tc>
        <w:tc>
          <w:tcPr>
            <w:tcW w:w="3215" w:type="pct"/>
            <w:tcBorders>
              <w:top w:val="nil"/>
              <w:left w:val="nil"/>
              <w:bottom w:val="nil"/>
              <w:right w:val="nil"/>
            </w:tcBorders>
            <w:shd w:val="clear" w:color="auto" w:fill="F2F2F2"/>
          </w:tcPr>
          <w:p w14:paraId="0F941310" w14:textId="77777777" w:rsidR="003F0C09" w:rsidRDefault="003F0C09" w:rsidP="001164D6">
            <w:pPr>
              <w:pStyle w:val="TableTextLeft"/>
            </w:pPr>
            <w:r w:rsidRPr="00A658D0">
              <w:t>To promote efficient investment in, and efficient operation and use of</w:t>
            </w:r>
            <w:r>
              <w:t>,</w:t>
            </w:r>
            <w:r w:rsidRPr="00A658D0">
              <w:t xml:space="preserve"> regulated services for the long</w:t>
            </w:r>
            <w:r>
              <w:t>-</w:t>
            </w:r>
            <w:r w:rsidRPr="00A658D0">
              <w:t>term interests of consumers in relation to the price, quality, safety, reliability and security of the service.</w:t>
            </w:r>
          </w:p>
          <w:p w14:paraId="3EABF952" w14:textId="77777777" w:rsidR="003F0C09" w:rsidRDefault="003F0C09" w:rsidP="001164D6">
            <w:pPr>
              <w:pStyle w:val="TableTextLeft"/>
            </w:pPr>
            <w:r>
              <w:t xml:space="preserve">The various aspects of economic efficiency are given emphasis, but with the ultimate objective being the long-term interests of consumers. Economic efficiency when properly defined encompasses environmental objectives. Consumer interests must take account of equity and other social impacts as required by the ICRC Act. </w:t>
            </w:r>
          </w:p>
          <w:p w14:paraId="66889494" w14:textId="77777777" w:rsidR="003F0C09" w:rsidRPr="00EC68F3" w:rsidRDefault="003F0C09" w:rsidP="001164D6">
            <w:pPr>
              <w:pStyle w:val="TableTextLeft"/>
            </w:pPr>
            <w:r>
              <w:t xml:space="preserve">Economic efficiency considerations related to pricing are a starting point but need to </w:t>
            </w:r>
            <w:proofErr w:type="gramStart"/>
            <w:r>
              <w:t>be balanced</w:t>
            </w:r>
            <w:proofErr w:type="gramEnd"/>
            <w:r>
              <w:t xml:space="preserve"> with environmental and social considerations. </w:t>
            </w:r>
          </w:p>
        </w:tc>
      </w:tr>
      <w:tr w:rsidR="00902B24" w:rsidRPr="00144F8C" w14:paraId="28FE0B69" w14:textId="77777777" w:rsidTr="00902B24">
        <w:trPr>
          <w:cantSplit/>
          <w:trHeight w:val="1001"/>
        </w:trPr>
        <w:tc>
          <w:tcPr>
            <w:tcW w:w="834" w:type="pct"/>
            <w:tcBorders>
              <w:top w:val="nil"/>
              <w:left w:val="nil"/>
              <w:bottom w:val="nil"/>
              <w:right w:val="nil"/>
            </w:tcBorders>
            <w:shd w:val="clear" w:color="auto" w:fill="D0CECE"/>
          </w:tcPr>
          <w:p w14:paraId="7207EA2F" w14:textId="08848160" w:rsidR="003F0C09" w:rsidRPr="000B08E5" w:rsidRDefault="003F0C09" w:rsidP="00902B24">
            <w:pPr>
              <w:pStyle w:val="TableTextLeft"/>
              <w:tabs>
                <w:tab w:val="left" w:pos="851"/>
              </w:tabs>
              <w:rPr>
                <w:b/>
              </w:rPr>
            </w:pPr>
            <w:r>
              <w:rPr>
                <w:b/>
              </w:rPr>
              <w:t xml:space="preserve">Pricing </w:t>
            </w:r>
            <w:r w:rsidR="00EB59C9">
              <w:rPr>
                <w:b/>
              </w:rPr>
              <w:t xml:space="preserve">          1 </w:t>
            </w:r>
            <w:r>
              <w:rPr>
                <w:b/>
              </w:rPr>
              <w:t>principle</w:t>
            </w:r>
            <w:r>
              <w:rPr>
                <w:b/>
              </w:rPr>
              <w:tab/>
            </w:r>
            <w:r w:rsidR="00902B24">
              <w:rPr>
                <w:b/>
              </w:rPr>
              <w:t xml:space="preserve">    </w:t>
            </w:r>
          </w:p>
        </w:tc>
        <w:tc>
          <w:tcPr>
            <w:tcW w:w="951" w:type="pct"/>
            <w:tcBorders>
              <w:top w:val="nil"/>
              <w:left w:val="nil"/>
              <w:bottom w:val="nil"/>
              <w:right w:val="nil"/>
            </w:tcBorders>
            <w:shd w:val="clear" w:color="auto" w:fill="D0CECE"/>
          </w:tcPr>
          <w:p w14:paraId="34B013CC" w14:textId="77777777" w:rsidR="003F0C09" w:rsidRPr="00DC674F" w:rsidRDefault="003F0C09" w:rsidP="001164D6">
            <w:pPr>
              <w:pStyle w:val="TableTextLeft"/>
              <w:rPr>
                <w:b/>
              </w:rPr>
            </w:pPr>
            <w:r w:rsidRPr="001E56D3">
              <w:rPr>
                <w:b/>
              </w:rPr>
              <w:t>Economic efficiency</w:t>
            </w:r>
            <w:r>
              <w:rPr>
                <w:b/>
              </w:rPr>
              <w:t xml:space="preserve"> in use</w:t>
            </w:r>
          </w:p>
        </w:tc>
        <w:tc>
          <w:tcPr>
            <w:tcW w:w="3215" w:type="pct"/>
            <w:tcBorders>
              <w:top w:val="nil"/>
              <w:left w:val="nil"/>
              <w:bottom w:val="nil"/>
              <w:right w:val="nil"/>
            </w:tcBorders>
            <w:shd w:val="clear" w:color="auto" w:fill="D0CECE"/>
          </w:tcPr>
          <w:p w14:paraId="61F4435D" w14:textId="77777777" w:rsidR="003F0C09" w:rsidRDefault="003F0C09" w:rsidP="001164D6">
            <w:pPr>
              <w:pStyle w:val="TableTextLeft"/>
            </w:pPr>
            <w:r w:rsidRPr="0051604C">
              <w:t>Tariff structures and prices should promote the economically efficient use of Icon Water</w:t>
            </w:r>
            <w:r>
              <w:t>’</w:t>
            </w:r>
            <w:r w:rsidRPr="0051604C">
              <w:t xml:space="preserve">s water and sewerage services infrastructure, and </w:t>
            </w:r>
            <w:proofErr w:type="gramStart"/>
            <w:r w:rsidRPr="0051604C">
              <w:t>should also</w:t>
            </w:r>
            <w:proofErr w:type="gramEnd"/>
            <w:r w:rsidRPr="0051604C">
              <w:t xml:space="preserve"> encourage economically efficient use of the water resource</w:t>
            </w:r>
            <w:r>
              <w:t xml:space="preserve"> itself</w:t>
            </w:r>
            <w:r w:rsidRPr="0051604C">
              <w:t xml:space="preserve">. </w:t>
            </w:r>
          </w:p>
          <w:p w14:paraId="72C920D9" w14:textId="77777777" w:rsidR="003F0C09" w:rsidRPr="00B40AA3" w:rsidRDefault="003F0C09" w:rsidP="001164D6">
            <w:pPr>
              <w:pStyle w:val="TableTextLeft"/>
            </w:pPr>
            <w:r>
              <w:t xml:space="preserve">An inappropriate tariff structure may also create incentives for uneconomic bypass where water supply </w:t>
            </w:r>
            <w:proofErr w:type="gramStart"/>
            <w:r>
              <w:t>is sourced</w:t>
            </w:r>
            <w:proofErr w:type="gramEnd"/>
            <w:r>
              <w:t xml:space="preserve"> from a higher cost alternative.</w:t>
            </w:r>
          </w:p>
        </w:tc>
        <w:bookmarkStart w:id="43" w:name="_GoBack"/>
        <w:bookmarkEnd w:id="43"/>
      </w:tr>
      <w:tr w:rsidR="00902B24" w:rsidRPr="00144F8C" w14:paraId="36F84FB4" w14:textId="77777777" w:rsidTr="00902B24">
        <w:trPr>
          <w:cantSplit/>
          <w:trHeight w:val="1324"/>
        </w:trPr>
        <w:tc>
          <w:tcPr>
            <w:tcW w:w="834" w:type="pct"/>
            <w:tcBorders>
              <w:top w:val="nil"/>
              <w:left w:val="nil"/>
              <w:bottom w:val="nil"/>
              <w:right w:val="nil"/>
            </w:tcBorders>
            <w:shd w:val="clear" w:color="auto" w:fill="D0CECE"/>
          </w:tcPr>
          <w:p w14:paraId="3508883F" w14:textId="77777777" w:rsidR="003F0C09" w:rsidRPr="000B2173" w:rsidRDefault="003F0C09" w:rsidP="001164D6">
            <w:pPr>
              <w:pStyle w:val="TableTextLeft"/>
              <w:jc w:val="right"/>
              <w:rPr>
                <w:b/>
              </w:rPr>
            </w:pPr>
            <w:r w:rsidRPr="000B2173">
              <w:rPr>
                <w:b/>
              </w:rPr>
              <w:t>2</w:t>
            </w:r>
          </w:p>
        </w:tc>
        <w:tc>
          <w:tcPr>
            <w:tcW w:w="951" w:type="pct"/>
            <w:tcBorders>
              <w:top w:val="nil"/>
              <w:left w:val="nil"/>
              <w:bottom w:val="nil"/>
              <w:right w:val="nil"/>
            </w:tcBorders>
            <w:shd w:val="clear" w:color="auto" w:fill="D0CECE"/>
          </w:tcPr>
          <w:p w14:paraId="235FAF35" w14:textId="77777777" w:rsidR="003F0C09" w:rsidRPr="001E56D3" w:rsidRDefault="003F0C09" w:rsidP="001164D6">
            <w:pPr>
              <w:pStyle w:val="TableTextLeft"/>
              <w:rPr>
                <w:b/>
              </w:rPr>
            </w:pPr>
            <w:r>
              <w:rPr>
                <w:b/>
              </w:rPr>
              <w:t>Economic efficiency for investment and operation</w:t>
            </w:r>
          </w:p>
        </w:tc>
        <w:tc>
          <w:tcPr>
            <w:tcW w:w="3215" w:type="pct"/>
            <w:tcBorders>
              <w:top w:val="nil"/>
              <w:left w:val="nil"/>
              <w:bottom w:val="nil"/>
              <w:right w:val="nil"/>
            </w:tcBorders>
            <w:shd w:val="clear" w:color="auto" w:fill="D0CECE"/>
          </w:tcPr>
          <w:p w14:paraId="28D14152" w14:textId="77777777" w:rsidR="003F0C09" w:rsidRDefault="003F0C09" w:rsidP="001164D6">
            <w:pPr>
              <w:pStyle w:val="TableTextLeft"/>
            </w:pPr>
            <w:r>
              <w:t xml:space="preserve">Tariff structures should facilitate the efficient recovery of the prudent and efficient costs of investment and operation. The finance recovery aspect of this principle </w:t>
            </w:r>
            <w:proofErr w:type="gramStart"/>
            <w:r>
              <w:t>is often described</w:t>
            </w:r>
            <w:proofErr w:type="gramEnd"/>
            <w:r>
              <w:t xml:space="preserve"> as revenue adequacy or ensuring financial viability. </w:t>
            </w:r>
          </w:p>
          <w:p w14:paraId="7EC3C20C" w14:textId="77777777" w:rsidR="003F0C09" w:rsidRPr="0051604C" w:rsidRDefault="003F0C09" w:rsidP="001164D6">
            <w:pPr>
              <w:pStyle w:val="TableTextLeft"/>
            </w:pPr>
            <w:r>
              <w:t xml:space="preserve">Costs also need to be efficient, which </w:t>
            </w:r>
            <w:proofErr w:type="gramStart"/>
            <w:r>
              <w:t>is primarily addressed</w:t>
            </w:r>
            <w:proofErr w:type="gramEnd"/>
            <w:r>
              <w:t xml:space="preserve"> by auditing and incentive mechanisms.</w:t>
            </w:r>
          </w:p>
        </w:tc>
      </w:tr>
      <w:tr w:rsidR="00902B24" w:rsidRPr="00144F8C" w14:paraId="2B5CCD7B" w14:textId="77777777" w:rsidTr="00902B24">
        <w:trPr>
          <w:cantSplit/>
          <w:trHeight w:val="393"/>
        </w:trPr>
        <w:tc>
          <w:tcPr>
            <w:tcW w:w="834" w:type="pct"/>
            <w:tcBorders>
              <w:top w:val="nil"/>
              <w:left w:val="nil"/>
              <w:bottom w:val="nil"/>
              <w:right w:val="nil"/>
            </w:tcBorders>
            <w:shd w:val="clear" w:color="auto" w:fill="FBE4D5"/>
          </w:tcPr>
          <w:p w14:paraId="6F168447" w14:textId="77777777" w:rsidR="003F0C09" w:rsidRPr="000B2173" w:rsidRDefault="003F0C09" w:rsidP="001164D6">
            <w:pPr>
              <w:pStyle w:val="TableTextLeft"/>
              <w:jc w:val="right"/>
              <w:rPr>
                <w:b/>
              </w:rPr>
            </w:pPr>
            <w:r>
              <w:rPr>
                <w:b/>
              </w:rPr>
              <w:t>3</w:t>
            </w:r>
          </w:p>
        </w:tc>
        <w:tc>
          <w:tcPr>
            <w:tcW w:w="951" w:type="pct"/>
            <w:tcBorders>
              <w:top w:val="nil"/>
              <w:left w:val="nil"/>
              <w:bottom w:val="nil"/>
              <w:right w:val="nil"/>
            </w:tcBorders>
            <w:shd w:val="clear" w:color="auto" w:fill="FBE4D5"/>
          </w:tcPr>
          <w:p w14:paraId="4DDD9A78" w14:textId="77777777" w:rsidR="003F0C09" w:rsidRPr="001E56D3" w:rsidRDefault="003F0C09" w:rsidP="001164D6">
            <w:pPr>
              <w:pStyle w:val="TableTextLeft"/>
              <w:rPr>
                <w:b/>
              </w:rPr>
            </w:pPr>
            <w:r>
              <w:rPr>
                <w:b/>
              </w:rPr>
              <w:t>Environmental considerations</w:t>
            </w:r>
          </w:p>
        </w:tc>
        <w:tc>
          <w:tcPr>
            <w:tcW w:w="3215" w:type="pct"/>
            <w:tcBorders>
              <w:top w:val="nil"/>
              <w:left w:val="nil"/>
              <w:bottom w:val="nil"/>
              <w:right w:val="nil"/>
            </w:tcBorders>
            <w:shd w:val="clear" w:color="auto" w:fill="FBE4D5"/>
          </w:tcPr>
          <w:p w14:paraId="497BBF0A" w14:textId="77777777" w:rsidR="003F0C09" w:rsidRPr="00B40AA3" w:rsidRDefault="003F0C09" w:rsidP="001164D6">
            <w:pPr>
              <w:pStyle w:val="TableTextLeft"/>
            </w:pPr>
            <w:r w:rsidRPr="00C159FF">
              <w:t>Tariff structures</w:t>
            </w:r>
            <w:r>
              <w:t>,</w:t>
            </w:r>
            <w:r w:rsidRPr="00C159FF">
              <w:t xml:space="preserve"> prices </w:t>
            </w:r>
            <w:r>
              <w:t xml:space="preserve">and complementary mechanisms should ensure that environmental objectives </w:t>
            </w:r>
            <w:proofErr w:type="gramStart"/>
            <w:r>
              <w:t>are effectively addressed</w:t>
            </w:r>
            <w:proofErr w:type="gramEnd"/>
            <w:r>
              <w:t xml:space="preserve">. </w:t>
            </w:r>
          </w:p>
        </w:tc>
      </w:tr>
      <w:tr w:rsidR="00902B24" w:rsidRPr="00144F8C" w14:paraId="5B1DD53E" w14:textId="77777777" w:rsidTr="00902B24">
        <w:trPr>
          <w:cantSplit/>
          <w:trHeight w:val="613"/>
        </w:trPr>
        <w:tc>
          <w:tcPr>
            <w:tcW w:w="834" w:type="pct"/>
            <w:tcBorders>
              <w:top w:val="nil"/>
              <w:left w:val="nil"/>
              <w:bottom w:val="nil"/>
              <w:right w:val="nil"/>
            </w:tcBorders>
            <w:shd w:val="clear" w:color="auto" w:fill="D9E2F3"/>
          </w:tcPr>
          <w:p w14:paraId="2243C246" w14:textId="77777777" w:rsidR="003F0C09" w:rsidRPr="000B2173" w:rsidRDefault="003F0C09" w:rsidP="001164D6">
            <w:pPr>
              <w:pStyle w:val="TableTextLeft"/>
              <w:jc w:val="right"/>
              <w:rPr>
                <w:b/>
              </w:rPr>
            </w:pPr>
            <w:r>
              <w:rPr>
                <w:b/>
              </w:rPr>
              <w:t>4</w:t>
            </w:r>
          </w:p>
        </w:tc>
        <w:tc>
          <w:tcPr>
            <w:tcW w:w="951" w:type="pct"/>
            <w:tcBorders>
              <w:top w:val="nil"/>
              <w:left w:val="nil"/>
              <w:bottom w:val="nil"/>
              <w:right w:val="nil"/>
            </w:tcBorders>
            <w:shd w:val="clear" w:color="auto" w:fill="D9E2F3"/>
          </w:tcPr>
          <w:p w14:paraId="1C80C210" w14:textId="77777777" w:rsidR="003F0C09" w:rsidRPr="00D255AE" w:rsidRDefault="003F0C09" w:rsidP="001164D6">
            <w:pPr>
              <w:pStyle w:val="TableTextLeft"/>
              <w:rPr>
                <w:b/>
              </w:rPr>
            </w:pPr>
            <w:r w:rsidRPr="00D255AE">
              <w:rPr>
                <w:b/>
              </w:rPr>
              <w:t xml:space="preserve">Community impact </w:t>
            </w:r>
            <w:r>
              <w:rPr>
                <w:b/>
              </w:rPr>
              <w:t>–</w:t>
            </w:r>
            <w:r w:rsidRPr="00D255AE">
              <w:rPr>
                <w:b/>
              </w:rPr>
              <w:t xml:space="preserve"> </w:t>
            </w:r>
            <w:r>
              <w:rPr>
                <w:b/>
              </w:rPr>
              <w:t xml:space="preserve">gradual adjustment </w:t>
            </w:r>
          </w:p>
        </w:tc>
        <w:tc>
          <w:tcPr>
            <w:tcW w:w="3215" w:type="pct"/>
            <w:tcBorders>
              <w:top w:val="nil"/>
              <w:left w:val="nil"/>
              <w:bottom w:val="nil"/>
              <w:right w:val="nil"/>
            </w:tcBorders>
            <w:shd w:val="clear" w:color="auto" w:fill="D9E2F3"/>
          </w:tcPr>
          <w:p w14:paraId="12A18FFF" w14:textId="77777777" w:rsidR="003F0C09" w:rsidRPr="00B40AA3" w:rsidRDefault="003F0C09" w:rsidP="001164D6">
            <w:pPr>
              <w:pStyle w:val="TableTextLeft"/>
            </w:pPr>
            <w:r>
              <w:t xml:space="preserve">Any change to the structure of tariffs and prices that will have substantial customer impacts </w:t>
            </w:r>
            <w:proofErr w:type="gramStart"/>
            <w:r>
              <w:t>should be phased in</w:t>
            </w:r>
            <w:proofErr w:type="gramEnd"/>
            <w:r>
              <w:t xml:space="preserve"> over a transition period to allow reasonable time for customers to adjust to the change.</w:t>
            </w:r>
          </w:p>
        </w:tc>
      </w:tr>
      <w:tr w:rsidR="00902B24" w:rsidRPr="00144F8C" w14:paraId="1B2783AE" w14:textId="77777777" w:rsidTr="00902B24">
        <w:trPr>
          <w:cantSplit/>
          <w:trHeight w:val="765"/>
        </w:trPr>
        <w:tc>
          <w:tcPr>
            <w:tcW w:w="834" w:type="pct"/>
            <w:tcBorders>
              <w:top w:val="nil"/>
              <w:left w:val="nil"/>
              <w:bottom w:val="nil"/>
              <w:right w:val="nil"/>
            </w:tcBorders>
            <w:shd w:val="clear" w:color="auto" w:fill="D9E2F3"/>
          </w:tcPr>
          <w:p w14:paraId="228AA0CA" w14:textId="77777777" w:rsidR="003F0C09" w:rsidRPr="000B2173" w:rsidRDefault="003F0C09" w:rsidP="001164D6">
            <w:pPr>
              <w:pStyle w:val="TableTextLeft"/>
              <w:jc w:val="right"/>
              <w:rPr>
                <w:b/>
              </w:rPr>
            </w:pPr>
            <w:r>
              <w:rPr>
                <w:b/>
              </w:rPr>
              <w:t>5</w:t>
            </w:r>
          </w:p>
        </w:tc>
        <w:tc>
          <w:tcPr>
            <w:tcW w:w="951" w:type="pct"/>
            <w:tcBorders>
              <w:top w:val="nil"/>
              <w:left w:val="nil"/>
              <w:bottom w:val="nil"/>
              <w:right w:val="nil"/>
            </w:tcBorders>
            <w:shd w:val="clear" w:color="auto" w:fill="D9E2F3"/>
          </w:tcPr>
          <w:p w14:paraId="3B472320" w14:textId="77777777" w:rsidR="003F0C09" w:rsidRPr="00D255AE" w:rsidRDefault="003F0C09" w:rsidP="001164D6">
            <w:pPr>
              <w:pStyle w:val="TableTextLeft"/>
              <w:rPr>
                <w:b/>
              </w:rPr>
            </w:pPr>
            <w:r w:rsidRPr="00D255AE">
              <w:rPr>
                <w:b/>
              </w:rPr>
              <w:t xml:space="preserve">Community impact </w:t>
            </w:r>
            <w:r>
              <w:rPr>
                <w:b/>
              </w:rPr>
              <w:t>–</w:t>
            </w:r>
            <w:r w:rsidRPr="00D255AE">
              <w:rPr>
                <w:b/>
              </w:rPr>
              <w:t xml:space="preserve"> </w:t>
            </w:r>
            <w:r>
              <w:rPr>
                <w:b/>
              </w:rPr>
              <w:t>fair outcomes for low-income households</w:t>
            </w:r>
          </w:p>
        </w:tc>
        <w:tc>
          <w:tcPr>
            <w:tcW w:w="3215" w:type="pct"/>
            <w:tcBorders>
              <w:top w:val="nil"/>
              <w:left w:val="nil"/>
              <w:bottom w:val="nil"/>
              <w:right w:val="nil"/>
            </w:tcBorders>
            <w:shd w:val="clear" w:color="auto" w:fill="D9E2F3"/>
          </w:tcPr>
          <w:p w14:paraId="331B4FE1" w14:textId="77777777" w:rsidR="003F0C09" w:rsidRDefault="003F0C09" w:rsidP="001164D6">
            <w:pPr>
              <w:pStyle w:val="TableTextLeft"/>
            </w:pPr>
            <w:r>
              <w:t xml:space="preserve">Adverse impacts on households with low incomes need to be </w:t>
            </w:r>
            <w:proofErr w:type="gramStart"/>
            <w:r>
              <w:t>limited</w:t>
            </w:r>
            <w:proofErr w:type="gramEnd"/>
            <w:r>
              <w:t xml:space="preserve"> or moderated by phasing and other compensating mechanisms or limits on changes to the tariff structure.</w:t>
            </w:r>
          </w:p>
          <w:p w14:paraId="39D428A1" w14:textId="77777777" w:rsidR="003F0C09" w:rsidRPr="00B40AA3" w:rsidRDefault="003F0C09" w:rsidP="001164D6">
            <w:pPr>
              <w:pStyle w:val="TableTextLeft"/>
            </w:pPr>
          </w:p>
        </w:tc>
      </w:tr>
      <w:tr w:rsidR="00902B24" w:rsidRPr="00144F8C" w14:paraId="7CD4A610" w14:textId="77777777" w:rsidTr="00902B24">
        <w:trPr>
          <w:cantSplit/>
          <w:trHeight w:val="355"/>
        </w:trPr>
        <w:tc>
          <w:tcPr>
            <w:tcW w:w="834" w:type="pct"/>
            <w:tcBorders>
              <w:top w:val="nil"/>
              <w:left w:val="nil"/>
              <w:bottom w:val="nil"/>
              <w:right w:val="nil"/>
            </w:tcBorders>
            <w:shd w:val="clear" w:color="auto" w:fill="E2EFD9"/>
          </w:tcPr>
          <w:p w14:paraId="55F35FDC" w14:textId="77777777" w:rsidR="003F0C09" w:rsidRPr="000B2173" w:rsidRDefault="003F0C09" w:rsidP="001164D6">
            <w:pPr>
              <w:pStyle w:val="TableTextLeft"/>
              <w:jc w:val="right"/>
              <w:rPr>
                <w:b/>
              </w:rPr>
            </w:pPr>
            <w:r>
              <w:rPr>
                <w:b/>
              </w:rPr>
              <w:t>6</w:t>
            </w:r>
          </w:p>
        </w:tc>
        <w:tc>
          <w:tcPr>
            <w:tcW w:w="951" w:type="pct"/>
            <w:tcBorders>
              <w:top w:val="nil"/>
              <w:left w:val="nil"/>
              <w:bottom w:val="nil"/>
              <w:right w:val="nil"/>
            </w:tcBorders>
            <w:shd w:val="clear" w:color="auto" w:fill="E2EFD9"/>
          </w:tcPr>
          <w:p w14:paraId="74B156DB" w14:textId="77777777" w:rsidR="003F0C09" w:rsidRPr="00912C28" w:rsidRDefault="007D605C" w:rsidP="007D605C">
            <w:pPr>
              <w:pStyle w:val="TableTextLeft"/>
              <w:rPr>
                <w:b/>
              </w:rPr>
            </w:pPr>
            <w:r>
              <w:rPr>
                <w:b/>
              </w:rPr>
              <w:t>Regulatory  governance –s</w:t>
            </w:r>
            <w:r w:rsidR="003F0C09">
              <w:rPr>
                <w:b/>
              </w:rPr>
              <w:t xml:space="preserve">implicity </w:t>
            </w:r>
          </w:p>
        </w:tc>
        <w:tc>
          <w:tcPr>
            <w:tcW w:w="3215" w:type="pct"/>
            <w:tcBorders>
              <w:top w:val="nil"/>
              <w:left w:val="nil"/>
              <w:bottom w:val="nil"/>
              <w:right w:val="nil"/>
            </w:tcBorders>
            <w:shd w:val="clear" w:color="auto" w:fill="E2EFD9"/>
          </w:tcPr>
          <w:p w14:paraId="525E0AE4" w14:textId="77777777" w:rsidR="003F0C09" w:rsidRPr="00B40AA3" w:rsidRDefault="003F0C09" w:rsidP="001164D6">
            <w:pPr>
              <w:pStyle w:val="TableTextLeft"/>
            </w:pPr>
            <w:r>
              <w:t>Tariff structures should be simple for customers to understand and straightforward for the utility to implement.</w:t>
            </w:r>
          </w:p>
        </w:tc>
      </w:tr>
      <w:tr w:rsidR="00902B24" w:rsidRPr="00144F8C" w14:paraId="73654621" w14:textId="77777777" w:rsidTr="00902B24">
        <w:trPr>
          <w:cantSplit/>
          <w:trHeight w:val="277"/>
        </w:trPr>
        <w:tc>
          <w:tcPr>
            <w:tcW w:w="834" w:type="pct"/>
            <w:tcBorders>
              <w:top w:val="nil"/>
              <w:left w:val="nil"/>
              <w:bottom w:val="single" w:sz="12" w:space="0" w:color="44546A"/>
              <w:right w:val="nil"/>
            </w:tcBorders>
            <w:shd w:val="clear" w:color="auto" w:fill="E2EFD9"/>
          </w:tcPr>
          <w:p w14:paraId="04F3C0D5" w14:textId="77777777" w:rsidR="003F0C09" w:rsidRPr="000B2173" w:rsidRDefault="003F0C09" w:rsidP="001164D6">
            <w:pPr>
              <w:pStyle w:val="TableTextLeft"/>
              <w:jc w:val="right"/>
              <w:rPr>
                <w:b/>
              </w:rPr>
            </w:pPr>
            <w:r>
              <w:rPr>
                <w:b/>
              </w:rPr>
              <w:t>7</w:t>
            </w:r>
          </w:p>
        </w:tc>
        <w:tc>
          <w:tcPr>
            <w:tcW w:w="951" w:type="pct"/>
            <w:tcBorders>
              <w:top w:val="nil"/>
              <w:left w:val="nil"/>
              <w:bottom w:val="single" w:sz="12" w:space="0" w:color="44546A"/>
              <w:right w:val="nil"/>
            </w:tcBorders>
            <w:shd w:val="clear" w:color="auto" w:fill="E2EFD9"/>
          </w:tcPr>
          <w:p w14:paraId="1639592A" w14:textId="77777777" w:rsidR="003F0C09" w:rsidRPr="00D255AE" w:rsidRDefault="007D605C" w:rsidP="007D605C">
            <w:pPr>
              <w:pStyle w:val="TableTextLeft"/>
              <w:rPr>
                <w:b/>
              </w:rPr>
            </w:pPr>
            <w:r>
              <w:rPr>
                <w:b/>
              </w:rPr>
              <w:t>Regulatory  governance –t</w:t>
            </w:r>
            <w:r w:rsidR="003F0C09" w:rsidRPr="00D255AE">
              <w:rPr>
                <w:b/>
              </w:rPr>
              <w:t>ransparency</w:t>
            </w:r>
          </w:p>
        </w:tc>
        <w:tc>
          <w:tcPr>
            <w:tcW w:w="3215" w:type="pct"/>
            <w:tcBorders>
              <w:top w:val="nil"/>
              <w:left w:val="nil"/>
              <w:bottom w:val="single" w:sz="12" w:space="0" w:color="44546A"/>
              <w:right w:val="nil"/>
            </w:tcBorders>
            <w:shd w:val="clear" w:color="auto" w:fill="E2EFD9"/>
          </w:tcPr>
          <w:p w14:paraId="311E530F" w14:textId="77777777" w:rsidR="003F0C09" w:rsidRPr="00B40AA3" w:rsidRDefault="003F0C09" w:rsidP="001164D6">
            <w:pPr>
              <w:pStyle w:val="TableTextLeft"/>
            </w:pPr>
            <w:r>
              <w:t>Tariff structures should be set using a transparent methodology and subject to public consultation and scrutiny.</w:t>
            </w:r>
          </w:p>
        </w:tc>
      </w:tr>
    </w:tbl>
    <w:p w14:paraId="0F405E78" w14:textId="77777777" w:rsidR="00EF19E9" w:rsidRDefault="00EF19E9" w:rsidP="00BA2FA6">
      <w:pPr>
        <w:spacing w:before="240"/>
      </w:pPr>
      <w:r>
        <w:lastRenderedPageBreak/>
        <w:t xml:space="preserve">A challenge </w:t>
      </w:r>
      <w:r w:rsidR="00F32698">
        <w:t xml:space="preserve">faced by </w:t>
      </w:r>
      <w:r>
        <w:t>the Commission</w:t>
      </w:r>
      <w:r w:rsidR="00F32698">
        <w:t>,</w:t>
      </w:r>
      <w:r>
        <w:t xml:space="preserve"> </w:t>
      </w:r>
      <w:r w:rsidR="00E176D6">
        <w:t>regulators</w:t>
      </w:r>
      <w:r w:rsidR="00F32698">
        <w:t xml:space="preserve"> more generally,</w:t>
      </w:r>
      <w:r w:rsidR="00E176D6">
        <w:t xml:space="preserve"> </w:t>
      </w:r>
      <w:r>
        <w:t>is in setting priorities.</w:t>
      </w:r>
      <w:r w:rsidR="00DC674F">
        <w:t xml:space="preserve"> </w:t>
      </w:r>
      <w:proofErr w:type="gramStart"/>
      <w:r>
        <w:t>There are multiple and potentially conflicting objectives but limited regulatory mechanisms that are under the Commission</w:t>
      </w:r>
      <w:r w:rsidR="00DC674F">
        <w:t>’</w:t>
      </w:r>
      <w:r>
        <w:t>s authority.</w:t>
      </w:r>
      <w:proofErr w:type="gramEnd"/>
      <w:r w:rsidR="00DC674F">
        <w:t xml:space="preserve"> </w:t>
      </w:r>
      <w:r>
        <w:t>The main policy instrument over which the Commission has control is prices</w:t>
      </w:r>
      <w:r w:rsidR="003F0C09">
        <w:t>,</w:t>
      </w:r>
      <w:r>
        <w:t xml:space="preserve"> </w:t>
      </w:r>
      <w:r w:rsidR="007A3F17">
        <w:t>yet</w:t>
      </w:r>
      <w:r w:rsidR="003F0C09">
        <w:t xml:space="preserve"> </w:t>
      </w:r>
      <w:r w:rsidR="007A3F17">
        <w:t xml:space="preserve">in setting </w:t>
      </w:r>
      <w:proofErr w:type="gramStart"/>
      <w:r w:rsidR="007A3F17">
        <w:t>prices</w:t>
      </w:r>
      <w:proofErr w:type="gramEnd"/>
      <w:r w:rsidR="007A3F17">
        <w:t xml:space="preserve"> </w:t>
      </w:r>
      <w:r>
        <w:t>it must have regard to a range of efficiency, environmental and social objectives.</w:t>
      </w:r>
      <w:r w:rsidR="00DC674F">
        <w:t xml:space="preserve"> </w:t>
      </w:r>
      <w:r>
        <w:t xml:space="preserve">In </w:t>
      </w:r>
      <w:r w:rsidR="00D13899">
        <w:t>addition,</w:t>
      </w:r>
      <w:r>
        <w:t xml:space="preserve"> social objectives </w:t>
      </w:r>
      <w:r w:rsidR="00677EA0">
        <w:t xml:space="preserve">– </w:t>
      </w:r>
      <w:r>
        <w:t xml:space="preserve">including objectives </w:t>
      </w:r>
      <w:r w:rsidR="007A3F17">
        <w:t>related to</w:t>
      </w:r>
      <w:r>
        <w:t xml:space="preserve"> fairness and other social </w:t>
      </w:r>
      <w:r w:rsidR="00D13899">
        <w:t>impacts</w:t>
      </w:r>
      <w:r w:rsidR="00677EA0">
        <w:t xml:space="preserve"> –</w:t>
      </w:r>
      <w:r>
        <w:t xml:space="preserve"> are difficult to define clearly.</w:t>
      </w:r>
      <w:r w:rsidR="00DC674F">
        <w:t xml:space="preserve"> </w:t>
      </w:r>
      <w:r>
        <w:t>Measures to address concerns about fairness and the impacts on low</w:t>
      </w:r>
      <w:r w:rsidR="00677EA0">
        <w:t>-</w:t>
      </w:r>
      <w:r>
        <w:t xml:space="preserve">income households </w:t>
      </w:r>
      <w:proofErr w:type="gramStart"/>
      <w:r>
        <w:t>are primarily exercised</w:t>
      </w:r>
      <w:proofErr w:type="gramEnd"/>
      <w:r>
        <w:t xml:space="preserve"> by other parts of </w:t>
      </w:r>
      <w:r w:rsidR="00677EA0">
        <w:t>g</w:t>
      </w:r>
      <w:r>
        <w:t>overnment.</w:t>
      </w:r>
      <w:r w:rsidR="00DC674F">
        <w:t xml:space="preserve"> </w:t>
      </w:r>
      <w:r>
        <w:t>This</w:t>
      </w:r>
      <w:r w:rsidR="00677EA0">
        <w:t>,</w:t>
      </w:r>
      <w:r>
        <w:t xml:space="preserve"> </w:t>
      </w:r>
      <w:r w:rsidRPr="007A3F17">
        <w:t>then</w:t>
      </w:r>
      <w:r w:rsidR="00677EA0" w:rsidRPr="007A3F17">
        <w:t>,</w:t>
      </w:r>
      <w:r w:rsidRPr="007A3F17">
        <w:t xml:space="preserve"> ine</w:t>
      </w:r>
      <w:r>
        <w:t xml:space="preserve">vitably implies that setting prices requires compromise and consultation with affected parties in arriving at conclusions that will effectively balance the various objectives. </w:t>
      </w:r>
    </w:p>
    <w:p w14:paraId="3374EC73" w14:textId="6FA12879" w:rsidR="00EF19E9" w:rsidRPr="00D815FD" w:rsidRDefault="00EF19E9" w:rsidP="00EF19E9">
      <w:r>
        <w:t>In the Commission</w:t>
      </w:r>
      <w:r w:rsidR="00DC674F">
        <w:t>’</w:t>
      </w:r>
      <w:r>
        <w:t>s view, the principles set o</w:t>
      </w:r>
      <w:r w:rsidRPr="007A3F17">
        <w:t xml:space="preserve">ut </w:t>
      </w:r>
      <w:r w:rsidR="007A3F17">
        <w:t xml:space="preserve">in </w:t>
      </w:r>
      <w:r w:rsidR="00AA6468">
        <w:fldChar w:fldCharType="begin"/>
      </w:r>
      <w:r w:rsidR="00AA6468">
        <w:instrText xml:space="preserve"> REF _Ref474142974 \h </w:instrText>
      </w:r>
      <w:r w:rsidR="00AA6468">
        <w:fldChar w:fldCharType="separate"/>
      </w:r>
      <w:r w:rsidR="00AA6468">
        <w:t>Table ES</w:t>
      </w:r>
      <w:r w:rsidR="00AA6468">
        <w:rPr>
          <w:noProof/>
        </w:rPr>
        <w:t>1</w:t>
      </w:r>
      <w:r w:rsidR="00AA6468">
        <w:fldChar w:fldCharType="end"/>
      </w:r>
      <w:r w:rsidR="007A3F17" w:rsidRPr="007A3F17">
        <w:t xml:space="preserve"> </w:t>
      </w:r>
      <w:r w:rsidRPr="007A3F17">
        <w:t>are con</w:t>
      </w:r>
      <w:r>
        <w:t>sistent with how economic regulators in other jurisdictions consider and assess the various objectives.</w:t>
      </w:r>
      <w:r w:rsidR="00DC674F">
        <w:t xml:space="preserve"> </w:t>
      </w:r>
      <w:r>
        <w:t>In balancing competing objectives, the Commission will consider economic efficiency aspects as a starting point, but</w:t>
      </w:r>
      <w:r w:rsidR="003C45C6">
        <w:t xml:space="preserve"> will also give</w:t>
      </w:r>
      <w:r>
        <w:t xml:space="preserve"> careful and transparent consideration of social and environmental impacts.</w:t>
      </w:r>
      <w:r w:rsidR="00DC674F">
        <w:t xml:space="preserve"> </w:t>
      </w:r>
    </w:p>
    <w:p w14:paraId="279FBCDD" w14:textId="77777777" w:rsidR="00EF19E9" w:rsidRPr="00F8654D" w:rsidRDefault="00EF19E9" w:rsidP="00EF19E9">
      <w:pPr>
        <w:pStyle w:val="Heading4"/>
      </w:pPr>
      <w:r w:rsidRPr="007A3F17">
        <w:t>Assessment of the</w:t>
      </w:r>
      <w:r w:rsidRPr="00F8654D">
        <w:t xml:space="preserve"> current water services tariff </w:t>
      </w:r>
    </w:p>
    <w:p w14:paraId="361D2FE5" w14:textId="77777777" w:rsidR="00EF19E9" w:rsidRPr="00F8654D" w:rsidRDefault="00EF19E9" w:rsidP="00EF19E9">
      <w:pPr>
        <w:rPr>
          <w:i/>
        </w:rPr>
      </w:pPr>
      <w:r w:rsidRPr="00F8654D">
        <w:rPr>
          <w:i/>
        </w:rPr>
        <w:t>Efficient usage</w:t>
      </w:r>
    </w:p>
    <w:p w14:paraId="18C33438" w14:textId="77777777" w:rsidR="00EF19E9" w:rsidRDefault="00EF19E9" w:rsidP="00EF19E9">
      <w:r>
        <w:t>The first aspect of economic efficiency relates to setting a usage charge that reflects relevant marginal social costs</w:t>
      </w:r>
      <w:r w:rsidR="00677EA0">
        <w:t>,</w:t>
      </w:r>
      <w:r>
        <w:t xml:space="preserve"> including the cost of using the water resource itself.</w:t>
      </w:r>
      <w:r w:rsidR="00DC674F">
        <w:t xml:space="preserve"> </w:t>
      </w:r>
      <w:r>
        <w:t xml:space="preserve">This aspect of economic efficiency </w:t>
      </w:r>
      <w:proofErr w:type="gramStart"/>
      <w:r>
        <w:t>is known</w:t>
      </w:r>
      <w:proofErr w:type="gramEnd"/>
      <w:r>
        <w:t xml:space="preserve"> as allocative efficiency.</w:t>
      </w:r>
      <w:r w:rsidR="008013DA">
        <w:t xml:space="preserve"> </w:t>
      </w:r>
    </w:p>
    <w:p w14:paraId="13B6FB86" w14:textId="77777777" w:rsidR="00EF19E9" w:rsidRDefault="00EF19E9" w:rsidP="00EF19E9">
      <w:r>
        <w:t>The usage component of the tariff is a per unit charge based on volumes used</w:t>
      </w:r>
      <w:r w:rsidR="00677EA0">
        <w:t>.</w:t>
      </w:r>
      <w:r w:rsidR="00DC674F">
        <w:t xml:space="preserve"> </w:t>
      </w:r>
      <w:r w:rsidR="00677EA0">
        <w:t>I</w:t>
      </w:r>
      <w:r>
        <w:t>deally</w:t>
      </w:r>
      <w:r w:rsidR="00677EA0">
        <w:t>, it</w:t>
      </w:r>
      <w:r>
        <w:t xml:space="preserve"> needs to </w:t>
      </w:r>
      <w:proofErr w:type="gramStart"/>
      <w:r>
        <w:t>be defined</w:t>
      </w:r>
      <w:proofErr w:type="gramEnd"/>
      <w:r>
        <w:t xml:space="preserve"> to include all the costs that the community incurs when an additional unit of consumption of water occurs</w:t>
      </w:r>
      <w:r w:rsidR="00677EA0">
        <w:t xml:space="preserve"> </w:t>
      </w:r>
      <w:r w:rsidR="00677EA0" w:rsidRPr="007A3F17">
        <w:t>–</w:t>
      </w:r>
      <w:r w:rsidRPr="00810D43">
        <w:t xml:space="preserve"> </w:t>
      </w:r>
      <w:r w:rsidR="000D252B">
        <w:t>that is,</w:t>
      </w:r>
      <w:r w:rsidRPr="00810D43">
        <w:t xml:space="preserve"> t</w:t>
      </w:r>
      <w:r>
        <w:t xml:space="preserve">he relevant measure of marginal cost, known as </w:t>
      </w:r>
      <w:r w:rsidR="00DC674F">
        <w:t>‘</w:t>
      </w:r>
      <w:r>
        <w:t>marginal social cost</w:t>
      </w:r>
      <w:r w:rsidR="00DC674F">
        <w:t>’</w:t>
      </w:r>
      <w:r>
        <w:t>.</w:t>
      </w:r>
      <w:r w:rsidR="00DC674F">
        <w:t xml:space="preserve"> </w:t>
      </w:r>
      <w:r>
        <w:t>The use of an appropriate measure of marginal cost for setting a usage price is in the interests of the community since it should reflect the true cost to society as a whole of using an additional marginal amount of water.</w:t>
      </w:r>
      <w:r w:rsidR="00DC674F">
        <w:t xml:space="preserve"> </w:t>
      </w:r>
      <w:r>
        <w:t>The measure of marginal social cost should include efficient operational costs, a component that reflects the value of the water itself, and any other externality-type costs not reflected in prices or other measures such as water restrictions.</w:t>
      </w:r>
      <w:r w:rsidR="00DC674F">
        <w:t xml:space="preserve"> </w:t>
      </w:r>
      <w:r>
        <w:t>If the consumption of water reduces the availability of water to others, including other consumers in the future, the loss of the value of water should be included in the measure of marginal social cost.</w:t>
      </w:r>
      <w:r w:rsidR="008013DA">
        <w:t xml:space="preserve"> </w:t>
      </w:r>
    </w:p>
    <w:p w14:paraId="6DDBF97A" w14:textId="77777777" w:rsidR="00EF19E9" w:rsidRDefault="00EF19E9" w:rsidP="00EF19E9">
      <w:r>
        <w:t xml:space="preserve">The fixed component of the tariff </w:t>
      </w:r>
      <w:proofErr w:type="gramStart"/>
      <w:r>
        <w:t>is not related</w:t>
      </w:r>
      <w:proofErr w:type="gramEnd"/>
      <w:r>
        <w:t xml:space="preserve"> to usage and should contribute as much as possible to the recovery of fixed costs</w:t>
      </w:r>
      <w:r w:rsidR="00810D43">
        <w:t>,</w:t>
      </w:r>
      <w:r>
        <w:t xml:space="preserve"> but without creating incentives to incur additional fixed costs.</w:t>
      </w:r>
      <w:r w:rsidR="00DC674F">
        <w:t xml:space="preserve"> </w:t>
      </w:r>
    </w:p>
    <w:p w14:paraId="2AFEA732" w14:textId="77777777" w:rsidR="00EF19E9" w:rsidRDefault="00810D43" w:rsidP="00EF19E9">
      <w:r>
        <w:t>The s</w:t>
      </w:r>
      <w:r w:rsidR="00EF19E9">
        <w:t>hort</w:t>
      </w:r>
      <w:r w:rsidR="00677EA0">
        <w:t>-</w:t>
      </w:r>
      <w:r w:rsidR="00EF19E9">
        <w:t xml:space="preserve">run marginal social cost is the preferred measure to guide regulation in setting a usage price to encourage efficient use, provided it is defined to include all costs that society incurs </w:t>
      </w:r>
      <w:proofErr w:type="gramStart"/>
      <w:r w:rsidR="00EF19E9">
        <w:t>as a result</w:t>
      </w:r>
      <w:proofErr w:type="gramEnd"/>
      <w:r w:rsidR="00EF19E9">
        <w:t xml:space="preserve"> of using an additional unit of water, including the value of </w:t>
      </w:r>
      <w:r>
        <w:t xml:space="preserve">the </w:t>
      </w:r>
      <w:r w:rsidR="00EF19E9">
        <w:t>water itself.</w:t>
      </w:r>
      <w:r w:rsidR="00DC674F">
        <w:t xml:space="preserve"> </w:t>
      </w:r>
      <w:r w:rsidR="00EF19E9">
        <w:t xml:space="preserve">However, it is difficult to establish an appropriate measure of </w:t>
      </w:r>
      <w:r w:rsidR="00EF19E9">
        <w:lastRenderedPageBreak/>
        <w:t>short</w:t>
      </w:r>
      <w:r w:rsidR="0015781C">
        <w:t>-</w:t>
      </w:r>
      <w:r w:rsidR="00EF19E9">
        <w:t>run marginal social cost.</w:t>
      </w:r>
      <w:r w:rsidR="00DC674F">
        <w:t xml:space="preserve"> </w:t>
      </w:r>
      <w:r w:rsidR="00EF19E9">
        <w:t>In practice</w:t>
      </w:r>
      <w:r w:rsidR="0015781C">
        <w:t>,</w:t>
      </w:r>
      <w:r w:rsidR="00EF19E9">
        <w:t xml:space="preserve"> most regulators prefer to use a measure of long</w:t>
      </w:r>
      <w:r w:rsidR="0015781C">
        <w:t>-</w:t>
      </w:r>
      <w:r w:rsidR="00EF19E9">
        <w:t>run marginal cost</w:t>
      </w:r>
      <w:r>
        <w:t>,</w:t>
      </w:r>
      <w:r w:rsidR="00EF19E9">
        <w:t xml:space="preserve"> which includes the additional infrastructure costs that </w:t>
      </w:r>
      <w:proofErr w:type="gramStart"/>
      <w:r w:rsidR="00EF19E9">
        <w:t>are incurred</w:t>
      </w:r>
      <w:proofErr w:type="gramEnd"/>
      <w:r w:rsidR="00EF19E9">
        <w:t xml:space="preserve"> in the future when additional water services are consumed today.</w:t>
      </w:r>
      <w:r w:rsidR="00DC674F">
        <w:t xml:space="preserve"> </w:t>
      </w:r>
      <w:r w:rsidR="00EF19E9">
        <w:t>The measure of long</w:t>
      </w:r>
      <w:r w:rsidR="0015781C">
        <w:t>-</w:t>
      </w:r>
      <w:r w:rsidR="00EF19E9">
        <w:t>run marginal cost may also include an estimate of the cost of the water resource itself.</w:t>
      </w:r>
    </w:p>
    <w:p w14:paraId="0660F5F8" w14:textId="77777777" w:rsidR="00EF19E9" w:rsidRDefault="00EF19E9" w:rsidP="00EF19E9">
      <w:r>
        <w:t>The Commission calculated various estimates of short</w:t>
      </w:r>
      <w:r w:rsidR="0015781C">
        <w:t>-</w:t>
      </w:r>
      <w:r>
        <w:t>run marginal cost and long</w:t>
      </w:r>
      <w:r w:rsidR="0015781C">
        <w:t>-</w:t>
      </w:r>
      <w:r>
        <w:t>run marginal cos</w:t>
      </w:r>
      <w:r w:rsidRPr="00810D43">
        <w:t>t to compare with the</w:t>
      </w:r>
      <w:r>
        <w:t xml:space="preserve"> usage prices in the current tariff structure.</w:t>
      </w:r>
      <w:r w:rsidR="00DC674F">
        <w:t xml:space="preserve"> </w:t>
      </w:r>
      <w:r>
        <w:t>The estimates ranged from a low of $0.72 per kL to a high of $1.74 per kL.</w:t>
      </w:r>
      <w:r w:rsidR="00DC674F">
        <w:t xml:space="preserve"> </w:t>
      </w:r>
      <w:r>
        <w:t>The two most common long</w:t>
      </w:r>
      <w:r w:rsidR="0015781C">
        <w:t>-</w:t>
      </w:r>
      <w:r>
        <w:t>run measurement methods provide</w:t>
      </w:r>
      <w:r w:rsidR="00810D43">
        <w:t>d</w:t>
      </w:r>
      <w:r>
        <w:t xml:space="preserve"> estimates of similar magnitude near the top of the range.</w:t>
      </w:r>
      <w:r w:rsidR="00DC674F">
        <w:t xml:space="preserve"> </w:t>
      </w:r>
      <w:r>
        <w:t>However, the Commission acknowledges that these estimates are imperfect, as they do not include a value for the water resource itself that effectively reflects its value to the community.</w:t>
      </w:r>
      <w:r w:rsidR="00DC674F">
        <w:t xml:space="preserve"> </w:t>
      </w:r>
      <w:r>
        <w:t>In addition, the value of the water resource could change significantly in times of drought, complicating the implementation of a measure of marginal cost that includes a current estimate of the value of water.</w:t>
      </w:r>
      <w:r w:rsidR="00DC674F">
        <w:t xml:space="preserve"> </w:t>
      </w:r>
    </w:p>
    <w:p w14:paraId="50C8E58A" w14:textId="77777777" w:rsidR="00EF19E9" w:rsidRDefault="00EF19E9" w:rsidP="00EF19E9">
      <w:r>
        <w:t>Icon Water</w:t>
      </w:r>
      <w:r w:rsidR="00DC674F">
        <w:t>’</w:t>
      </w:r>
      <w:r>
        <w:t xml:space="preserve">s current two-tier usage prices for water </w:t>
      </w:r>
      <w:proofErr w:type="gramStart"/>
      <w:r>
        <w:t>are calculated</w:t>
      </w:r>
      <w:proofErr w:type="gramEnd"/>
      <w:r>
        <w:t xml:space="preserve"> on </w:t>
      </w:r>
      <w:r w:rsidRPr="000F09DA">
        <w:t xml:space="preserve">a daily pro-rata </w:t>
      </w:r>
      <w:r>
        <w:t>basis and billing occurs quarterly.</w:t>
      </w:r>
      <w:r w:rsidR="00DC674F">
        <w:t xml:space="preserve"> </w:t>
      </w:r>
      <w:r>
        <w:t>The charges are $2.61 per kL for the first 0.548 kL per day and $5.24 per kL thereafter.</w:t>
      </w:r>
      <w:r w:rsidR="00DC674F">
        <w:t xml:space="preserve"> </w:t>
      </w:r>
      <w:r>
        <w:t>This means that the second</w:t>
      </w:r>
      <w:r w:rsidR="0015781C">
        <w:t>-</w:t>
      </w:r>
      <w:r>
        <w:t>tier charge can occur for consumption over the year that is less than 200</w:t>
      </w:r>
      <w:r w:rsidR="0015781C">
        <w:t> </w:t>
      </w:r>
      <w:r>
        <w:t>kL.</w:t>
      </w:r>
      <w:r w:rsidR="008013DA">
        <w:t xml:space="preserve"> </w:t>
      </w:r>
      <w:r>
        <w:t>What is clear is that, irrespective of which measure is used, all the marginal cost estimates at this time appear to be well below these prices. This conclusion holds in the face of the sensitivity tests the Commission performed on the various measures of marginal cost.</w:t>
      </w:r>
    </w:p>
    <w:p w14:paraId="461AACAF" w14:textId="77777777" w:rsidR="00EF19E9" w:rsidRDefault="00EF19E9" w:rsidP="00EF19E9">
      <w:r>
        <w:t>Pricing according to marginal cost means that in times of drought the marginal charge would need to be high to reflect the scarcity value of water</w:t>
      </w:r>
      <w:r w:rsidR="00A817AA">
        <w:t>,</w:t>
      </w:r>
      <w:r>
        <w:t xml:space="preserve"> but in times where security of supply </w:t>
      </w:r>
      <w:proofErr w:type="gramStart"/>
      <w:r>
        <w:t>is more assured</w:t>
      </w:r>
      <w:proofErr w:type="gramEnd"/>
      <w:r>
        <w:t xml:space="preserve"> the marginal charge should be lower since water is less scarce.</w:t>
      </w:r>
      <w:r w:rsidR="00DC674F">
        <w:t xml:space="preserve"> </w:t>
      </w:r>
      <w:r>
        <w:t>Reflecting scarcity value in prices is an essential aspect of outcomes in competitive markets and in markets where economic regulation is justified.</w:t>
      </w:r>
      <w:r w:rsidR="00DC674F">
        <w:t xml:space="preserve"> </w:t>
      </w:r>
      <w:r>
        <w:t xml:space="preserve">The </w:t>
      </w:r>
      <w:r w:rsidR="00A817AA">
        <w:t xml:space="preserve">current </w:t>
      </w:r>
      <w:r>
        <w:t>security of supply conditions are consistent with reducing the usage charges to reflect the availability of water, but this would need to be balanced with the flexibility to increase the marginal usage price if tight supply conditions emerge in the future.</w:t>
      </w:r>
      <w:r w:rsidR="00DC674F">
        <w:t xml:space="preserve"> </w:t>
      </w:r>
    </w:p>
    <w:p w14:paraId="085F8F58" w14:textId="77777777" w:rsidR="00EF19E9" w:rsidRDefault="00EF19E9" w:rsidP="00EF19E9">
      <w:r>
        <w:t xml:space="preserve">There are likely </w:t>
      </w:r>
      <w:r w:rsidR="00A817AA">
        <w:t xml:space="preserve">to be </w:t>
      </w:r>
      <w:r>
        <w:t>inefficiencies when the marginal price exceeds a relevant measure of marginal cost.</w:t>
      </w:r>
      <w:r w:rsidR="00DC674F">
        <w:t xml:space="preserve"> </w:t>
      </w:r>
      <w:r>
        <w:t>First, where the usage price exceeds the true measure of marginal social cost, customers will forgo the value of additional consumption that exceeds the relevant measure of costs.</w:t>
      </w:r>
      <w:r w:rsidR="00DC674F">
        <w:t xml:space="preserve"> </w:t>
      </w:r>
      <w:r>
        <w:t>However, the Commission</w:t>
      </w:r>
      <w:r w:rsidR="00DC674F">
        <w:t>’</w:t>
      </w:r>
      <w:r>
        <w:t>s technical study show</w:t>
      </w:r>
      <w:r w:rsidR="00EC0609">
        <w:t>ed</w:t>
      </w:r>
      <w:r>
        <w:t xml:space="preserve"> that the responsiveness of the overall demand for water to price changes is very low</w:t>
      </w:r>
      <w:r w:rsidR="009C5D25">
        <w:t>,</w:t>
      </w:r>
      <w:r>
        <w:rPr>
          <w:rStyle w:val="FootnoteReference"/>
        </w:rPr>
        <w:footnoteReference w:id="6"/>
      </w:r>
      <w:r>
        <w:t xml:space="preserve"> so this effect is likely to be relatively small in the aggregate but still important for customers who value additional water use in excess of its true cost.</w:t>
      </w:r>
      <w:r w:rsidR="008013DA">
        <w:rPr>
          <w:rStyle w:val="CommentReference"/>
        </w:rPr>
        <w:t xml:space="preserve"> </w:t>
      </w:r>
      <w:r>
        <w:t>Second, and of potentially more importance, a high usage price is likely to create incentives for uneconomic bypass</w:t>
      </w:r>
      <w:r w:rsidR="00AC7501">
        <w:t>,</w:t>
      </w:r>
      <w:r>
        <w:t xml:space="preserve"> where large users purchase water from an alternative source that is less costly to them </w:t>
      </w:r>
      <w:r w:rsidRPr="00AC7501">
        <w:t>but of</w:t>
      </w:r>
      <w:r>
        <w:t xml:space="preserve"> higher cost than the true cost to the community.</w:t>
      </w:r>
      <w:r w:rsidR="00DC674F">
        <w:t xml:space="preserve"> </w:t>
      </w:r>
      <w:r>
        <w:t xml:space="preserve">A tariff structure that better reflects the efficient costs of marginal supply </w:t>
      </w:r>
      <w:proofErr w:type="gramStart"/>
      <w:r>
        <w:lastRenderedPageBreak/>
        <w:t>can</w:t>
      </w:r>
      <w:proofErr w:type="gramEnd"/>
      <w:r>
        <w:t xml:space="preserve"> better ensure that this uneconomic bypass</w:t>
      </w:r>
      <w:r w:rsidR="00D02170">
        <w:t>–</w:t>
      </w:r>
      <w:r>
        <w:t xml:space="preserve">related economic inefficiency does not occur. </w:t>
      </w:r>
    </w:p>
    <w:p w14:paraId="550AC74F" w14:textId="77777777" w:rsidR="00EF19E9" w:rsidRDefault="00EF19E9" w:rsidP="00EF19E9">
      <w:r>
        <w:t xml:space="preserve">It is also important to recognise that if pricing </w:t>
      </w:r>
      <w:r w:rsidR="00EC0609">
        <w:t xml:space="preserve">were </w:t>
      </w:r>
      <w:r>
        <w:t xml:space="preserve">set with regard to economic efficiency </w:t>
      </w:r>
      <w:r w:rsidR="00EC0609">
        <w:t xml:space="preserve">alone, </w:t>
      </w:r>
      <w:r>
        <w:t>there would be only a single usage cha</w:t>
      </w:r>
      <w:r w:rsidRPr="00EC0609">
        <w:t>rge</w:t>
      </w:r>
      <w:r w:rsidR="00EC0609">
        <w:t>. This is because there would</w:t>
      </w:r>
      <w:r w:rsidRPr="00EC0609">
        <w:t xml:space="preserve"> </w:t>
      </w:r>
      <w:r w:rsidR="00EC0609">
        <w:t>be</w:t>
      </w:r>
      <w:r w:rsidRPr="00EC0609">
        <w:t xml:space="preserve"> a</w:t>
      </w:r>
      <w:r>
        <w:t xml:space="preserve"> single measure of marginal social cost that is not dependent on individual usage but rather related to overall usage.</w:t>
      </w:r>
      <w:r w:rsidR="00DC674F">
        <w:t xml:space="preserve"> </w:t>
      </w:r>
    </w:p>
    <w:p w14:paraId="198CFF36" w14:textId="77777777" w:rsidR="00EF19E9" w:rsidRPr="007F39B7" w:rsidRDefault="00EF19E9" w:rsidP="00EF19E9">
      <w:r>
        <w:t>However, a two</w:t>
      </w:r>
      <w:r w:rsidR="009C5D25">
        <w:t>-</w:t>
      </w:r>
      <w:r>
        <w:t xml:space="preserve">tier usage charge may be </w:t>
      </w:r>
      <w:r w:rsidR="00EC0609">
        <w:t>effective in meeting</w:t>
      </w:r>
      <w:r>
        <w:t xml:space="preserve"> other objectives, such as providing an amount of water at a lower rate for essential consumption.</w:t>
      </w:r>
      <w:r w:rsidR="00DC674F">
        <w:t xml:space="preserve"> </w:t>
      </w:r>
      <w:r>
        <w:t>The two-tier price structure has been justified on this basis.</w:t>
      </w:r>
      <w:r w:rsidR="00DC674F">
        <w:t xml:space="preserve"> </w:t>
      </w:r>
      <w:r>
        <w:t xml:space="preserve">However, the Commission has to consider the benefits against the economic inefficiencies that </w:t>
      </w:r>
      <w:r w:rsidR="00EC0609">
        <w:t xml:space="preserve">such a structure can </w:t>
      </w:r>
      <w:r>
        <w:t>create.</w:t>
      </w:r>
    </w:p>
    <w:p w14:paraId="51278878" w14:textId="77777777" w:rsidR="00EF19E9" w:rsidRPr="00106B3F" w:rsidRDefault="00EF19E9" w:rsidP="00EF19E9">
      <w:pPr>
        <w:rPr>
          <w:i/>
        </w:rPr>
      </w:pPr>
      <w:r w:rsidRPr="00106B3F">
        <w:rPr>
          <w:i/>
        </w:rPr>
        <w:t>Efficient cost recovery</w:t>
      </w:r>
    </w:p>
    <w:p w14:paraId="74AB32DD" w14:textId="77777777" w:rsidR="00EF19E9" w:rsidRDefault="00EF19E9" w:rsidP="00EF19E9">
      <w:r>
        <w:t xml:space="preserve">Another key aspect of economic efficiency is </w:t>
      </w:r>
      <w:r w:rsidR="00EC0609">
        <w:t>ensuring</w:t>
      </w:r>
      <w:r>
        <w:t xml:space="preserve"> that the costs of efficient supply </w:t>
      </w:r>
      <w:proofErr w:type="gramStart"/>
      <w:r>
        <w:t>are recovered</w:t>
      </w:r>
      <w:proofErr w:type="gramEnd"/>
      <w:r>
        <w:t xml:space="preserve"> over the longer term.</w:t>
      </w:r>
      <w:r w:rsidR="00DC674F">
        <w:t xml:space="preserve"> </w:t>
      </w:r>
      <w:r>
        <w:t>If revenue is not sufficient to cover costs</w:t>
      </w:r>
      <w:r w:rsidR="00D13899">
        <w:t>,</w:t>
      </w:r>
      <w:r>
        <w:t xml:space="preserve"> this can discourage efficient investment and put the security of supply at risk. </w:t>
      </w:r>
    </w:p>
    <w:p w14:paraId="66CB4F3B" w14:textId="77777777" w:rsidR="003544E8" w:rsidRDefault="00EF19E9" w:rsidP="00EF19E9">
      <w:r>
        <w:t>Icon Water</w:t>
      </w:r>
      <w:r w:rsidR="00DC674F">
        <w:t>’</w:t>
      </w:r>
      <w:r>
        <w:t>s capital costs are about 50 per cent of its total revenue requirement, with operating expenditure, the water abstraction charge and the utilities network facilities tax making up most of the rest.</w:t>
      </w:r>
      <w:r w:rsidR="00DC674F">
        <w:t xml:space="preserve"> </w:t>
      </w:r>
      <w:r>
        <w:t xml:space="preserve">In addition, most components of </w:t>
      </w:r>
      <w:r w:rsidR="00FF0BFD">
        <w:t xml:space="preserve">its </w:t>
      </w:r>
      <w:r>
        <w:t xml:space="preserve">operating expenditure </w:t>
      </w:r>
      <w:proofErr w:type="gramStart"/>
      <w:r>
        <w:t>are fixed</w:t>
      </w:r>
      <w:proofErr w:type="gramEnd"/>
      <w:r>
        <w:t>, meaning that they do not vary with output</w:t>
      </w:r>
      <w:r w:rsidR="009C5D25">
        <w:t xml:space="preserve"> (</w:t>
      </w:r>
      <w:r>
        <w:t>for example</w:t>
      </w:r>
      <w:r w:rsidR="009C5D25">
        <w:t>,</w:t>
      </w:r>
      <w:r>
        <w:t xml:space="preserve"> corporate and other administration costs</w:t>
      </w:r>
      <w:r w:rsidR="009C5D25">
        <w:t>)</w:t>
      </w:r>
      <w:r>
        <w:t>.</w:t>
      </w:r>
      <w:r w:rsidR="00DC674F">
        <w:t xml:space="preserve"> </w:t>
      </w:r>
      <w:r>
        <w:t xml:space="preserve">The main variable costs are </w:t>
      </w:r>
      <w:proofErr w:type="gramStart"/>
      <w:r>
        <w:t>pumping and treatment costs</w:t>
      </w:r>
      <w:proofErr w:type="gramEnd"/>
      <w:r>
        <w:t xml:space="preserve"> and the volume</w:t>
      </w:r>
      <w:r w:rsidR="009C5D25">
        <w:t>-</w:t>
      </w:r>
      <w:r>
        <w:t>related water abstraction charges</w:t>
      </w:r>
      <w:r w:rsidR="00EE19BB">
        <w:t>,</w:t>
      </w:r>
      <w:r>
        <w:t xml:space="preserve"> which together constitute only around 16 per cent of Icon Water</w:t>
      </w:r>
      <w:r w:rsidR="00DC674F">
        <w:t>’</w:t>
      </w:r>
      <w:r>
        <w:t>s total revenue. In contrast, the current tariff structure is characterised by a relatively low supply charge and high reliance on usage charges.</w:t>
      </w:r>
      <w:r w:rsidR="00DC674F">
        <w:t xml:space="preserve"> </w:t>
      </w:r>
    </w:p>
    <w:p w14:paraId="20AB6985" w14:textId="77777777" w:rsidR="00EF19E9" w:rsidRDefault="003544E8" w:rsidP="00EF19E9">
      <w:r>
        <w:t>The lack of alignment between</w:t>
      </w:r>
      <w:r w:rsidR="00EF19E9">
        <w:t xml:space="preserve"> the fixed and variable components of the cost structure and the fixed and usage components of the revenue structure increases the risk that Icon Water will not realise revenues to recover its sunk and other fixed costs.</w:t>
      </w:r>
      <w:r w:rsidR="00DC674F">
        <w:t xml:space="preserve"> </w:t>
      </w:r>
      <w:r w:rsidR="00EF19E9">
        <w:t xml:space="preserve">As a result, in the face of declining demand, usage </w:t>
      </w:r>
      <w:r w:rsidR="00FF0BFD">
        <w:t xml:space="preserve">charges </w:t>
      </w:r>
      <w:r w:rsidR="00EF19E9">
        <w:t>may need to increase significantly to ensure full cost recovery for Icon Water.</w:t>
      </w:r>
      <w:r w:rsidR="00DC674F">
        <w:t xml:space="preserve"> </w:t>
      </w:r>
    </w:p>
    <w:p w14:paraId="6AFBDA0C" w14:textId="77777777" w:rsidR="00EF19E9" w:rsidRDefault="00EF19E9" w:rsidP="00EF19E9">
      <w:r>
        <w:t>In addition, although the fixed supply charge and Tier 1 and Tier 2 usage charges can be set at levels that generate revenue that could recover Icon Water</w:t>
      </w:r>
      <w:r w:rsidR="00DC674F">
        <w:t>’</w:t>
      </w:r>
      <w:r>
        <w:t>s costs, estimates of the targeted revenue depend on forecasts of demand in order to set appropriate prices.</w:t>
      </w:r>
      <w:r w:rsidR="00DC674F">
        <w:t xml:space="preserve"> </w:t>
      </w:r>
      <w:r>
        <w:t>Variability in demand means variability in revenues for Icon Water</w:t>
      </w:r>
      <w:r w:rsidR="00E828FC">
        <w:t>,</w:t>
      </w:r>
      <w:r>
        <w:t xml:space="preserve"> and this increases </w:t>
      </w:r>
      <w:r w:rsidR="00E828FC">
        <w:t xml:space="preserve">the </w:t>
      </w:r>
      <w:r>
        <w:t>financial risk for Icon Water and its owner</w:t>
      </w:r>
      <w:r w:rsidR="00351123">
        <w:t xml:space="preserve"> –</w:t>
      </w:r>
      <w:r>
        <w:t xml:space="preserve"> the ACT Government on behalf of the ACT community.</w:t>
      </w:r>
      <w:r w:rsidR="00DC674F">
        <w:t xml:space="preserve"> </w:t>
      </w:r>
      <w:r>
        <w:t>This is particularly the case whe</w:t>
      </w:r>
      <w:r w:rsidR="00E828FC">
        <w:t>n</w:t>
      </w:r>
      <w:r>
        <w:t xml:space="preserve"> water restrictions are in place and there are separate policies and actions to discourage the use of water. </w:t>
      </w:r>
    </w:p>
    <w:p w14:paraId="5AE8EA2E" w14:textId="77777777" w:rsidR="00EF19E9" w:rsidRDefault="00EF19E9" w:rsidP="00EF19E9">
      <w:r>
        <w:t xml:space="preserve">To some </w:t>
      </w:r>
      <w:proofErr w:type="gramStart"/>
      <w:r>
        <w:t>extent</w:t>
      </w:r>
      <w:proofErr w:type="gramEnd"/>
      <w:r>
        <w:t xml:space="preserve"> the problem can be addressed by regulatory mechanisms that allow price resets or the use of unders and overs accounts (i.e. accounts that track under</w:t>
      </w:r>
      <w:r w:rsidR="00E828FC">
        <w:t>-</w:t>
      </w:r>
      <w:r>
        <w:t xml:space="preserve"> and over</w:t>
      </w:r>
      <w:r w:rsidR="00E828FC">
        <w:t>-</w:t>
      </w:r>
      <w:r>
        <w:t>recovery of revenue to provide a basis for subsequent price adjustment).</w:t>
      </w:r>
      <w:r w:rsidR="00DC674F">
        <w:t xml:space="preserve"> </w:t>
      </w:r>
      <w:r>
        <w:lastRenderedPageBreak/>
        <w:t xml:space="preserve">However, guarantees that revenues will always fully recover actual costs lead to a risk that Icon Water </w:t>
      </w:r>
      <w:proofErr w:type="gramStart"/>
      <w:r>
        <w:t>will be less focused</w:t>
      </w:r>
      <w:proofErr w:type="gramEnd"/>
      <w:r>
        <w:t xml:space="preserve"> on cost efficiency.</w:t>
      </w:r>
      <w:r w:rsidR="00DC674F">
        <w:t xml:space="preserve"> </w:t>
      </w:r>
      <w:r>
        <w:t xml:space="preserve">A move in the direction of some rebalancing of the tariff to ensure a larger fixed component </w:t>
      </w:r>
      <w:r w:rsidR="00E828FC">
        <w:t xml:space="preserve">would </w:t>
      </w:r>
      <w:r>
        <w:t>reduce revenue risk</w:t>
      </w:r>
      <w:r w:rsidR="00E828FC">
        <w:t>,</w:t>
      </w:r>
      <w:r>
        <w:t xml:space="preserve"> but a guarantee of full cost recovery </w:t>
      </w:r>
      <w:r w:rsidR="00E828FC">
        <w:t xml:space="preserve">might </w:t>
      </w:r>
      <w:r>
        <w:t>reduce the incentive to ensure that costs are efficient.</w:t>
      </w:r>
      <w:r w:rsidR="00DC674F">
        <w:t xml:space="preserve"> </w:t>
      </w:r>
    </w:p>
    <w:p w14:paraId="346CCF3D" w14:textId="77777777" w:rsidR="00EF19E9" w:rsidRDefault="00EF19E9" w:rsidP="00EF19E9">
      <w:r>
        <w:t xml:space="preserve">There are also social and environmental considerations that limit the extent to which the </w:t>
      </w:r>
      <w:r w:rsidR="00584ACE">
        <w:t xml:space="preserve">components of the </w:t>
      </w:r>
      <w:r>
        <w:t xml:space="preserve">tariff </w:t>
      </w:r>
      <w:proofErr w:type="gramStart"/>
      <w:r>
        <w:t>should be rebalanced</w:t>
      </w:r>
      <w:proofErr w:type="gramEnd"/>
      <w:r>
        <w:t>.</w:t>
      </w:r>
      <w:r w:rsidR="00DC674F">
        <w:t xml:space="preserve"> </w:t>
      </w:r>
      <w:r>
        <w:t xml:space="preserve">As noted, economic efficiency considerations need to </w:t>
      </w:r>
      <w:proofErr w:type="gramStart"/>
      <w:r>
        <w:t xml:space="preserve">be </w:t>
      </w:r>
      <w:r w:rsidR="007A59EB">
        <w:t>considered</w:t>
      </w:r>
      <w:proofErr w:type="gramEnd"/>
      <w:r w:rsidR="007A59EB">
        <w:t xml:space="preserve"> against </w:t>
      </w:r>
      <w:r>
        <w:t>other objectives in order to set tariff structures and levels that are in the long</w:t>
      </w:r>
      <w:r w:rsidR="00584ACE">
        <w:t>-</w:t>
      </w:r>
      <w:r>
        <w:t>term interests of consumers.</w:t>
      </w:r>
      <w:r w:rsidR="00DC674F">
        <w:t xml:space="preserve"> </w:t>
      </w:r>
    </w:p>
    <w:p w14:paraId="4D57198C" w14:textId="77777777" w:rsidR="00EF19E9" w:rsidRPr="0033438A" w:rsidRDefault="00EF19E9" w:rsidP="00EF19E9">
      <w:pPr>
        <w:rPr>
          <w:i/>
        </w:rPr>
      </w:pPr>
      <w:r w:rsidRPr="007B0898">
        <w:rPr>
          <w:i/>
        </w:rPr>
        <w:t xml:space="preserve">Rebalancing and </w:t>
      </w:r>
      <w:r>
        <w:rPr>
          <w:i/>
        </w:rPr>
        <w:t>o</w:t>
      </w:r>
      <w:r w:rsidRPr="007B0898">
        <w:rPr>
          <w:i/>
        </w:rPr>
        <w:t>ther objectives</w:t>
      </w:r>
    </w:p>
    <w:p w14:paraId="217BE727" w14:textId="77777777" w:rsidR="00EF19E9" w:rsidRDefault="00EF19E9" w:rsidP="00EF19E9">
      <w:r>
        <w:t>Economic efficiency provides a strong rationale for rebalancing the components of the tariff so that fixed charges increase and usage charges decrease</w:t>
      </w:r>
      <w:r w:rsidR="00F74473">
        <w:t xml:space="preserve">, </w:t>
      </w:r>
      <w:r>
        <w:t>but with the flexibility for the usage charges to increase if drought conditions develop. Going down this path would more closely align the water tariff structure with Icon Water</w:t>
      </w:r>
      <w:r w:rsidR="00DC674F">
        <w:t>’</w:t>
      </w:r>
      <w:r>
        <w:t xml:space="preserve">s costs as well as better </w:t>
      </w:r>
      <w:r w:rsidR="00F74473">
        <w:t xml:space="preserve">recognise </w:t>
      </w:r>
      <w:r>
        <w:t>the scarcity value of water.</w:t>
      </w:r>
      <w:r w:rsidR="00DC674F">
        <w:t xml:space="preserve"> </w:t>
      </w:r>
      <w:r>
        <w:t>In times of drought, water conservation measures and water restrictions will still be required along with</w:t>
      </w:r>
      <w:r w:rsidRPr="008662F4">
        <w:t xml:space="preserve"> </w:t>
      </w:r>
      <w:r>
        <w:t>price signals from the usage charges. There are also long</w:t>
      </w:r>
      <w:r w:rsidR="00584ACE">
        <w:t>-</w:t>
      </w:r>
      <w:r>
        <w:t xml:space="preserve">term </w:t>
      </w:r>
      <w:r w:rsidR="00584ACE">
        <w:t>g</w:t>
      </w:r>
      <w:r>
        <w:t>overnment policies to conserve water that need to be recognised.</w:t>
      </w:r>
      <w:r w:rsidR="00DC674F">
        <w:t xml:space="preserve"> </w:t>
      </w:r>
      <w:r>
        <w:t xml:space="preserve">These considerations suggest that it may not be appropriate </w:t>
      </w:r>
      <w:proofErr w:type="gramStart"/>
      <w:r w:rsidR="00584ACE">
        <w:t xml:space="preserve">to </w:t>
      </w:r>
      <w:r w:rsidRPr="00F74473">
        <w:t>ra</w:t>
      </w:r>
      <w:r>
        <w:t>dical</w:t>
      </w:r>
      <w:r w:rsidR="00F74473">
        <w:t>ly</w:t>
      </w:r>
      <w:r>
        <w:t xml:space="preserve"> rebalanc</w:t>
      </w:r>
      <w:r w:rsidR="00F74473">
        <w:t>e</w:t>
      </w:r>
      <w:proofErr w:type="gramEnd"/>
      <w:r>
        <w:t xml:space="preserve"> the components of the tariff so that it closely matche</w:t>
      </w:r>
      <w:r w:rsidR="00F74473">
        <w:t>s</w:t>
      </w:r>
      <w:r>
        <w:t xml:space="preserve"> the cost structure of Icon Water.</w:t>
      </w:r>
      <w:r w:rsidR="00DC674F">
        <w:t xml:space="preserve"> </w:t>
      </w:r>
      <w:r>
        <w:t>However, some change in this direction, even if small, is still likely to have economic efficiency benefits.</w:t>
      </w:r>
    </w:p>
    <w:p w14:paraId="295F8E19" w14:textId="77777777" w:rsidR="00EF19E9" w:rsidRDefault="00EF19E9" w:rsidP="00EF19E9">
      <w:r>
        <w:t>It is also important to recognise that there is another aspect of economic efficiency that does not depend on the responsiveness of overall demand to price</w:t>
      </w:r>
      <w:r w:rsidR="00584ACE">
        <w:t xml:space="preserve"> – namely,</w:t>
      </w:r>
      <w:r>
        <w:t xml:space="preserve"> the response of large users of water.</w:t>
      </w:r>
      <w:r w:rsidR="00DC674F">
        <w:t xml:space="preserve"> </w:t>
      </w:r>
      <w:r>
        <w:t>Large users when faced with a high marginal usage charge may find it in their financial interest to bypass the supply of water from Icon Water</w:t>
      </w:r>
      <w:r w:rsidR="00FB5B0B">
        <w:t>,</w:t>
      </w:r>
      <w:r>
        <w:t xml:space="preserve"> even though the average cost of this option is higher than the average cost of supply by Icon Water.</w:t>
      </w:r>
      <w:r w:rsidR="00DC674F">
        <w:t xml:space="preserve"> </w:t>
      </w:r>
      <w:r>
        <w:t>This is because the usage charge may exceed the true measure of marginal cost.</w:t>
      </w:r>
      <w:r w:rsidR="00DC674F">
        <w:t xml:space="preserve"> </w:t>
      </w:r>
      <w:r>
        <w:t xml:space="preserve">This </w:t>
      </w:r>
      <w:proofErr w:type="gramStart"/>
      <w:r>
        <w:t>is known</w:t>
      </w:r>
      <w:proofErr w:type="gramEnd"/>
      <w:r>
        <w:t xml:space="preserve"> as the risk of uneconomic bypass.</w:t>
      </w:r>
      <w:r w:rsidR="00DC674F">
        <w:t xml:space="preserve"> </w:t>
      </w:r>
      <w:r>
        <w:t xml:space="preserve">It means that water </w:t>
      </w:r>
      <w:proofErr w:type="gramStart"/>
      <w:r w:rsidR="00A925F0">
        <w:t xml:space="preserve">would be </w:t>
      </w:r>
      <w:r>
        <w:t>supplied</w:t>
      </w:r>
      <w:proofErr w:type="gramEnd"/>
      <w:r>
        <w:t xml:space="preserve"> to both the remaining customer base and to the large user at a higher average cost than if Icon Water </w:t>
      </w:r>
      <w:r w:rsidR="00A925F0">
        <w:t xml:space="preserve">were </w:t>
      </w:r>
      <w:r>
        <w:t>the sole supplier.</w:t>
      </w:r>
      <w:r w:rsidR="00DC674F">
        <w:t xml:space="preserve"> </w:t>
      </w:r>
      <w:r>
        <w:t xml:space="preserve">If uneconomic bypass occurs, it also means that the water bills for the remaining customer base would increase on average since there would be a smaller customer base to pay for the same large fixed costs for Icon Water. </w:t>
      </w:r>
    </w:p>
    <w:p w14:paraId="51DB2122" w14:textId="77777777" w:rsidR="00EF19E9" w:rsidRDefault="00EF19E9" w:rsidP="00EF19E9">
      <w:r>
        <w:t xml:space="preserve">However, there are additional objectives that </w:t>
      </w:r>
      <w:proofErr w:type="gramStart"/>
      <w:r>
        <w:t xml:space="preserve">must be considered and balanced when </w:t>
      </w:r>
      <w:r w:rsidR="005B790C">
        <w:t xml:space="preserve">considering changes to </w:t>
      </w:r>
      <w:r w:rsidRPr="00FB5B0B">
        <w:t>the tariff</w:t>
      </w:r>
      <w:r>
        <w:t xml:space="preserve"> structure</w:t>
      </w:r>
      <w:proofErr w:type="gramEnd"/>
      <w:r>
        <w:t>.</w:t>
      </w:r>
      <w:r w:rsidR="00DC674F">
        <w:t xml:space="preserve"> </w:t>
      </w:r>
      <w:r>
        <w:t xml:space="preserve">Given </w:t>
      </w:r>
      <w:r w:rsidR="00A925F0">
        <w:t xml:space="preserve">that </w:t>
      </w:r>
      <w:r>
        <w:t xml:space="preserve">environmental standards </w:t>
      </w:r>
      <w:proofErr w:type="gramStart"/>
      <w:r>
        <w:t>are being met</w:t>
      </w:r>
      <w:proofErr w:type="gramEnd"/>
      <w:r>
        <w:t xml:space="preserve"> by other mechanisms and actions, the main additional objective relates to social effects. </w:t>
      </w:r>
    </w:p>
    <w:p w14:paraId="5E92FD33" w14:textId="77777777" w:rsidR="00EF19E9" w:rsidRDefault="00EF19E9" w:rsidP="00EF19E9">
      <w:r>
        <w:t>Social objectives can cover a wide range of matters</w:t>
      </w:r>
      <w:r w:rsidR="00A925F0">
        <w:t>,</w:t>
      </w:r>
      <w:r>
        <w:t xml:space="preserve"> but the main issues that are relevant here </w:t>
      </w:r>
      <w:r w:rsidR="00A925F0">
        <w:t xml:space="preserve">generally </w:t>
      </w:r>
      <w:r>
        <w:t>relate to the community</w:t>
      </w:r>
      <w:r w:rsidR="00DC674F">
        <w:t>’</w:t>
      </w:r>
      <w:r>
        <w:t xml:space="preserve">s concerns about </w:t>
      </w:r>
      <w:r w:rsidR="00DC674F">
        <w:t>‘</w:t>
      </w:r>
      <w:r>
        <w:t>fairness</w:t>
      </w:r>
      <w:r w:rsidR="00DC674F">
        <w:t>’</w:t>
      </w:r>
      <w:r>
        <w:t xml:space="preserve"> or </w:t>
      </w:r>
      <w:r w:rsidR="00DC674F">
        <w:t>‘</w:t>
      </w:r>
      <w:r>
        <w:t>equitable outcomes</w:t>
      </w:r>
      <w:r w:rsidR="00DC674F">
        <w:t>’</w:t>
      </w:r>
      <w:r>
        <w:t>.</w:t>
      </w:r>
      <w:r w:rsidR="00DC674F">
        <w:t xml:space="preserve"> </w:t>
      </w:r>
      <w:r>
        <w:t xml:space="preserve">The concept of </w:t>
      </w:r>
      <w:r w:rsidR="00DC674F">
        <w:t>‘</w:t>
      </w:r>
      <w:r>
        <w:t>fairness</w:t>
      </w:r>
      <w:r w:rsidR="00DC674F">
        <w:t>’</w:t>
      </w:r>
      <w:r>
        <w:t xml:space="preserve"> is not well defined</w:t>
      </w:r>
      <w:r w:rsidR="00A925F0">
        <w:t>,</w:t>
      </w:r>
      <w:r>
        <w:t xml:space="preserve"> but there are two types of fairness or equity concerns that are relevant in changing the tariff structure.</w:t>
      </w:r>
      <w:r w:rsidR="00DC674F">
        <w:t xml:space="preserve"> </w:t>
      </w:r>
    </w:p>
    <w:p w14:paraId="4808844A" w14:textId="77777777" w:rsidR="00EF19E9" w:rsidRDefault="00EF19E9" w:rsidP="00EF19E9">
      <w:r>
        <w:lastRenderedPageBreak/>
        <w:t xml:space="preserve">The first </w:t>
      </w:r>
      <w:r w:rsidR="00144BA1">
        <w:t xml:space="preserve">type </w:t>
      </w:r>
      <w:r>
        <w:t xml:space="preserve">relates to the impact on households and businesses </w:t>
      </w:r>
      <w:r w:rsidR="00A925F0">
        <w:t xml:space="preserve">that </w:t>
      </w:r>
      <w:r>
        <w:t>have made investments in water</w:t>
      </w:r>
      <w:r w:rsidR="00A925F0">
        <w:t>-</w:t>
      </w:r>
      <w:r>
        <w:t>saving measures.</w:t>
      </w:r>
      <w:r w:rsidR="00DC674F">
        <w:t xml:space="preserve"> </w:t>
      </w:r>
      <w:r>
        <w:t>If usage charges decline, the</w:t>
      </w:r>
      <w:r w:rsidR="00144BA1">
        <w:t>se customers would realise lower</w:t>
      </w:r>
      <w:r>
        <w:t xml:space="preserve"> benefits </w:t>
      </w:r>
      <w:r w:rsidR="00144BA1">
        <w:t>from their investments</w:t>
      </w:r>
      <w:r>
        <w:t>.</w:t>
      </w:r>
      <w:r w:rsidR="00DC674F">
        <w:t xml:space="preserve"> </w:t>
      </w:r>
      <w:r>
        <w:t xml:space="preserve">This effect is likely to </w:t>
      </w:r>
      <w:proofErr w:type="gramStart"/>
      <w:r>
        <w:t>be interpreted</w:t>
      </w:r>
      <w:proofErr w:type="gramEnd"/>
      <w:r>
        <w:t xml:space="preserve"> as unfair. </w:t>
      </w:r>
    </w:p>
    <w:p w14:paraId="09C7E0E7" w14:textId="77777777" w:rsidR="00EF19E9" w:rsidRDefault="00EF19E9" w:rsidP="00EF19E9">
      <w:r>
        <w:t>The second type relates to the impact on low</w:t>
      </w:r>
      <w:r w:rsidR="00A925F0">
        <w:t>-</w:t>
      </w:r>
      <w:r>
        <w:t xml:space="preserve">income households whose water usage </w:t>
      </w:r>
      <w:r w:rsidR="00144BA1">
        <w:t>is</w:t>
      </w:r>
      <w:r w:rsidR="00144BA1" w:rsidRPr="00144BA1">
        <w:t xml:space="preserve"> </w:t>
      </w:r>
      <w:r w:rsidRPr="00144BA1">
        <w:t>a</w:t>
      </w:r>
      <w:r>
        <w:t>lso low.</w:t>
      </w:r>
      <w:r w:rsidR="00DC674F">
        <w:t xml:space="preserve"> </w:t>
      </w:r>
      <w:r>
        <w:t>There is not necessarily a high correlation between income and water usage</w:t>
      </w:r>
      <w:r w:rsidR="00A925F0">
        <w:t>,</w:t>
      </w:r>
      <w:r>
        <w:t xml:space="preserve"> but adverse impacts on low</w:t>
      </w:r>
      <w:r w:rsidR="00A925F0">
        <w:t>-</w:t>
      </w:r>
      <w:r>
        <w:t xml:space="preserve">income households need to </w:t>
      </w:r>
      <w:proofErr w:type="gramStart"/>
      <w:r>
        <w:t>be effectively recognised</w:t>
      </w:r>
      <w:proofErr w:type="gramEnd"/>
      <w:r>
        <w:t xml:space="preserve"> in making changes to the tariff structure.</w:t>
      </w:r>
      <w:r w:rsidR="00DC674F">
        <w:t xml:space="preserve"> </w:t>
      </w:r>
      <w:proofErr w:type="gramStart"/>
      <w:r>
        <w:t>This may mean that the extent of changes must be modest and phased in over a long timeframe.</w:t>
      </w:r>
      <w:proofErr w:type="gramEnd"/>
      <w:r w:rsidR="00DC674F">
        <w:t xml:space="preserve"> </w:t>
      </w:r>
      <w:r>
        <w:t>The scope for adjusting the fixed charge to take account of adverse impacts on low</w:t>
      </w:r>
      <w:r w:rsidR="00A925F0">
        <w:t>-</w:t>
      </w:r>
      <w:r>
        <w:t xml:space="preserve">income households </w:t>
      </w:r>
      <w:proofErr w:type="gramStart"/>
      <w:r>
        <w:t>should also be investigated</w:t>
      </w:r>
      <w:proofErr w:type="gramEnd"/>
      <w:r w:rsidR="00A925F0">
        <w:t>,</w:t>
      </w:r>
      <w:r>
        <w:t xml:space="preserve"> along with subsidy schemes targeted </w:t>
      </w:r>
      <w:r w:rsidR="00A925F0">
        <w:t xml:space="preserve">at </w:t>
      </w:r>
      <w:r>
        <w:t>low</w:t>
      </w:r>
      <w:r w:rsidR="00A925F0">
        <w:t>-</w:t>
      </w:r>
      <w:r>
        <w:t>income households.</w:t>
      </w:r>
      <w:r w:rsidR="00DC674F">
        <w:t xml:space="preserve"> </w:t>
      </w:r>
      <w:r>
        <w:t xml:space="preserve">This may also mean that other arms of </w:t>
      </w:r>
      <w:r w:rsidR="00A925F0">
        <w:t>g</w:t>
      </w:r>
      <w:r>
        <w:t>overnment need to be involved in developing and implementing measures to address potential impacts on low</w:t>
      </w:r>
      <w:r w:rsidR="00A925F0">
        <w:t>-</w:t>
      </w:r>
      <w:r>
        <w:t xml:space="preserve">income households. </w:t>
      </w:r>
    </w:p>
    <w:p w14:paraId="540BC579" w14:textId="77777777" w:rsidR="00EF19E9" w:rsidRDefault="00EF19E9" w:rsidP="00EF19E9">
      <w:r>
        <w:t xml:space="preserve">The fairness or equity impacts of a higher fixed charge and a lower usage charge need to </w:t>
      </w:r>
      <w:proofErr w:type="gramStart"/>
      <w:r>
        <w:t>be recognised</w:t>
      </w:r>
      <w:proofErr w:type="gramEnd"/>
      <w:r>
        <w:t xml:space="preserve"> in deciding on the extent of any changes to the tariff structure and the timeframe over which changes are introduced.</w:t>
      </w:r>
    </w:p>
    <w:p w14:paraId="62A39EB4" w14:textId="77777777" w:rsidR="00EF19E9" w:rsidRDefault="00EF19E9" w:rsidP="00EF19E9">
      <w:pPr>
        <w:pStyle w:val="Heading4"/>
      </w:pPr>
      <w:proofErr w:type="gramStart"/>
      <w:r w:rsidRPr="00BE78AB">
        <w:t>Should a more efficient water tariff structure be introduced</w:t>
      </w:r>
      <w:proofErr w:type="gramEnd"/>
      <w:r w:rsidR="00677EA0" w:rsidRPr="00BE78AB">
        <w:t>?</w:t>
      </w:r>
    </w:p>
    <w:p w14:paraId="3A0C40DF" w14:textId="77777777" w:rsidR="00EF19E9" w:rsidRPr="0069038B" w:rsidRDefault="00EF19E9" w:rsidP="00EF19E9">
      <w:pPr>
        <w:rPr>
          <w:i/>
        </w:rPr>
      </w:pPr>
      <w:r w:rsidRPr="0069038B">
        <w:rPr>
          <w:i/>
        </w:rPr>
        <w:t>Key features of an effective tariff structure</w:t>
      </w:r>
    </w:p>
    <w:p w14:paraId="032190EB" w14:textId="77777777" w:rsidR="00EF19E9" w:rsidRDefault="00EF19E9" w:rsidP="00EF19E9">
      <w:r w:rsidRPr="00BE78AB">
        <w:t>An effective tariff structure should:</w:t>
      </w:r>
    </w:p>
    <w:p w14:paraId="39C13C0C" w14:textId="77777777" w:rsidR="00EF19E9" w:rsidRDefault="00EF19E9" w:rsidP="00CA7AFB">
      <w:pPr>
        <w:pStyle w:val="ColorfulList-Accent110"/>
        <w:numPr>
          <w:ilvl w:val="0"/>
          <w:numId w:val="13"/>
        </w:numPr>
      </w:pPr>
      <w:r w:rsidRPr="00E443E9">
        <w:t xml:space="preserve">provide incentives to use water efficiently depending on the supply conditions </w:t>
      </w:r>
      <w:r w:rsidR="00A925F0">
        <w:t>at</w:t>
      </w:r>
      <w:r w:rsidR="00A925F0" w:rsidRPr="00E443E9">
        <w:t xml:space="preserve"> </w:t>
      </w:r>
      <w:r w:rsidRPr="00E443E9">
        <w:t>the time</w:t>
      </w:r>
      <w:r>
        <w:t>;</w:t>
      </w:r>
    </w:p>
    <w:p w14:paraId="45296670" w14:textId="77777777" w:rsidR="00EF19E9" w:rsidRDefault="00EF19E9" w:rsidP="00CA7AFB">
      <w:pPr>
        <w:pStyle w:val="ColorfulList-Accent110"/>
        <w:numPr>
          <w:ilvl w:val="0"/>
          <w:numId w:val="13"/>
        </w:numPr>
      </w:pPr>
      <w:r w:rsidRPr="00E443E9">
        <w:t>allow for the recovery of the efficient cost of providing water services</w:t>
      </w:r>
      <w:r>
        <w:t xml:space="preserve">; </w:t>
      </w:r>
    </w:p>
    <w:p w14:paraId="604BAB81" w14:textId="77777777" w:rsidR="00EF19E9" w:rsidRDefault="00EF19E9" w:rsidP="00CA7AFB">
      <w:pPr>
        <w:pStyle w:val="ColorfulList-Accent110"/>
        <w:numPr>
          <w:ilvl w:val="0"/>
          <w:numId w:val="13"/>
        </w:numPr>
      </w:pPr>
      <w:r>
        <w:t xml:space="preserve">provide the flexibility to </w:t>
      </w:r>
      <w:r w:rsidR="00BE78AB">
        <w:t>make adjustments if</w:t>
      </w:r>
      <w:r>
        <w:t xml:space="preserve"> conditions change; </w:t>
      </w:r>
    </w:p>
    <w:p w14:paraId="51FF6561" w14:textId="77777777" w:rsidR="00EF19E9" w:rsidRDefault="00EF19E9" w:rsidP="00CA7AFB">
      <w:pPr>
        <w:pStyle w:val="ColorfulList-Accent110"/>
        <w:numPr>
          <w:ilvl w:val="0"/>
          <w:numId w:val="13"/>
        </w:numPr>
      </w:pPr>
      <w:r w:rsidRPr="00BE78AB">
        <w:t>balance ec</w:t>
      </w:r>
      <w:r>
        <w:t xml:space="preserve">onomic, environmental and social objectives where there is potential conflict with economic efficiency objectives; </w:t>
      </w:r>
    </w:p>
    <w:p w14:paraId="4DE11B32" w14:textId="77777777" w:rsidR="00EF19E9" w:rsidRDefault="00EF19E9" w:rsidP="00CA7AFB">
      <w:pPr>
        <w:pStyle w:val="ColorfulList-Accent110"/>
        <w:numPr>
          <w:ilvl w:val="0"/>
          <w:numId w:val="13"/>
        </w:numPr>
      </w:pPr>
      <w:r>
        <w:t xml:space="preserve">be as simple as possible and result </w:t>
      </w:r>
      <w:r w:rsidR="00A925F0">
        <w:t xml:space="preserve">from </w:t>
      </w:r>
      <w:r>
        <w:t xml:space="preserve">a transparent process; </w:t>
      </w:r>
    </w:p>
    <w:p w14:paraId="4FDD28A7" w14:textId="77777777" w:rsidR="00EF19E9" w:rsidRDefault="00EF19E9" w:rsidP="00CA7AFB">
      <w:pPr>
        <w:pStyle w:val="ColorfulList-Accent110"/>
        <w:numPr>
          <w:ilvl w:val="0"/>
          <w:numId w:val="13"/>
        </w:numPr>
      </w:pPr>
      <w:r>
        <w:t>have the overall objective of being in the long</w:t>
      </w:r>
      <w:r w:rsidR="00A925F0">
        <w:t>-</w:t>
      </w:r>
      <w:r>
        <w:t>term interests of consumers; and</w:t>
      </w:r>
    </w:p>
    <w:p w14:paraId="726D6030" w14:textId="77777777" w:rsidR="00EF19E9" w:rsidRDefault="00EF19E9" w:rsidP="00CA7AFB">
      <w:pPr>
        <w:pStyle w:val="ColorfulList-Accent110"/>
        <w:numPr>
          <w:ilvl w:val="0"/>
          <w:numId w:val="13"/>
        </w:numPr>
      </w:pPr>
      <w:proofErr w:type="gramStart"/>
      <w:r>
        <w:t>be</w:t>
      </w:r>
      <w:proofErr w:type="gramEnd"/>
      <w:r>
        <w:t xml:space="preserve"> as consistent as is reasonably possible with the policy directions and messages of other arms of </w:t>
      </w:r>
      <w:r w:rsidR="00A925F0">
        <w:t>g</w:t>
      </w:r>
      <w:r>
        <w:t xml:space="preserve">overnment. </w:t>
      </w:r>
    </w:p>
    <w:p w14:paraId="69100340" w14:textId="77777777" w:rsidR="00EF19E9" w:rsidRPr="0069038B" w:rsidRDefault="00EF19E9" w:rsidP="00EF19E9">
      <w:pPr>
        <w:rPr>
          <w:i/>
        </w:rPr>
      </w:pPr>
      <w:r w:rsidRPr="0069038B">
        <w:rPr>
          <w:i/>
        </w:rPr>
        <w:t xml:space="preserve">Key considerations in improving the tariff structure </w:t>
      </w:r>
    </w:p>
    <w:p w14:paraId="2659AB28" w14:textId="77777777" w:rsidR="00EF19E9" w:rsidRDefault="00EF19E9" w:rsidP="00EF19E9">
      <w:r>
        <w:t xml:space="preserve">The Commission has concluded that the current water services tariff structure </w:t>
      </w:r>
      <w:proofErr w:type="gramStart"/>
      <w:r>
        <w:t>could be improved</w:t>
      </w:r>
      <w:proofErr w:type="gramEnd"/>
      <w:r>
        <w:t xml:space="preserve"> to better meet economic efficiency objectives.</w:t>
      </w:r>
      <w:r w:rsidR="00DC674F">
        <w:t xml:space="preserve"> </w:t>
      </w:r>
      <w:r>
        <w:t>This is because the usage component does not reflect the cost to the community (the marginal social cost) of additional consumption</w:t>
      </w:r>
      <w:r w:rsidR="002E2C55">
        <w:t>,</w:t>
      </w:r>
      <w:r>
        <w:t xml:space="preserve"> and because the high reliance on the usage component relative to </w:t>
      </w:r>
      <w:r w:rsidR="00BE78AB">
        <w:t xml:space="preserve">the </w:t>
      </w:r>
      <w:r>
        <w:t>fixed component does not facilitate the efficient recovery of revenue for Icon Water</w:t>
      </w:r>
      <w:r w:rsidR="00DC674F">
        <w:t>’</w:t>
      </w:r>
      <w:r>
        <w:t>s water services.</w:t>
      </w:r>
      <w:r w:rsidR="00DC674F">
        <w:t xml:space="preserve"> </w:t>
      </w:r>
      <w:r>
        <w:t>The current high Tier 2 price is also creating a strong risk of uneconomic bypass where large users may have strong incentives to opt out of the supply of water services by Icon Water.</w:t>
      </w:r>
      <w:r w:rsidR="00DC674F">
        <w:t xml:space="preserve"> </w:t>
      </w:r>
      <w:r>
        <w:t>If this risk materialised</w:t>
      </w:r>
      <w:r w:rsidR="002E2C55">
        <w:t>,</w:t>
      </w:r>
      <w:r>
        <w:t xml:space="preserve"> water bills would have to increase for all the remaining customers of Icon Water. </w:t>
      </w:r>
    </w:p>
    <w:p w14:paraId="5907EF80" w14:textId="77777777" w:rsidR="00EF19E9" w:rsidRDefault="00EF19E9" w:rsidP="00EF19E9">
      <w:r>
        <w:lastRenderedPageBreak/>
        <w:t>The Commission recognises that adjustment of the fixed and variable charges should avoid adverse environmental impacts.</w:t>
      </w:r>
      <w:r w:rsidR="00DC674F">
        <w:t xml:space="preserve"> </w:t>
      </w:r>
      <w:r>
        <w:t xml:space="preserve">However, the existing environmental policies and legislated requirements </w:t>
      </w:r>
      <w:proofErr w:type="gramStart"/>
      <w:r>
        <w:t>are designed</w:t>
      </w:r>
      <w:proofErr w:type="gramEnd"/>
      <w:r>
        <w:t xml:space="preserve"> to ensure that key environmental objectives are met.</w:t>
      </w:r>
      <w:r w:rsidR="00DC674F">
        <w:t xml:space="preserve"> </w:t>
      </w:r>
      <w:proofErr w:type="gramStart"/>
      <w:r>
        <w:t>And</w:t>
      </w:r>
      <w:proofErr w:type="gramEnd"/>
      <w:r>
        <w:t xml:space="preserve"> the Commission will aim to ensure that the ability to meet these environmental objectives will not be compromised by any changes in the tariff structure.</w:t>
      </w:r>
      <w:r w:rsidR="008013DA">
        <w:t xml:space="preserve"> </w:t>
      </w:r>
      <w:r>
        <w:t xml:space="preserve">The Commission also recognises that ideally the usage component of the tariff should reflect the marginal value of the cost of supply, including any externality costs and the value of water. </w:t>
      </w:r>
    </w:p>
    <w:p w14:paraId="207BF6C4" w14:textId="77777777" w:rsidR="00EF19E9" w:rsidRDefault="00EF19E9" w:rsidP="00EF19E9">
      <w:r>
        <w:t xml:space="preserve">However, rebalancing the components of the tariff would have </w:t>
      </w:r>
      <w:r w:rsidRPr="00BE78AB">
        <w:t>different bill im</w:t>
      </w:r>
      <w:r>
        <w:t>pacts for different types of customers</w:t>
      </w:r>
      <w:r w:rsidR="007953D9">
        <w:t>,</w:t>
      </w:r>
      <w:r>
        <w:t xml:space="preserve"> which </w:t>
      </w:r>
      <w:proofErr w:type="gramStart"/>
      <w:r>
        <w:t>may be considered</w:t>
      </w:r>
      <w:proofErr w:type="gramEnd"/>
      <w:r>
        <w:t xml:space="preserve"> by the community as unfair and unacceptable.</w:t>
      </w:r>
      <w:r w:rsidR="00DC674F">
        <w:t xml:space="preserve"> </w:t>
      </w:r>
      <w:r>
        <w:t xml:space="preserve">This highlights the need to moderate changes to the tariff structure based on economic efficiency considerations or develop and implement other mechanisms to address social concerns. </w:t>
      </w:r>
    </w:p>
    <w:p w14:paraId="4EB67AF2" w14:textId="77777777" w:rsidR="00EF19E9" w:rsidRDefault="00EF19E9" w:rsidP="00EF19E9">
      <w:r>
        <w:t>The Commission recognises these concerns and theref</w:t>
      </w:r>
      <w:r w:rsidRPr="00BE78AB">
        <w:t xml:space="preserve">ore </w:t>
      </w:r>
      <w:r w:rsidR="00B624EE" w:rsidRPr="00BE78AB">
        <w:t xml:space="preserve">proposes </w:t>
      </w:r>
      <w:r w:rsidRPr="00BE78AB">
        <w:t>that t</w:t>
      </w:r>
      <w:r>
        <w:t>he current</w:t>
      </w:r>
      <w:r w:rsidR="00DC674F">
        <w:t xml:space="preserve"> </w:t>
      </w:r>
      <w:r>
        <w:t>two-tier usage and supply charges be retained but that small steps to move away from the heavy reliance on usage charges be considered when undertaking price reviews, depending on the circumstances at the time.</w:t>
      </w:r>
      <w:r w:rsidR="00DC674F">
        <w:t xml:space="preserve"> </w:t>
      </w:r>
      <w:r>
        <w:t xml:space="preserve">There is an economic efficiency rationale to take the opportunity, where possible, to change the mix of fixed and usage charges </w:t>
      </w:r>
      <w:proofErr w:type="gramStart"/>
      <w:r>
        <w:t>to better ensure</w:t>
      </w:r>
      <w:proofErr w:type="gramEnd"/>
      <w:r>
        <w:t xml:space="preserve"> efficient recovery of the substantial fixed costs of water supply infrastructure. However, any changes will be measured and gradual to ensure that economic, social and environmental objectives </w:t>
      </w:r>
      <w:proofErr w:type="gramStart"/>
      <w:r>
        <w:t>are appropriately b</w:t>
      </w:r>
      <w:r w:rsidRPr="00BE78AB">
        <w:t>alanced</w:t>
      </w:r>
      <w:proofErr w:type="gramEnd"/>
      <w:r w:rsidRPr="00BE78AB">
        <w:t xml:space="preserve"> in the</w:t>
      </w:r>
      <w:r>
        <w:t xml:space="preserve"> long-term interests of the community as a whole.</w:t>
      </w:r>
    </w:p>
    <w:p w14:paraId="4997632A" w14:textId="77777777" w:rsidR="00EF19E9" w:rsidRDefault="00EF19E9" w:rsidP="00EF19E9">
      <w:proofErr w:type="gramStart"/>
      <w:r>
        <w:t xml:space="preserve">Tariff structures </w:t>
      </w:r>
      <w:r w:rsidR="00B624EE">
        <w:t xml:space="preserve">that </w:t>
      </w:r>
      <w:r>
        <w:t>may differ for different customers, such as large users, may be considered by the Commission</w:t>
      </w:r>
      <w:proofErr w:type="gramEnd"/>
      <w:r>
        <w:t xml:space="preserve"> as long as they are in the long</w:t>
      </w:r>
      <w:r w:rsidR="00B624EE">
        <w:t>-</w:t>
      </w:r>
      <w:r>
        <w:t>term interests of consumers.</w:t>
      </w:r>
      <w:r w:rsidR="008013DA">
        <w:t xml:space="preserve"> </w:t>
      </w:r>
      <w:r>
        <w:t xml:space="preserve">Other options </w:t>
      </w:r>
      <w:r w:rsidR="00B624EE">
        <w:t xml:space="preserve">that </w:t>
      </w:r>
      <w:r>
        <w:t>may be utilised to address impacts on low</w:t>
      </w:r>
      <w:r w:rsidR="00B624EE">
        <w:t>-</w:t>
      </w:r>
      <w:r>
        <w:t xml:space="preserve">income households, such as differentiating the fixed charge by customer characteristics, may be feasible but would require community engagement and involvement by </w:t>
      </w:r>
      <w:r w:rsidR="00B624EE">
        <w:t>g</w:t>
      </w:r>
      <w:r>
        <w:t xml:space="preserve">overnment. </w:t>
      </w:r>
    </w:p>
    <w:p w14:paraId="4FC42683" w14:textId="77777777" w:rsidR="00EF19E9" w:rsidRDefault="00EF19E9" w:rsidP="00EF19E9">
      <w:pPr>
        <w:pStyle w:val="Heading4"/>
      </w:pPr>
      <w:r>
        <w:t>Sewerage services tariff structure</w:t>
      </w:r>
    </w:p>
    <w:p w14:paraId="33064AC7" w14:textId="77777777" w:rsidR="00EF19E9" w:rsidRDefault="00EF19E9" w:rsidP="00EF19E9">
      <w:r>
        <w:t>Icon Water</w:t>
      </w:r>
      <w:r w:rsidR="00DC674F">
        <w:t>’</w:t>
      </w:r>
      <w:r>
        <w:t xml:space="preserve">s current </w:t>
      </w:r>
      <w:r w:rsidR="00B624EE">
        <w:t xml:space="preserve">tariff structure for </w:t>
      </w:r>
      <w:r>
        <w:t>sewerage services comprises an annual supply charge for residential premises, and the same supply charge plus an annual charge per flushing fixture (in excess of two) for non-residential premises.</w:t>
      </w:r>
      <w:r w:rsidR="00DC674F">
        <w:t xml:space="preserve"> </w:t>
      </w:r>
      <w:r>
        <w:t>Icon Water does not currently have a trade waste tariff.</w:t>
      </w:r>
    </w:p>
    <w:p w14:paraId="136F904F" w14:textId="77777777" w:rsidR="00EF19E9" w:rsidRPr="00B84135" w:rsidRDefault="00EF19E9" w:rsidP="00EF19E9">
      <w:r>
        <w:t>The Commission</w:t>
      </w:r>
      <w:r w:rsidR="00DC674F">
        <w:t>’</w:t>
      </w:r>
      <w:r>
        <w:t xml:space="preserve">s final position, consistent with what </w:t>
      </w:r>
      <w:proofErr w:type="gramStart"/>
      <w:r>
        <w:t>was presented</w:t>
      </w:r>
      <w:proofErr w:type="gramEnd"/>
      <w:r>
        <w:t xml:space="preserve"> in the </w:t>
      </w:r>
      <w:r w:rsidR="00B624EE">
        <w:t>d</w:t>
      </w:r>
      <w:r>
        <w:t xml:space="preserve">raft </w:t>
      </w:r>
      <w:r w:rsidR="00B624EE">
        <w:t>r</w:t>
      </w:r>
      <w:r>
        <w:t xml:space="preserve">eport, is that, particularly in the absence of a reliable measure of actual discharge volumes, it is unlikely that any potential economic efficiency benefits of introducing a </w:t>
      </w:r>
      <w:r w:rsidRPr="006F31CF">
        <w:t xml:space="preserve">sewage </w:t>
      </w:r>
      <w:r w:rsidR="00D163DB">
        <w:t xml:space="preserve">volume </w:t>
      </w:r>
      <w:r>
        <w:t>charge would outweigh the costs.</w:t>
      </w:r>
      <w:r w:rsidR="00DC674F">
        <w:t xml:space="preserve"> </w:t>
      </w:r>
      <w:r>
        <w:t xml:space="preserve">The Commission therefore considers that the current tariff structure </w:t>
      </w:r>
      <w:proofErr w:type="gramStart"/>
      <w:r>
        <w:t>should be retained</w:t>
      </w:r>
      <w:proofErr w:type="gramEnd"/>
      <w:r>
        <w:t>.</w:t>
      </w:r>
    </w:p>
    <w:p w14:paraId="39FFDC46" w14:textId="77777777" w:rsidR="00EF19E9" w:rsidRPr="00EF2F36" w:rsidRDefault="00EF19E9" w:rsidP="00EF19E9">
      <w:r w:rsidRPr="000F5232">
        <w:t xml:space="preserve">Consistent with cost-reflective pricing, </w:t>
      </w:r>
      <w:r w:rsidRPr="00EF2F36">
        <w:t xml:space="preserve">the Commission has in the past noted that where Icon Water incurs material trade waste–related increased costs, </w:t>
      </w:r>
      <w:r w:rsidR="00E7089F">
        <w:t>those</w:t>
      </w:r>
      <w:r w:rsidRPr="00EF2F36">
        <w:t xml:space="preserve"> costs should be passed on to the relevant customers.</w:t>
      </w:r>
      <w:r w:rsidR="00DC674F">
        <w:t xml:space="preserve"> </w:t>
      </w:r>
      <w:r w:rsidRPr="00EF2F36">
        <w:t xml:space="preserve">The Commission welcomes Icon </w:t>
      </w:r>
      <w:r w:rsidRPr="00EF2F36">
        <w:lastRenderedPageBreak/>
        <w:t>Water</w:t>
      </w:r>
      <w:r w:rsidR="00DC674F">
        <w:t>’</w:t>
      </w:r>
      <w:r w:rsidRPr="00EF2F36">
        <w:t>s commitment to introducing a trade waste pricing regime in the forthcoming regulatory period.</w:t>
      </w:r>
    </w:p>
    <w:p w14:paraId="27B23E66" w14:textId="77777777" w:rsidR="00EF19E9" w:rsidRDefault="00EF19E9" w:rsidP="00EF19E9">
      <w:pPr>
        <w:pStyle w:val="Heading4"/>
      </w:pPr>
      <w:r>
        <w:t>The form of regulation – a revenue cap or a price cap</w:t>
      </w:r>
    </w:p>
    <w:p w14:paraId="7C10A824" w14:textId="77777777" w:rsidR="00EF19E9" w:rsidRDefault="00EF19E9" w:rsidP="00EF19E9">
      <w:r>
        <w:t>Regulators have various methods to control the prices charged by regulated utility service providers.</w:t>
      </w:r>
      <w:r w:rsidR="00DC674F">
        <w:t xml:space="preserve"> </w:t>
      </w:r>
      <w:r>
        <w:t>The methods differ in the degree of direct control exercised over tariff structures and prices by the regulator.</w:t>
      </w:r>
      <w:r w:rsidR="00DC674F">
        <w:t xml:space="preserve"> </w:t>
      </w:r>
      <w:r>
        <w:t>At one end of the spectrum, the regulator directly caps individual prices.</w:t>
      </w:r>
      <w:r w:rsidR="00DC674F">
        <w:t xml:space="preserve"> </w:t>
      </w:r>
      <w:r>
        <w:t>At the other end, the utility takes control under a pure revenue cap.</w:t>
      </w:r>
      <w:r w:rsidR="00DC674F">
        <w:t xml:space="preserve"> </w:t>
      </w:r>
      <w:r>
        <w:t xml:space="preserve">The form of price control that will apply to Icon Water during the next regulatory period will be determined as part of the broader price investigation process that is currently underway. </w:t>
      </w:r>
    </w:p>
    <w:p w14:paraId="260F6C29" w14:textId="77777777" w:rsidR="00EF19E9" w:rsidRDefault="00EF19E9" w:rsidP="00EF19E9">
      <w:r>
        <w:t>The Commission notes that there may be scope for Icon Water to be able to propose some water tariffs.</w:t>
      </w:r>
      <w:r w:rsidR="00DC674F">
        <w:t xml:space="preserve"> </w:t>
      </w:r>
      <w:r>
        <w:t xml:space="preserve">For example, if a separate tariff for large commercial users were to </w:t>
      </w:r>
      <w:proofErr w:type="gramStart"/>
      <w:r>
        <w:t>be considered</w:t>
      </w:r>
      <w:proofErr w:type="gramEnd"/>
      <w:r w:rsidR="00CF6EE8">
        <w:t>,</w:t>
      </w:r>
      <w:r>
        <w:t xml:space="preserve"> it would be preferable if Icon Water consulted with its customers before proposing it to the Commission, as it is best placed to engage with customers on its tariffs.</w:t>
      </w:r>
    </w:p>
    <w:p w14:paraId="38B516C5" w14:textId="77777777" w:rsidR="00EF19E9" w:rsidRDefault="00EF19E9" w:rsidP="00EF19E9">
      <w:r>
        <w:t>However, the Commission emphasises that any such proposal would need to be in the long</w:t>
      </w:r>
      <w:r w:rsidR="00CF6EE8">
        <w:t>-</w:t>
      </w:r>
      <w:r>
        <w:t>term interests of consumers</w:t>
      </w:r>
      <w:r w:rsidR="00CF6EE8">
        <w:t>,</w:t>
      </w:r>
      <w:r>
        <w:t xml:space="preserve"> </w:t>
      </w:r>
      <w:r w:rsidR="00CF6EE8">
        <w:t xml:space="preserve">would </w:t>
      </w:r>
      <w:r>
        <w:t>need to be consistent with the pricing principles set out in this report</w:t>
      </w:r>
      <w:r w:rsidR="00CF6EE8">
        <w:t>,</w:t>
      </w:r>
      <w:r>
        <w:t xml:space="preserve"> and would ultimately need to be approved by the Commission. </w:t>
      </w:r>
    </w:p>
    <w:p w14:paraId="16374E0C" w14:textId="77777777" w:rsidR="00EF19E9" w:rsidRDefault="00BF2FD1" w:rsidP="00EF19E9">
      <w:pPr>
        <w:pStyle w:val="Heading4"/>
      </w:pPr>
      <w:r>
        <w:t>Public consultation on</w:t>
      </w:r>
      <w:r w:rsidR="00EF19E9" w:rsidRPr="00E7089F">
        <w:t xml:space="preserve"> the tariff review</w:t>
      </w:r>
    </w:p>
    <w:p w14:paraId="62B9EAF7" w14:textId="77777777" w:rsidR="00EF19E9" w:rsidRDefault="00EF19E9" w:rsidP="00EF19E9">
      <w:r>
        <w:t xml:space="preserve">The Commission received 20 submissions on the various reports and technical papers </w:t>
      </w:r>
      <w:r w:rsidR="00CF6EE8">
        <w:t xml:space="preserve">it has </w:t>
      </w:r>
      <w:r>
        <w:t>published for the tariff structure review to date.</w:t>
      </w:r>
      <w:r>
        <w:rPr>
          <w:rStyle w:val="FootnoteReference"/>
        </w:rPr>
        <w:footnoteReference w:id="7"/>
      </w:r>
      <w:r w:rsidR="00DC674F">
        <w:t xml:space="preserve"> </w:t>
      </w:r>
      <w:r>
        <w:t xml:space="preserve">Three submissions were received from Icon Water, two from the ACT Civil and Administrative Tribunal, one from ClubsACT, one from the Federal Golf Club, one from the Canberra Business Chamber, one from the ACT Government and </w:t>
      </w:r>
      <w:r w:rsidR="00C001CF">
        <w:t xml:space="preserve">11 </w:t>
      </w:r>
      <w:r>
        <w:t>from members of the ACT community.</w:t>
      </w:r>
      <w:r w:rsidR="00DC674F">
        <w:t xml:space="preserve"> </w:t>
      </w:r>
      <w:r>
        <w:t xml:space="preserve">The Commission also held a public forum </w:t>
      </w:r>
      <w:r w:rsidR="00CF6EE8">
        <w:t>at which</w:t>
      </w:r>
      <w:r>
        <w:t xml:space="preserve"> a number of people presented their views and commented on the Commission</w:t>
      </w:r>
      <w:r w:rsidR="00DC674F">
        <w:t>’</w:t>
      </w:r>
      <w:r>
        <w:t xml:space="preserve">s </w:t>
      </w:r>
      <w:r w:rsidR="00CF6EE8">
        <w:t>d</w:t>
      </w:r>
      <w:r>
        <w:t xml:space="preserve">raft </w:t>
      </w:r>
      <w:r w:rsidR="00CF6EE8">
        <w:t>r</w:t>
      </w:r>
      <w:r>
        <w:t>eport.</w:t>
      </w:r>
      <w:r w:rsidR="00DC674F">
        <w:t xml:space="preserve"> </w:t>
      </w:r>
      <w:r>
        <w:t xml:space="preserve">Submissions and presentations from the public </w:t>
      </w:r>
      <w:r w:rsidRPr="000F09DA">
        <w:t xml:space="preserve">forum </w:t>
      </w:r>
      <w:proofErr w:type="gramStart"/>
      <w:r w:rsidRPr="000F09DA">
        <w:t>are</w:t>
      </w:r>
      <w:r>
        <w:t xml:space="preserve"> considered in the relevant chapters o</w:t>
      </w:r>
      <w:r w:rsidRPr="000F09DA">
        <w:t>f th</w:t>
      </w:r>
      <w:r w:rsidR="00E7089F">
        <w:t>is</w:t>
      </w:r>
      <w:r w:rsidRPr="000F09DA">
        <w:t xml:space="preserve"> report and summ</w:t>
      </w:r>
      <w:r>
        <w:t>arised in Appendix 1</w:t>
      </w:r>
      <w:proofErr w:type="gramEnd"/>
      <w:r>
        <w:t>.</w:t>
      </w:r>
    </w:p>
    <w:p w14:paraId="1177DFF3" w14:textId="77777777" w:rsidR="00EF19E9" w:rsidRDefault="00EF19E9" w:rsidP="00EF19E9">
      <w:r>
        <w:t>The main concerns expressed in the submissions relate to better addressing social and environmental issues when considering economic efficiency benefits.</w:t>
      </w:r>
    </w:p>
    <w:p w14:paraId="3ED71511" w14:textId="77777777" w:rsidR="00EF19E9" w:rsidRDefault="00EF19E9" w:rsidP="00BF2FD1">
      <w:pPr>
        <w:pStyle w:val="Heading4"/>
      </w:pPr>
      <w:r>
        <w:t>Summary</w:t>
      </w:r>
      <w:r w:rsidR="002B5F07">
        <w:t xml:space="preserve"> of proposals</w:t>
      </w:r>
    </w:p>
    <w:p w14:paraId="5C4FF1F5" w14:textId="77777777" w:rsidR="00EF19E9" w:rsidRDefault="00EF19E9" w:rsidP="00BF2FD1">
      <w:pPr>
        <w:keepNext/>
      </w:pPr>
      <w:r>
        <w:t>In summary, the Commission proposes:</w:t>
      </w:r>
    </w:p>
    <w:p w14:paraId="02023A78" w14:textId="77777777" w:rsidR="00EF19E9" w:rsidRDefault="00EF19E9" w:rsidP="00CA7AFB">
      <w:pPr>
        <w:pStyle w:val="ColorfulList-Accent110"/>
        <w:numPr>
          <w:ilvl w:val="0"/>
          <w:numId w:val="13"/>
        </w:numPr>
      </w:pPr>
      <w:r>
        <w:t xml:space="preserve">to retain the existing </w:t>
      </w:r>
      <w:r w:rsidR="00E7089F">
        <w:t xml:space="preserve">water </w:t>
      </w:r>
      <w:r>
        <w:t>tariff structure with a fixed supply charge and a two-tier inclining block usage charge for the next regulatory per</w:t>
      </w:r>
      <w:r w:rsidRPr="000F09DA">
        <w:t xml:space="preserve">iod </w:t>
      </w:r>
      <w:r w:rsidR="000F09DA">
        <w:t>(</w:t>
      </w:r>
      <w:r w:rsidRPr="000F09DA">
        <w:t>1 J</w:t>
      </w:r>
      <w:r>
        <w:t xml:space="preserve">uly </w:t>
      </w:r>
      <w:r>
        <w:lastRenderedPageBreak/>
        <w:t>2018 to 30</w:t>
      </w:r>
      <w:r w:rsidR="000F09DA">
        <w:t> </w:t>
      </w:r>
      <w:r>
        <w:t>June 2023</w:t>
      </w:r>
      <w:r w:rsidR="000F09DA">
        <w:t>)</w:t>
      </w:r>
      <w:r>
        <w:t xml:space="preserve">, but take the opportunity </w:t>
      </w:r>
      <w:r w:rsidRPr="00E7089F">
        <w:t xml:space="preserve">to </w:t>
      </w:r>
      <w:r w:rsidR="00F81A04">
        <w:t>rebalance</w:t>
      </w:r>
      <w:r w:rsidR="00F81A04" w:rsidRPr="00E7089F">
        <w:t xml:space="preserve"> </w:t>
      </w:r>
      <w:r w:rsidRPr="00E7089F">
        <w:t>the components to</w:t>
      </w:r>
      <w:r>
        <w:t xml:space="preserve"> better reflect costs in future tariff</w:t>
      </w:r>
      <w:r w:rsidR="00F81A04">
        <w:t xml:space="preserve"> determination</w:t>
      </w:r>
      <w:r>
        <w:t>s, while taking account of social and environmental objectives and relevant government policies;</w:t>
      </w:r>
    </w:p>
    <w:p w14:paraId="2A89C7BD" w14:textId="77777777" w:rsidR="00EF19E9" w:rsidRDefault="00EF19E9" w:rsidP="00CA7AFB">
      <w:pPr>
        <w:pStyle w:val="ColorfulList-Accent110"/>
        <w:numPr>
          <w:ilvl w:val="0"/>
          <w:numId w:val="13"/>
        </w:numPr>
      </w:pPr>
      <w:r>
        <w:t>to consider separate ta</w:t>
      </w:r>
      <w:r w:rsidRPr="00E7089F">
        <w:t>riff</w:t>
      </w:r>
      <w:r w:rsidR="00E7089F">
        <w:t>s</w:t>
      </w:r>
      <w:r w:rsidRPr="00E7089F">
        <w:t xml:space="preserve"> for different </w:t>
      </w:r>
      <w:r w:rsidR="00E7089F">
        <w:t xml:space="preserve">types of </w:t>
      </w:r>
      <w:r w:rsidRPr="00E7089F">
        <w:t>customers, s</w:t>
      </w:r>
      <w:r>
        <w:t>uch as large users, as long as it can be shown that such a tariff is in the long</w:t>
      </w:r>
      <w:r w:rsidR="00156FF4">
        <w:t>-</w:t>
      </w:r>
      <w:r>
        <w:t>term interests of consumers;</w:t>
      </w:r>
    </w:p>
    <w:p w14:paraId="02C075B5" w14:textId="77777777" w:rsidR="00EF19E9" w:rsidRDefault="00EF19E9" w:rsidP="00CA7AFB">
      <w:pPr>
        <w:pStyle w:val="ColorfulList-Accent110"/>
        <w:numPr>
          <w:ilvl w:val="0"/>
          <w:numId w:val="13"/>
        </w:numPr>
      </w:pPr>
      <w:r>
        <w:t>to make any changes to the tariff structure in a measured and gradual manner as part of future price determinations, including the current price investigation,</w:t>
      </w:r>
      <w:r w:rsidR="00DC674F">
        <w:t xml:space="preserve"> </w:t>
      </w:r>
      <w:r>
        <w:t>when relevant costs, supply and usage information will be available (new tariffs</w:t>
      </w:r>
      <w:r w:rsidR="00156FF4">
        <w:t>,</w:t>
      </w:r>
      <w:r>
        <w:t xml:space="preserve"> to the extent that any changes are decided, including changes to the tariff structure, w</w:t>
      </w:r>
      <w:r w:rsidR="00F81A04">
        <w:t>ould</w:t>
      </w:r>
      <w:r>
        <w:t xml:space="preserve"> commence on 1 July 2018); and</w:t>
      </w:r>
    </w:p>
    <w:p w14:paraId="2C705548" w14:textId="77777777" w:rsidR="00EF7B9F" w:rsidRDefault="00EF19E9" w:rsidP="000D1D6E">
      <w:pPr>
        <w:pStyle w:val="ColorfulList-Accent110"/>
        <w:numPr>
          <w:ilvl w:val="0"/>
          <w:numId w:val="13"/>
        </w:numPr>
      </w:pPr>
      <w:proofErr w:type="gramStart"/>
      <w:r>
        <w:t>to</w:t>
      </w:r>
      <w:proofErr w:type="gramEnd"/>
      <w:r>
        <w:t xml:space="preserve"> use the pricing principles set out in this report as a guide in changing the tariff structure and setting any new tariffs.</w:t>
      </w:r>
    </w:p>
    <w:p w14:paraId="6C846B4B" w14:textId="77777777" w:rsidR="00EF7B9F" w:rsidRDefault="00EF7B9F" w:rsidP="000D1D6E">
      <w:pPr>
        <w:sectPr w:rsidR="00EF7B9F" w:rsidSect="00687EE3">
          <w:headerReference w:type="even" r:id="rId33"/>
          <w:headerReference w:type="default" r:id="rId34"/>
          <w:endnotePr>
            <w:numFmt w:val="decimal"/>
          </w:endnotePr>
          <w:type w:val="continuous"/>
          <w:pgSz w:w="11907" w:h="16840" w:code="9"/>
          <w:pgMar w:top="2268" w:right="2098" w:bottom="1701" w:left="2098" w:header="578" w:footer="578" w:gutter="0"/>
          <w:pgNumType w:fmt="lowerRoman"/>
          <w:cols w:space="720"/>
          <w:docGrid w:linePitch="299"/>
        </w:sectPr>
      </w:pPr>
    </w:p>
    <w:p w14:paraId="2F151FAC" w14:textId="77777777" w:rsidR="00EF7B9F" w:rsidRDefault="00EF7B9F" w:rsidP="00EF7B9F">
      <w:pPr>
        <w:pStyle w:val="Heading1"/>
        <w:sectPr w:rsidR="00EF7B9F" w:rsidSect="00EF7B9F">
          <w:headerReference w:type="default" r:id="rId35"/>
          <w:endnotePr>
            <w:numFmt w:val="decimal"/>
          </w:endnotePr>
          <w:type w:val="oddPage"/>
          <w:pgSz w:w="11907" w:h="16840" w:code="9"/>
          <w:pgMar w:top="2268" w:right="2098" w:bottom="1701" w:left="2098" w:header="578" w:footer="578" w:gutter="0"/>
          <w:pgNumType w:start="1"/>
          <w:cols w:space="720"/>
          <w:docGrid w:linePitch="299"/>
        </w:sectPr>
      </w:pPr>
      <w:bookmarkStart w:id="44" w:name="Tariffs_vs_prices"/>
      <w:bookmarkStart w:id="45" w:name="_Ref476129605"/>
      <w:bookmarkStart w:id="46" w:name="_Ref476129628"/>
      <w:bookmarkStart w:id="47" w:name="_Ref476129672"/>
      <w:bookmarkStart w:id="48" w:name="_Ref476129680"/>
      <w:bookmarkStart w:id="49" w:name="_Toc478465438"/>
      <w:bookmarkStart w:id="50" w:name="_Toc368572032"/>
      <w:bookmarkStart w:id="51" w:name="_Ref429400976"/>
      <w:bookmarkStart w:id="52" w:name="_Toc378334065"/>
      <w:bookmarkStart w:id="53" w:name="_Toc389642362"/>
      <w:bookmarkEnd w:id="19"/>
      <w:bookmarkEnd w:id="20"/>
      <w:bookmarkEnd w:id="21"/>
      <w:bookmarkEnd w:id="22"/>
      <w:bookmarkEnd w:id="23"/>
      <w:bookmarkEnd w:id="44"/>
      <w:r>
        <w:lastRenderedPageBreak/>
        <w:t>Introduction</w:t>
      </w:r>
      <w:bookmarkEnd w:id="45"/>
      <w:bookmarkEnd w:id="46"/>
      <w:bookmarkEnd w:id="47"/>
      <w:bookmarkEnd w:id="48"/>
      <w:bookmarkEnd w:id="49"/>
    </w:p>
    <w:p w14:paraId="586CD409" w14:textId="77777777" w:rsidR="001164D6" w:rsidRDefault="001164D6" w:rsidP="001164D6">
      <w:pPr>
        <w:pStyle w:val="Heading2a"/>
      </w:pPr>
      <w:bookmarkStart w:id="54" w:name="_Toc476753962"/>
      <w:bookmarkStart w:id="55" w:name="_Toc478465439"/>
      <w:bookmarkEnd w:id="50"/>
      <w:bookmarkEnd w:id="51"/>
      <w:bookmarkEnd w:id="52"/>
      <w:bookmarkEnd w:id="53"/>
      <w:r>
        <w:t>1.1</w:t>
      </w:r>
      <w:r>
        <w:tab/>
        <w:t>Background</w:t>
      </w:r>
      <w:bookmarkEnd w:id="54"/>
      <w:bookmarkEnd w:id="55"/>
    </w:p>
    <w:p w14:paraId="620F5334" w14:textId="77777777" w:rsidR="001164D6" w:rsidRDefault="001164D6" w:rsidP="001164D6">
      <w:r>
        <w:t>The current structure of Icon Water</w:t>
      </w:r>
      <w:r w:rsidR="00DC674F">
        <w:t>’</w:t>
      </w:r>
      <w:r>
        <w:t>s water and sewerage services tariffs has served the ACT community well over the past 15 or so years.</w:t>
      </w:r>
      <w:r w:rsidR="00F81A04" w:rsidDel="00F81A04">
        <w:rPr>
          <w:rStyle w:val="FootnoteReference"/>
        </w:rPr>
        <w:t xml:space="preserve"> </w:t>
      </w:r>
      <w:r>
        <w:t xml:space="preserve"> Nonetheless, in recent years questions </w:t>
      </w:r>
      <w:proofErr w:type="gramStart"/>
      <w:r>
        <w:t>have been raised</w:t>
      </w:r>
      <w:proofErr w:type="gramEnd"/>
      <w:r>
        <w:t xml:space="preserve"> about whether improvements could be made to the way </w:t>
      </w:r>
      <w:r w:rsidR="00D0677C">
        <w:t xml:space="preserve">the </w:t>
      </w:r>
      <w:r>
        <w:t>tariffs are structured.</w:t>
      </w:r>
      <w:r w:rsidR="00DC674F">
        <w:t xml:space="preserve"> </w:t>
      </w:r>
      <w:r>
        <w:t>In the 2013 price investigation process</w:t>
      </w:r>
      <w:r w:rsidR="00156FF4">
        <w:t>,</w:t>
      </w:r>
      <w:r>
        <w:t xml:space="preserve"> for example, the Commission received a number of submissions from stakeholders on this matter.</w:t>
      </w:r>
    </w:p>
    <w:p w14:paraId="00F7EE5A" w14:textId="77777777" w:rsidR="001164D6" w:rsidRDefault="001164D6" w:rsidP="001164D6">
      <w:r w:rsidRPr="00EB23F3">
        <w:t>In its 2013 determination, the</w:t>
      </w:r>
      <w:r>
        <w:t xml:space="preserve"> </w:t>
      </w:r>
      <w:r w:rsidRPr="00EB23F3">
        <w:t xml:space="preserve">Commission </w:t>
      </w:r>
      <w:r>
        <w:t xml:space="preserve">chose </w:t>
      </w:r>
      <w:r w:rsidRPr="00EB23F3">
        <w:t>to maintain the existing tariff structures for water and sewerage services for the regulatory period commencing 1</w:t>
      </w:r>
      <w:r>
        <w:t> </w:t>
      </w:r>
      <w:r w:rsidRPr="00EB23F3">
        <w:t>July</w:t>
      </w:r>
      <w:r>
        <w:t> </w:t>
      </w:r>
      <w:r w:rsidRPr="00EB23F3">
        <w:t>2013 (the current regulatory period).</w:t>
      </w:r>
      <w:r>
        <w:rPr>
          <w:rStyle w:val="FootnoteReference"/>
        </w:rPr>
        <w:footnoteReference w:id="8"/>
      </w:r>
      <w:r w:rsidR="00DC674F">
        <w:t xml:space="preserve"> </w:t>
      </w:r>
      <w:r>
        <w:t>Notwithstanding this decision, the</w:t>
      </w:r>
      <w:r w:rsidRPr="00EB23F3">
        <w:t xml:space="preserve"> Commission </w:t>
      </w:r>
      <w:r>
        <w:t xml:space="preserve">stated that it </w:t>
      </w:r>
      <w:r w:rsidRPr="00EB23F3">
        <w:t>recognise</w:t>
      </w:r>
      <w:r>
        <w:t>d</w:t>
      </w:r>
      <w:r w:rsidRPr="00EB23F3">
        <w:t xml:space="preserve"> the value in further reviewing alternative price structures and price-setting arrangements over the course of th</w:t>
      </w:r>
      <w:r>
        <w:t xml:space="preserve">e current regulatory </w:t>
      </w:r>
      <w:r w:rsidRPr="00EB23F3">
        <w:t>period.</w:t>
      </w:r>
    </w:p>
    <w:p w14:paraId="427F9ADB" w14:textId="77777777" w:rsidR="001164D6" w:rsidRDefault="001164D6" w:rsidP="001164D6">
      <w:r>
        <w:t xml:space="preserve">This view </w:t>
      </w:r>
      <w:proofErr w:type="gramStart"/>
      <w:r>
        <w:t>was</w:t>
      </w:r>
      <w:r w:rsidRPr="00EB23F3">
        <w:t xml:space="preserve"> reflected</w:t>
      </w:r>
      <w:proofErr w:type="gramEnd"/>
      <w:r w:rsidRPr="00EB23F3">
        <w:t xml:space="preserve"> as a future reset principle in the </w:t>
      </w:r>
      <w:r w:rsidRPr="009611D0">
        <w:rPr>
          <w:rStyle w:val="Italic"/>
        </w:rPr>
        <w:t xml:space="preserve">Price </w:t>
      </w:r>
      <w:r w:rsidR="00D0677C">
        <w:rPr>
          <w:rStyle w:val="Italic"/>
        </w:rPr>
        <w:t>d</w:t>
      </w:r>
      <w:r w:rsidRPr="009611D0">
        <w:rPr>
          <w:rStyle w:val="Italic"/>
        </w:rPr>
        <w:t xml:space="preserve">irection: Regulated </w:t>
      </w:r>
      <w:r w:rsidR="00D0677C">
        <w:rPr>
          <w:rStyle w:val="Italic"/>
        </w:rPr>
        <w:t>w</w:t>
      </w:r>
      <w:r w:rsidRPr="009611D0">
        <w:rPr>
          <w:rStyle w:val="Italic"/>
        </w:rPr>
        <w:t xml:space="preserve">ater and </w:t>
      </w:r>
      <w:r w:rsidR="00D0677C">
        <w:rPr>
          <w:rStyle w:val="Italic"/>
        </w:rPr>
        <w:t>s</w:t>
      </w:r>
      <w:r w:rsidRPr="009611D0">
        <w:rPr>
          <w:rStyle w:val="Italic"/>
        </w:rPr>
        <w:t xml:space="preserve">ewerage </w:t>
      </w:r>
      <w:r w:rsidR="00D0677C">
        <w:rPr>
          <w:rStyle w:val="Italic"/>
        </w:rPr>
        <w:t>s</w:t>
      </w:r>
      <w:r w:rsidRPr="009611D0">
        <w:rPr>
          <w:rStyle w:val="Italic"/>
        </w:rPr>
        <w:t xml:space="preserve">ervices </w:t>
      </w:r>
      <w:r>
        <w:rPr>
          <w:rStyle w:val="Italic"/>
        </w:rPr>
        <w:t xml:space="preserve">– </w:t>
      </w:r>
      <w:r w:rsidRPr="009611D0">
        <w:rPr>
          <w:rStyle w:val="Italic"/>
        </w:rPr>
        <w:t>1 July 2013 to 30 June 2019</w:t>
      </w:r>
      <w:r>
        <w:t>.</w:t>
      </w:r>
      <w:r>
        <w:rPr>
          <w:rStyle w:val="FootnoteReference"/>
        </w:rPr>
        <w:footnoteReference w:id="9"/>
      </w:r>
      <w:r>
        <w:t xml:space="preserve"> Clause 11(b) of the </w:t>
      </w:r>
      <w:r w:rsidRPr="002E7857">
        <w:rPr>
          <w:i/>
        </w:rPr>
        <w:t xml:space="preserve">Substituted </w:t>
      </w:r>
      <w:r w:rsidR="00D0677C">
        <w:rPr>
          <w:i/>
        </w:rPr>
        <w:t>p</w:t>
      </w:r>
      <w:r w:rsidRPr="002E7857">
        <w:rPr>
          <w:i/>
        </w:rPr>
        <w:t xml:space="preserve">rice </w:t>
      </w:r>
      <w:r w:rsidR="00D0677C">
        <w:rPr>
          <w:i/>
        </w:rPr>
        <w:t>d</w:t>
      </w:r>
      <w:r w:rsidRPr="002E7857">
        <w:rPr>
          <w:i/>
        </w:rPr>
        <w:t xml:space="preserve">irection: Regulated </w:t>
      </w:r>
      <w:r w:rsidR="00D0677C">
        <w:rPr>
          <w:i/>
        </w:rPr>
        <w:t>w</w:t>
      </w:r>
      <w:r w:rsidRPr="002E7857">
        <w:rPr>
          <w:i/>
        </w:rPr>
        <w:t xml:space="preserve">ater and </w:t>
      </w:r>
      <w:r w:rsidR="00D0677C">
        <w:rPr>
          <w:i/>
        </w:rPr>
        <w:t>s</w:t>
      </w:r>
      <w:r w:rsidRPr="002E7857">
        <w:rPr>
          <w:i/>
        </w:rPr>
        <w:t xml:space="preserve">ewerage </w:t>
      </w:r>
      <w:r w:rsidR="00D0677C">
        <w:rPr>
          <w:i/>
        </w:rPr>
        <w:t>s</w:t>
      </w:r>
      <w:r w:rsidRPr="002E7857">
        <w:rPr>
          <w:i/>
        </w:rPr>
        <w:t xml:space="preserve">ervices </w:t>
      </w:r>
      <w:r>
        <w:rPr>
          <w:i/>
        </w:rPr>
        <w:t xml:space="preserve">– </w:t>
      </w:r>
      <w:r w:rsidRPr="002E7857">
        <w:rPr>
          <w:i/>
        </w:rPr>
        <w:t>1 July 2013 to 30</w:t>
      </w:r>
      <w:r w:rsidR="00D0677C">
        <w:rPr>
          <w:i/>
        </w:rPr>
        <w:t> </w:t>
      </w:r>
      <w:r w:rsidRPr="002E7857">
        <w:rPr>
          <w:i/>
        </w:rPr>
        <w:t>June 2018</w:t>
      </w:r>
      <w:r w:rsidRPr="000F09DA">
        <w:t xml:space="preserve"> main</w:t>
      </w:r>
      <w:r>
        <w:t>tained this reset principle</w:t>
      </w:r>
      <w:r w:rsidR="00156FF4">
        <w:t>,</w:t>
      </w:r>
      <w:r>
        <w:t xml:space="preserve"> requiring the Commission to undertake a review of Icon Water</w:t>
      </w:r>
      <w:r w:rsidR="00DC674F">
        <w:t>’</w:t>
      </w:r>
      <w:r>
        <w:t>s water and sewerage services tariff structure</w:t>
      </w:r>
      <w:r w:rsidRPr="000F09DA">
        <w:t>s d</w:t>
      </w:r>
      <w:r>
        <w:t>uring the current regulatory period.</w:t>
      </w:r>
      <w:r>
        <w:rPr>
          <w:rStyle w:val="FootnoteReference"/>
        </w:rPr>
        <w:footnoteReference w:id="10"/>
      </w:r>
    </w:p>
    <w:p w14:paraId="3464AB30" w14:textId="77777777" w:rsidR="001164D6" w:rsidRDefault="001164D6" w:rsidP="001164D6">
      <w:pPr>
        <w:pStyle w:val="Heading2a"/>
      </w:pPr>
      <w:bookmarkStart w:id="56" w:name="_Toc476753963"/>
      <w:bookmarkStart w:id="57" w:name="_Toc478465440"/>
      <w:r w:rsidRPr="00776E39">
        <w:t>1.2</w:t>
      </w:r>
      <w:r w:rsidRPr="00776E39">
        <w:tab/>
        <w:t xml:space="preserve">Current </w:t>
      </w:r>
      <w:r w:rsidR="00AF5E23">
        <w:t xml:space="preserve">water </w:t>
      </w:r>
      <w:r w:rsidRPr="00776E39">
        <w:t>tariff structure: two-part inclining block</w:t>
      </w:r>
      <w:bookmarkEnd w:id="56"/>
      <w:bookmarkEnd w:id="57"/>
    </w:p>
    <w:p w14:paraId="15081766" w14:textId="77777777" w:rsidR="001164D6" w:rsidRDefault="001164D6" w:rsidP="001164D6">
      <w:r>
        <w:t>The current ACT water tariff structure comprises an annual fixed supply charge of $101</w:t>
      </w:r>
      <w:r w:rsidR="009F7D9C">
        <w:t>.48</w:t>
      </w:r>
      <w:r>
        <w:t xml:space="preserve"> and a two-tier usage charge</w:t>
      </w:r>
      <w:r w:rsidR="002E2C55">
        <w:t>,</w:t>
      </w:r>
      <w:r>
        <w:t xml:space="preserve"> with th</w:t>
      </w:r>
      <w:r w:rsidRPr="00D0677C">
        <w:t xml:space="preserve">e </w:t>
      </w:r>
      <w:r w:rsidRPr="009F7D9C">
        <w:t>Tier 1 ch</w:t>
      </w:r>
      <w:r>
        <w:t xml:space="preserve">arge set at $2.61 per </w:t>
      </w:r>
      <w:r w:rsidR="000F09DA">
        <w:t>kilolitre (</w:t>
      </w:r>
      <w:r>
        <w:t>kL</w:t>
      </w:r>
      <w:r w:rsidR="000F09DA">
        <w:t>)</w:t>
      </w:r>
      <w:r>
        <w:t xml:space="preserve"> for the first 200 kL of water use and the Tier 2 charge set at $5.24 per kL for consumption above 200</w:t>
      </w:r>
      <w:r w:rsidR="002E2C55">
        <w:t> </w:t>
      </w:r>
      <w:r>
        <w:t>k</w:t>
      </w:r>
      <w:r w:rsidR="002E2C55">
        <w:t>L</w:t>
      </w:r>
      <w:r>
        <w:t xml:space="preserve"> per year.</w:t>
      </w:r>
      <w:r>
        <w:rPr>
          <w:rStyle w:val="FootnoteReference"/>
        </w:rPr>
        <w:footnoteReference w:id="11"/>
      </w:r>
      <w:r w:rsidR="00DC674F">
        <w:t xml:space="preserve"> </w:t>
      </w:r>
      <w:r>
        <w:t xml:space="preserve">This </w:t>
      </w:r>
      <w:proofErr w:type="gramStart"/>
      <w:r>
        <w:t>is known</w:t>
      </w:r>
      <w:proofErr w:type="gramEnd"/>
      <w:r>
        <w:t xml:space="preserve"> as a two-part inclining block tariff.</w:t>
      </w:r>
      <w:r w:rsidR="00DC674F">
        <w:t xml:space="preserve"> </w:t>
      </w:r>
      <w:r w:rsidR="009F7D9C">
        <w:t>Under this structure</w:t>
      </w:r>
      <w:r>
        <w:t>, Icon Water recovers about 10 per cent of its water revenue from the fixed supply charge</w:t>
      </w:r>
      <w:r w:rsidR="00DE04A6">
        <w:t xml:space="preserve"> and</w:t>
      </w:r>
      <w:r>
        <w:t xml:space="preserve"> the remaining 90 per cent from usage charges.</w:t>
      </w:r>
    </w:p>
    <w:p w14:paraId="7276580D" w14:textId="182FEF3C" w:rsidR="00F81A04" w:rsidRDefault="004643E7" w:rsidP="00F81A04">
      <w:r>
        <w:fldChar w:fldCharType="begin"/>
      </w:r>
      <w:r>
        <w:instrText xml:space="preserve"> REF _Ref478394514 \h </w:instrText>
      </w:r>
      <w:r>
        <w:fldChar w:fldCharType="separate"/>
      </w:r>
      <w:r>
        <w:t xml:space="preserve">Figure </w:t>
      </w:r>
      <w:r>
        <w:rPr>
          <w:noProof/>
        </w:rPr>
        <w:t>1</w:t>
      </w:r>
      <w:r>
        <w:t>.</w:t>
      </w:r>
      <w:r>
        <w:rPr>
          <w:noProof/>
        </w:rPr>
        <w:t>1</w:t>
      </w:r>
      <w:r>
        <w:fldChar w:fldCharType="end"/>
      </w:r>
      <w:r>
        <w:t xml:space="preserve"> and </w:t>
      </w:r>
      <w:r>
        <w:fldChar w:fldCharType="begin"/>
      </w:r>
      <w:r>
        <w:instrText xml:space="preserve"> REF _Ref478394526 \h </w:instrText>
      </w:r>
      <w:r>
        <w:fldChar w:fldCharType="separate"/>
      </w:r>
      <w:r>
        <w:t xml:space="preserve">Figure </w:t>
      </w:r>
      <w:r>
        <w:rPr>
          <w:noProof/>
        </w:rPr>
        <w:t>1</w:t>
      </w:r>
      <w:r>
        <w:t>.</w:t>
      </w:r>
      <w:r>
        <w:rPr>
          <w:noProof/>
        </w:rPr>
        <w:t>2</w:t>
      </w:r>
      <w:r>
        <w:fldChar w:fldCharType="end"/>
      </w:r>
      <w:r>
        <w:t xml:space="preserve"> </w:t>
      </w:r>
      <w:r w:rsidR="00F81A04">
        <w:t xml:space="preserve">compare the residential tariff structure components for Icon Water with those of a number of urban utilities in other Australian jurisdictions. The supply charge in </w:t>
      </w:r>
      <w:r w:rsidR="00E62F0C">
        <w:fldChar w:fldCharType="begin"/>
      </w:r>
      <w:r w:rsidR="00F81A04">
        <w:instrText xml:space="preserve"> REF _Ref476556407 \h </w:instrText>
      </w:r>
      <w:r w:rsidR="00E62F0C">
        <w:fldChar w:fldCharType="separate"/>
      </w:r>
      <w:r w:rsidR="00F157C3" w:rsidRPr="00855A1E">
        <w:t>Figure ES</w:t>
      </w:r>
      <w:r w:rsidR="00F157C3">
        <w:rPr>
          <w:noProof/>
        </w:rPr>
        <w:t>1</w:t>
      </w:r>
      <w:r w:rsidR="00E62F0C">
        <w:fldChar w:fldCharType="end"/>
      </w:r>
      <w:r w:rsidR="00F81A04">
        <w:t xml:space="preserve"> is the Tier 1 charge and Icon Water’s supply charge is among the lowest.</w:t>
      </w:r>
    </w:p>
    <w:p w14:paraId="09625C39" w14:textId="4A13A4E0" w:rsidR="004643E7" w:rsidRDefault="004643E7" w:rsidP="004643E7">
      <w:pPr>
        <w:pStyle w:val="FigureName0"/>
      </w:pPr>
      <w:bookmarkStart w:id="58" w:name="_Ref478394514"/>
      <w:bookmarkStart w:id="59" w:name="_Ref478394495"/>
      <w:bookmarkStart w:id="60" w:name="_Toc478480744"/>
      <w:bookmarkStart w:id="61" w:name="_Toc476556456"/>
      <w:bookmarkStart w:id="62" w:name="_Ref474142497"/>
      <w:r>
        <w:lastRenderedPageBreak/>
        <w:t xml:space="preserve">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0F2B8A">
        <w:t>.</w:t>
      </w:r>
      <w:r w:rsidR="000F2B8A">
        <w:fldChar w:fldCharType="begin"/>
      </w:r>
      <w:r w:rsidR="000F2B8A">
        <w:instrText xml:space="preserve"> SEQ Figure \* ARABIC \s 1 </w:instrText>
      </w:r>
      <w:r w:rsidR="000F2B8A">
        <w:fldChar w:fldCharType="separate"/>
      </w:r>
      <w:r w:rsidR="000F2B8A">
        <w:rPr>
          <w:noProof/>
        </w:rPr>
        <w:t>1</w:t>
      </w:r>
      <w:r w:rsidR="000F2B8A">
        <w:fldChar w:fldCharType="end"/>
      </w:r>
      <w:bookmarkEnd w:id="58"/>
      <w:r>
        <w:tab/>
      </w:r>
      <w:r w:rsidRPr="004D6A14">
        <w:t>Residential water</w:t>
      </w:r>
      <w:r>
        <w:t xml:space="preserve"> fixed supply charges by utility, 2016–17</w:t>
      </w:r>
      <w:bookmarkEnd w:id="59"/>
      <w:bookmarkEnd w:id="60"/>
    </w:p>
    <w:bookmarkEnd w:id="61"/>
    <w:bookmarkEnd w:id="62"/>
    <w:p w14:paraId="5BD986B1" w14:textId="77777777" w:rsidR="004643E7" w:rsidRDefault="00666EAD" w:rsidP="002F1D3B">
      <w:pPr>
        <w:pStyle w:val="TableNotesLast0"/>
        <w:keepNext/>
      </w:pPr>
      <w:r>
        <w:rPr>
          <w:noProof/>
          <w:lang w:val="en-AU" w:eastAsia="en-AU"/>
        </w:rPr>
        <w:drawing>
          <wp:inline distT="0" distB="0" distL="0" distR="0" wp14:anchorId="5A93F701" wp14:editId="247A5CFC">
            <wp:extent cx="4896485" cy="3495675"/>
            <wp:effectExtent l="0" t="0" r="1841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4E49CD" w14:textId="43110D04" w:rsidR="002F1D3B" w:rsidRDefault="002F1D3B" w:rsidP="002F1D3B">
      <w:pPr>
        <w:pStyle w:val="TableNotesLast0"/>
        <w:keepNext/>
      </w:pPr>
      <w:r>
        <w:t xml:space="preserve">Sources: </w:t>
      </w:r>
      <w:r>
        <w:fldChar w:fldCharType="begin"/>
      </w:r>
      <w:r>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fldChar w:fldCharType="separate"/>
      </w:r>
      <w:hyperlink w:anchor="_ENREF_6" w:tooltip="City West Water, 2016 #742" w:history="1">
        <w:r>
          <w:rPr>
            <w:noProof/>
          </w:rPr>
          <w:t>City West Water (2016</w:t>
        </w:r>
      </w:hyperlink>
      <w:r>
        <w:rPr>
          <w:noProof/>
        </w:rPr>
        <w:t>)</w:t>
      </w:r>
      <w:r>
        <w:fldChar w:fldCharType="end"/>
      </w:r>
      <w:r>
        <w:t xml:space="preserve">; </w:t>
      </w:r>
      <w:hyperlink w:anchor="_ENREF_15" w:tooltip="Hunter Water, 2016 #748" w:history="1">
        <w:r>
          <w:rPr>
            <w:noProof/>
          </w:rPr>
          <w:t>Hunter Water (2016a</w:t>
        </w:r>
      </w:hyperlink>
      <w:r>
        <w:rPr>
          <w:noProof/>
        </w:rPr>
        <w:t xml:space="preserve">); </w:t>
      </w:r>
      <w:hyperlink w:anchor="_ENREF_16" w:tooltip="Hunter Water, 2016 #749" w:history="1">
        <w:r>
          <w:rPr>
            <w:noProof/>
          </w:rPr>
          <w:t>Hunter Water (2016b</w:t>
        </w:r>
      </w:hyperlink>
      <w:r>
        <w:rPr>
          <w:noProof/>
        </w:rPr>
        <w:t xml:space="preserve">); </w:t>
      </w:r>
      <w:r>
        <w:t xml:space="preserve">Icon Water (2016e); PowerWater (2016); Queensland Urban Utilities (2017a); Queensland Urban Utilities (2017b); </w:t>
      </w:r>
      <w:r>
        <w:fldChar w:fldCharType="begin"/>
      </w:r>
      <w:r>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fldChar w:fldCharType="separate"/>
      </w:r>
      <w:hyperlink w:anchor="_ENREF_34" w:tooltip="SA Water, 2016 #751" w:history="1">
        <w:r>
          <w:rPr>
            <w:noProof/>
          </w:rPr>
          <w:t>SA Water (2016</w:t>
        </w:r>
      </w:hyperlink>
      <w:r>
        <w:rPr>
          <w:noProof/>
        </w:rPr>
        <w:t>)</w:t>
      </w:r>
      <w:r>
        <w:fldChar w:fldCharType="end"/>
      </w:r>
      <w:r>
        <w:t xml:space="preserve">; South East Water (2016); </w:t>
      </w:r>
      <w:r>
        <w:fldChar w:fldCharType="begin"/>
      </w:r>
      <w:r>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fldChar w:fldCharType="separate"/>
      </w:r>
      <w:hyperlink w:anchor="_ENREF_37" w:tooltip="Sydney Water, 2016 #745" w:history="1">
        <w:r>
          <w:rPr>
            <w:noProof/>
          </w:rPr>
          <w:t>Sydney Water (2016b</w:t>
        </w:r>
      </w:hyperlink>
      <w:r>
        <w:rPr>
          <w:noProof/>
        </w:rPr>
        <w:t>)</w:t>
      </w:r>
      <w:r>
        <w:fldChar w:fldCharType="end"/>
      </w:r>
      <w:r>
        <w:t xml:space="preserve">; </w:t>
      </w:r>
      <w:r>
        <w:fldChar w:fldCharType="begin"/>
      </w:r>
      <w:r>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fldChar w:fldCharType="separate"/>
      </w:r>
      <w:hyperlink w:anchor="_ENREF_36" w:tooltip="Sydney Water, 2016 #746" w:history="1">
        <w:r>
          <w:rPr>
            <w:noProof/>
          </w:rPr>
          <w:t>Sydney Water (2016a</w:t>
        </w:r>
      </w:hyperlink>
      <w:r>
        <w:rPr>
          <w:noProof/>
        </w:rPr>
        <w:t>)</w:t>
      </w:r>
      <w:r>
        <w:fldChar w:fldCharType="end"/>
      </w:r>
      <w:r>
        <w:t xml:space="preserve">; and </w:t>
      </w:r>
      <w:r>
        <w:fldChar w:fldCharType="begin"/>
      </w:r>
      <w:r>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fldChar w:fldCharType="separate"/>
      </w:r>
      <w:hyperlink w:anchor="_ENREF_38" w:tooltip="TasWater, 2015 #594" w:history="1">
        <w:r>
          <w:rPr>
            <w:noProof/>
          </w:rPr>
          <w:t>TasWater (2015</w:t>
        </w:r>
      </w:hyperlink>
      <w:r>
        <w:rPr>
          <w:noProof/>
        </w:rPr>
        <w:t>)</w:t>
      </w:r>
      <w:r>
        <w:fldChar w:fldCharType="end"/>
      </w:r>
    </w:p>
    <w:p w14:paraId="699F2FFA" w14:textId="19D63BD7" w:rsidR="004643E7" w:rsidRPr="004643E7" w:rsidRDefault="004643E7" w:rsidP="004643E7">
      <w:pPr>
        <w:pStyle w:val="FigureName0"/>
      </w:pPr>
      <w:bookmarkStart w:id="63" w:name="_Ref478394526"/>
      <w:bookmarkStart w:id="64" w:name="_Toc478480745"/>
      <w:r>
        <w:t xml:space="preserve">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0F2B8A">
        <w:t>.</w:t>
      </w:r>
      <w:r w:rsidR="000F2B8A">
        <w:fldChar w:fldCharType="begin"/>
      </w:r>
      <w:r w:rsidR="000F2B8A">
        <w:instrText xml:space="preserve"> SEQ Figure \* ARABIC \s 1 </w:instrText>
      </w:r>
      <w:r w:rsidR="000F2B8A">
        <w:fldChar w:fldCharType="separate"/>
      </w:r>
      <w:r w:rsidR="000F2B8A">
        <w:rPr>
          <w:noProof/>
        </w:rPr>
        <w:t>2</w:t>
      </w:r>
      <w:r w:rsidR="000F2B8A">
        <w:fldChar w:fldCharType="end"/>
      </w:r>
      <w:bookmarkEnd w:id="63"/>
      <w:r>
        <w:tab/>
        <w:t>Residential water usage charges by utility, 2016–17</w:t>
      </w:r>
      <w:bookmarkEnd w:id="64"/>
    </w:p>
    <w:p w14:paraId="3E5A2CFA" w14:textId="381A1662" w:rsidR="001164D6" w:rsidRPr="00162061" w:rsidRDefault="00666EAD" w:rsidP="001164D6">
      <w:r>
        <w:rPr>
          <w:noProof/>
          <w:lang w:val="en-AU" w:eastAsia="en-AU"/>
        </w:rPr>
        <w:drawing>
          <wp:inline distT="0" distB="0" distL="0" distR="0" wp14:anchorId="561EE7FA" wp14:editId="20341B3A">
            <wp:extent cx="5019675" cy="260985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7C50EF" w14:textId="77777777" w:rsidR="001164D6" w:rsidRDefault="001164D6" w:rsidP="001164D6">
      <w:pPr>
        <w:pStyle w:val="TableNotesLast0"/>
        <w:keepNext/>
      </w:pPr>
      <w:r>
        <w:t>Source</w:t>
      </w:r>
      <w:r w:rsidR="001E7F9A">
        <w:t>s</w:t>
      </w:r>
      <w:r>
        <w:t>:</w:t>
      </w:r>
      <w:r w:rsidR="001E7F9A">
        <w:t xml:space="preserve"> </w:t>
      </w:r>
      <w:r w:rsidR="00E62F0C">
        <w:fldChar w:fldCharType="begin"/>
      </w:r>
      <w:r w:rsidR="001E7F9A">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rsidR="00E62F0C">
        <w:fldChar w:fldCharType="separate"/>
      </w:r>
      <w:hyperlink w:anchor="_ENREF_6" w:tooltip="City West Water, 2016 #742" w:history="1">
        <w:r w:rsidR="001E7F9A">
          <w:rPr>
            <w:noProof/>
          </w:rPr>
          <w:t>City West Water (2016</w:t>
        </w:r>
      </w:hyperlink>
      <w:r w:rsidR="001E7F9A">
        <w:rPr>
          <w:noProof/>
        </w:rPr>
        <w:t>)</w:t>
      </w:r>
      <w:r w:rsidR="00E62F0C">
        <w:fldChar w:fldCharType="end"/>
      </w:r>
      <w:r w:rsidR="001E7F9A">
        <w:t xml:space="preserve">; </w:t>
      </w:r>
      <w:hyperlink w:anchor="_ENREF_15" w:tooltip="Hunter Water, 2016 #748" w:history="1">
        <w:r w:rsidR="001E7F9A">
          <w:rPr>
            <w:noProof/>
          </w:rPr>
          <w:t>Hunter Water (2016a</w:t>
        </w:r>
      </w:hyperlink>
      <w:r w:rsidR="001E7F9A">
        <w:rPr>
          <w:noProof/>
        </w:rPr>
        <w:t xml:space="preserve">); </w:t>
      </w:r>
      <w:hyperlink w:anchor="_ENREF_16" w:tooltip="Hunter Water, 2016 #749" w:history="1">
        <w:r w:rsidR="001E7F9A">
          <w:rPr>
            <w:noProof/>
          </w:rPr>
          <w:t>Hunter Water (2016b</w:t>
        </w:r>
      </w:hyperlink>
      <w:r w:rsidR="001E7F9A">
        <w:rPr>
          <w:noProof/>
        </w:rPr>
        <w:t xml:space="preserve">); </w:t>
      </w:r>
      <w:r w:rsidR="001E7F9A">
        <w:t xml:space="preserve">Icon Water (2016e); PowerWater (2016); Queensland Urban Utilities (2017a); Queensland Urban Utilities (2017b); </w:t>
      </w:r>
      <w:r w:rsidR="00E62F0C">
        <w:fldChar w:fldCharType="begin"/>
      </w:r>
      <w:r w:rsidR="001E7F9A">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rsidR="00E62F0C">
        <w:fldChar w:fldCharType="separate"/>
      </w:r>
      <w:hyperlink w:anchor="_ENREF_34" w:tooltip="SA Water, 2016 #751" w:history="1">
        <w:r w:rsidR="001E7F9A">
          <w:rPr>
            <w:noProof/>
          </w:rPr>
          <w:t>SA Water (2016</w:t>
        </w:r>
      </w:hyperlink>
      <w:r w:rsidR="001E7F9A">
        <w:rPr>
          <w:noProof/>
        </w:rPr>
        <w:t>)</w:t>
      </w:r>
      <w:r w:rsidR="00E62F0C">
        <w:fldChar w:fldCharType="end"/>
      </w:r>
      <w:r w:rsidR="001E7F9A">
        <w:t xml:space="preserve">; South East Water (2016); </w:t>
      </w:r>
      <w:r w:rsidR="00E62F0C">
        <w:fldChar w:fldCharType="begin"/>
      </w:r>
      <w:r w:rsidR="001E7F9A">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rsidR="00E62F0C">
        <w:fldChar w:fldCharType="separate"/>
      </w:r>
      <w:hyperlink w:anchor="_ENREF_37" w:tooltip="Sydney Water, 2016 #745" w:history="1">
        <w:r w:rsidR="001E7F9A">
          <w:rPr>
            <w:noProof/>
          </w:rPr>
          <w:t>Sydney Water (2016b</w:t>
        </w:r>
      </w:hyperlink>
      <w:r w:rsidR="001E7F9A">
        <w:rPr>
          <w:noProof/>
        </w:rPr>
        <w:t>)</w:t>
      </w:r>
      <w:r w:rsidR="00E62F0C">
        <w:fldChar w:fldCharType="end"/>
      </w:r>
      <w:r w:rsidR="001E7F9A">
        <w:t xml:space="preserve">; </w:t>
      </w:r>
      <w:r w:rsidR="00E62F0C">
        <w:fldChar w:fldCharType="begin"/>
      </w:r>
      <w:r w:rsidR="001E7F9A">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rsidR="00E62F0C">
        <w:fldChar w:fldCharType="separate"/>
      </w:r>
      <w:hyperlink w:anchor="_ENREF_36" w:tooltip="Sydney Water, 2016 #746" w:history="1">
        <w:r w:rsidR="001E7F9A">
          <w:rPr>
            <w:noProof/>
          </w:rPr>
          <w:t>Sydney Water (2016a</w:t>
        </w:r>
      </w:hyperlink>
      <w:r w:rsidR="001E7F9A">
        <w:rPr>
          <w:noProof/>
        </w:rPr>
        <w:t>)</w:t>
      </w:r>
      <w:r w:rsidR="00E62F0C">
        <w:fldChar w:fldCharType="end"/>
      </w:r>
      <w:r w:rsidR="001E7F9A">
        <w:t xml:space="preserve">; and </w:t>
      </w:r>
      <w:r w:rsidR="00E62F0C">
        <w:fldChar w:fldCharType="begin"/>
      </w:r>
      <w:r w:rsidR="001E7F9A">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rsidR="00E62F0C">
        <w:fldChar w:fldCharType="separate"/>
      </w:r>
      <w:hyperlink w:anchor="_ENREF_38" w:tooltip="TasWater, 2015 #594" w:history="1">
        <w:r w:rsidR="001E7F9A">
          <w:rPr>
            <w:noProof/>
          </w:rPr>
          <w:t>TasWater (2015</w:t>
        </w:r>
      </w:hyperlink>
      <w:r w:rsidR="001E7F9A">
        <w:rPr>
          <w:noProof/>
        </w:rPr>
        <w:t>)</w:t>
      </w:r>
      <w:r w:rsidR="00E62F0C">
        <w:fldChar w:fldCharType="end"/>
      </w:r>
      <w:r w:rsidR="001E7F9A">
        <w:t>.</w:t>
      </w:r>
    </w:p>
    <w:p w14:paraId="503999B2" w14:textId="77777777" w:rsidR="00CA3C4D" w:rsidRDefault="001164D6" w:rsidP="001164D6">
      <w:r>
        <w:t xml:space="preserve">The Millennium Drought affected southeast Australia from </w:t>
      </w:r>
      <w:r w:rsidR="001E7F9A">
        <w:t xml:space="preserve">around </w:t>
      </w:r>
      <w:r>
        <w:t>1997 to 2009.</w:t>
      </w:r>
      <w:r w:rsidR="00DC674F">
        <w:t xml:space="preserve"> </w:t>
      </w:r>
      <w:r>
        <w:t>The shortage of water in th</w:t>
      </w:r>
      <w:r w:rsidR="00DE04A6">
        <w:t>at</w:t>
      </w:r>
      <w:r>
        <w:t xml:space="preserve"> period led to </w:t>
      </w:r>
      <w:r w:rsidR="00DE04A6">
        <w:t xml:space="preserve">the implementation of </w:t>
      </w:r>
      <w:r>
        <w:t xml:space="preserve">temporary severe water </w:t>
      </w:r>
      <w:r>
        <w:lastRenderedPageBreak/>
        <w:t>restrictions</w:t>
      </w:r>
      <w:r w:rsidR="00DE04A6">
        <w:t xml:space="preserve"> and</w:t>
      </w:r>
      <w:r>
        <w:t xml:space="preserve"> permanent conservation measures and </w:t>
      </w:r>
      <w:r w:rsidR="00DE04A6">
        <w:t xml:space="preserve">the </w:t>
      </w:r>
      <w:r>
        <w:t>application of a two</w:t>
      </w:r>
      <w:r w:rsidR="00DE04A6">
        <w:t>-</w:t>
      </w:r>
      <w:r>
        <w:t xml:space="preserve">tier </w:t>
      </w:r>
      <w:r w:rsidR="001E7F9A">
        <w:t xml:space="preserve">pricing </w:t>
      </w:r>
      <w:r>
        <w:t>structure.</w:t>
      </w:r>
      <w:r>
        <w:rPr>
          <w:rStyle w:val="FootnoteReference"/>
        </w:rPr>
        <w:footnoteReference w:id="12"/>
      </w:r>
      <w:r w:rsidR="00DC674F">
        <w:t xml:space="preserve"> </w:t>
      </w:r>
      <w:r>
        <w:t xml:space="preserve">At the time, this </w:t>
      </w:r>
      <w:r w:rsidR="001E7F9A">
        <w:t>inclining block</w:t>
      </w:r>
      <w:r>
        <w:t xml:space="preserve"> structure was to some extent helpful in providing a price signal to </w:t>
      </w:r>
      <w:r w:rsidR="00CA3C4D">
        <w:t>customers</w:t>
      </w:r>
      <w:r w:rsidR="00F52DAB">
        <w:t xml:space="preserve"> to </w:t>
      </w:r>
      <w:r>
        <w:t>conserve water.</w:t>
      </w:r>
      <w:r w:rsidR="00DC674F">
        <w:t xml:space="preserve"> </w:t>
      </w:r>
      <w:r>
        <w:t xml:space="preserve">The first tier </w:t>
      </w:r>
      <w:proofErr w:type="gramStart"/>
      <w:r>
        <w:t>was seen</w:t>
      </w:r>
      <w:proofErr w:type="gramEnd"/>
      <w:r>
        <w:t xml:space="preserve"> as making some water available at a lower charge to meet essential needs.</w:t>
      </w:r>
      <w:r w:rsidR="00DC674F">
        <w:t xml:space="preserve"> </w:t>
      </w:r>
    </w:p>
    <w:p w14:paraId="4CCA1655" w14:textId="77777777" w:rsidR="001164D6" w:rsidRPr="00800C3B" w:rsidRDefault="001164D6" w:rsidP="001164D6">
      <w:r>
        <w:t xml:space="preserve">As a </w:t>
      </w:r>
      <w:proofErr w:type="gramStart"/>
      <w:r>
        <w:t>longer</w:t>
      </w:r>
      <w:r w:rsidR="00F52DAB">
        <w:t xml:space="preserve"> </w:t>
      </w:r>
      <w:r>
        <w:t>term</w:t>
      </w:r>
      <w:proofErr w:type="gramEnd"/>
      <w:r>
        <w:t xml:space="preserve"> measure, Icon Water also embarked on a substantial investment program to augment Canberra</w:t>
      </w:r>
      <w:r w:rsidR="00DC674F">
        <w:t>’</w:t>
      </w:r>
      <w:r>
        <w:t>s water supply.</w:t>
      </w:r>
      <w:r w:rsidR="00DC674F">
        <w:t xml:space="preserve"> </w:t>
      </w:r>
      <w:r>
        <w:t>The key projects were the enlargement of the Cotter Dam from four gigalitres (</w:t>
      </w:r>
      <w:r w:rsidR="00F52DAB">
        <w:t>G</w:t>
      </w:r>
      <w:r>
        <w:t xml:space="preserve">L) to 76 </w:t>
      </w:r>
      <w:r w:rsidR="00F52DAB">
        <w:t>G</w:t>
      </w:r>
      <w:r>
        <w:t xml:space="preserve">L and the construction of the Murrumbidgee to Googong Dam pipeline to transfer water directly </w:t>
      </w:r>
      <w:r w:rsidR="00F52DAB">
        <w:t xml:space="preserve">from the Murrumbidgee River </w:t>
      </w:r>
      <w:r>
        <w:t>to the Googong Dam</w:t>
      </w:r>
      <w:r w:rsidRPr="00B1219E">
        <w:t>.</w:t>
      </w:r>
      <w:r w:rsidRPr="00800C3B">
        <w:t xml:space="preserve"> </w:t>
      </w:r>
    </w:p>
    <w:p w14:paraId="7FC79E74" w14:textId="77777777" w:rsidR="001164D6" w:rsidRDefault="001164D6" w:rsidP="001164D6">
      <w:pPr>
        <w:pStyle w:val="Heading2a"/>
      </w:pPr>
      <w:bookmarkStart w:id="65" w:name="_Toc468175200"/>
      <w:bookmarkStart w:id="66" w:name="_Toc476753964"/>
      <w:bookmarkStart w:id="67" w:name="_Toc478465441"/>
      <w:r>
        <w:t>1.3</w:t>
      </w:r>
      <w:r>
        <w:tab/>
      </w:r>
      <w:r w:rsidR="00CA3C4D">
        <w:t xml:space="preserve">Current water </w:t>
      </w:r>
      <w:r>
        <w:t xml:space="preserve">security </w:t>
      </w:r>
      <w:r w:rsidRPr="00CA3C4D">
        <w:t>situation</w:t>
      </w:r>
      <w:bookmarkEnd w:id="65"/>
      <w:bookmarkEnd w:id="66"/>
      <w:bookmarkEnd w:id="67"/>
    </w:p>
    <w:p w14:paraId="2816D7B4" w14:textId="77777777" w:rsidR="001164D6" w:rsidRDefault="001164D6" w:rsidP="001164D6">
      <w:proofErr w:type="gramStart"/>
      <w:r>
        <w:t>As a result</w:t>
      </w:r>
      <w:proofErr w:type="gramEnd"/>
      <w:r>
        <w:t xml:space="preserve"> of these measures and a return to higher inflows of </w:t>
      </w:r>
      <w:r w:rsidRPr="00CA3C4D">
        <w:t>water for several years,</w:t>
      </w:r>
      <w:r>
        <w:t xml:space="preserve"> the ACT</w:t>
      </w:r>
      <w:r w:rsidR="00DC674F">
        <w:t>’</w:t>
      </w:r>
      <w:r>
        <w:t>s water supply and demand balance tod</w:t>
      </w:r>
      <w:r w:rsidRPr="00CA3C4D">
        <w:t xml:space="preserve">ay is very </w:t>
      </w:r>
      <w:r w:rsidR="007953D9" w:rsidRPr="00CA3C4D">
        <w:t>different</w:t>
      </w:r>
      <w:r w:rsidRPr="00CA3C4D">
        <w:t>.</w:t>
      </w:r>
    </w:p>
    <w:p w14:paraId="0F5DEF22" w14:textId="47710519" w:rsidR="001164D6" w:rsidRPr="00E255C1" w:rsidRDefault="001164D6" w:rsidP="001164D6">
      <w:pPr>
        <w:rPr>
          <w:b/>
        </w:rPr>
      </w:pPr>
      <w:r>
        <w:t>The enlarged Cotter Dam increased the ACT</w:t>
      </w:r>
      <w:r w:rsidR="00F52DAB">
        <w:t>’s</w:t>
      </w:r>
      <w:r>
        <w:t xml:space="preserve"> combined dam storage capacity by more than a third</w:t>
      </w:r>
      <w:r w:rsidR="00F52DAB">
        <w:t>,</w:t>
      </w:r>
      <w:r>
        <w:t xml:space="preserve"> from 206</w:t>
      </w:r>
      <w:r w:rsidR="001E7F9A">
        <w:t> GL</w:t>
      </w:r>
      <w:r>
        <w:t xml:space="preserve"> to 278 </w:t>
      </w:r>
      <w:r w:rsidR="00F52DAB">
        <w:t>G</w:t>
      </w:r>
      <w:r>
        <w:t>L.</w:t>
      </w:r>
      <w:r w:rsidR="00DC674F">
        <w:t xml:space="preserve"> </w:t>
      </w:r>
      <w:r>
        <w:t>The combined dam storage level in early March 2017 was 90.5 per cent.</w:t>
      </w:r>
      <w:r>
        <w:rPr>
          <w:rStyle w:val="FootnoteReference"/>
        </w:rPr>
        <w:footnoteReference w:id="13"/>
      </w:r>
      <w:r w:rsidR="00DC674F">
        <w:t xml:space="preserve"> </w:t>
      </w:r>
      <w:r w:rsidR="00750F70">
        <w:fldChar w:fldCharType="begin"/>
      </w:r>
      <w:r w:rsidR="00750F70">
        <w:instrText xml:space="preserve"> REF _Ref474142535 \h </w:instrText>
      </w:r>
      <w:r w:rsidR="00750F70">
        <w:fldChar w:fldCharType="separate"/>
      </w:r>
      <w:r w:rsidR="00750F70">
        <w:t>Figure </w:t>
      </w:r>
      <w:r w:rsidR="00750F70">
        <w:rPr>
          <w:noProof/>
        </w:rPr>
        <w:t>1</w:t>
      </w:r>
      <w:r w:rsidR="00750F70">
        <w:t>.</w:t>
      </w:r>
      <w:r w:rsidR="00750F70">
        <w:rPr>
          <w:noProof/>
        </w:rPr>
        <w:t>3</w:t>
      </w:r>
      <w:r w:rsidR="00750F70">
        <w:fldChar w:fldCharType="end"/>
      </w:r>
      <w:r>
        <w:t xml:space="preserve"> shows the storage levels for each of the four ACT dams. </w:t>
      </w:r>
    </w:p>
    <w:p w14:paraId="21AB9D8E" w14:textId="2B98D689" w:rsidR="001164D6" w:rsidRDefault="00456D67" w:rsidP="00406069">
      <w:pPr>
        <w:pStyle w:val="FigureName0"/>
      </w:pPr>
      <w:bookmarkStart w:id="68" w:name="_Ref474142535"/>
      <w:bookmarkStart w:id="69" w:name="_Toc476556458"/>
      <w:bookmarkStart w:id="70" w:name="_Toc478480746"/>
      <w:r>
        <w:t>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0F2B8A">
        <w:t>.</w:t>
      </w:r>
      <w:r w:rsidR="000F2B8A">
        <w:fldChar w:fldCharType="begin"/>
      </w:r>
      <w:r w:rsidR="000F2B8A">
        <w:instrText xml:space="preserve"> SEQ Figure \* ARABIC \s 1 </w:instrText>
      </w:r>
      <w:r w:rsidR="000F2B8A">
        <w:fldChar w:fldCharType="separate"/>
      </w:r>
      <w:r w:rsidR="000F2B8A">
        <w:rPr>
          <w:noProof/>
        </w:rPr>
        <w:t>3</w:t>
      </w:r>
      <w:r w:rsidR="000F2B8A">
        <w:fldChar w:fldCharType="end"/>
      </w:r>
      <w:bookmarkEnd w:id="68"/>
      <w:r w:rsidR="00406069">
        <w:tab/>
      </w:r>
      <w:r w:rsidR="001164D6">
        <w:t>ACT dam storage levels</w:t>
      </w:r>
      <w:bookmarkEnd w:id="69"/>
      <w:r w:rsidR="001E7F9A">
        <w:t>, as at 13 March 2017</w:t>
      </w:r>
      <w:bookmarkEnd w:id="70"/>
      <w:r w:rsidR="001164D6" w:rsidDel="00E33122">
        <w:t xml:space="preserve"> </w:t>
      </w:r>
    </w:p>
    <w:p w14:paraId="4FC81EE3" w14:textId="331E3DC5" w:rsidR="001164D6" w:rsidRPr="00801EEC" w:rsidRDefault="006B0CE1" w:rsidP="00801EEC">
      <w:pPr>
        <w:pStyle w:val="TableNotesLast0"/>
      </w:pPr>
      <w:r w:rsidRPr="00171A18">
        <w:rPr>
          <w:noProof/>
          <w:lang w:val="en-AU" w:eastAsia="en-AU"/>
        </w:rPr>
        <w:drawing>
          <wp:inline distT="0" distB="0" distL="0" distR="0" wp14:anchorId="0FEA1A41" wp14:editId="371B732C">
            <wp:extent cx="4894580" cy="2215515"/>
            <wp:effectExtent l="0" t="0" r="1270" b="13335"/>
            <wp:docPr id="1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164D6">
        <w:t>Source:</w:t>
      </w:r>
      <w:r w:rsidR="00C92555">
        <w:t xml:space="preserve"> </w:t>
      </w:r>
      <w:r w:rsidR="001164D6">
        <w:t>Icon Wat</w:t>
      </w:r>
      <w:r w:rsidR="001164D6" w:rsidRPr="001E7F9A">
        <w:t>er</w:t>
      </w:r>
      <w:r w:rsidR="001E7F9A">
        <w:t xml:space="preserve">, </w:t>
      </w:r>
      <w:r w:rsidR="001164D6" w:rsidRPr="001E7F9A">
        <w:t>https://w</w:t>
      </w:r>
      <w:r w:rsidR="001164D6" w:rsidRPr="00C63E00">
        <w:t>ww.iconwater.com.au/Water-and-Sewerage-System/Dams/Water-Storage-Levels.aspx</w:t>
      </w:r>
      <w:r w:rsidR="001164D6">
        <w:t>.</w:t>
      </w:r>
    </w:p>
    <w:p w14:paraId="4B55BD2F" w14:textId="28F31659" w:rsidR="001164D6" w:rsidRDefault="001164D6" w:rsidP="001164D6">
      <w:r>
        <w:lastRenderedPageBreak/>
        <w:t xml:space="preserve">On the demand side, there has been </w:t>
      </w:r>
      <w:r w:rsidR="007953D9">
        <w:t>little evidence</w:t>
      </w:r>
      <w:r>
        <w:t xml:space="preserve"> of a bounce</w:t>
      </w:r>
      <w:r w:rsidR="00456D67">
        <w:t>-</w:t>
      </w:r>
      <w:r>
        <w:t>back in per capita water consumption or aggregate billed water consumption levels since the lifting of temporary water restrictions in 2010.</w:t>
      </w:r>
      <w:r w:rsidR="00DC674F">
        <w:t xml:space="preserve"> </w:t>
      </w:r>
      <w:r>
        <w:t xml:space="preserve">As shown in </w:t>
      </w:r>
      <w:r w:rsidR="00E62F0C">
        <w:fldChar w:fldCharType="begin"/>
      </w:r>
      <w:r>
        <w:instrText xml:space="preserve"> REF _Ref474142560 \h </w:instrText>
      </w:r>
      <w:r w:rsidR="00E62F0C">
        <w:fldChar w:fldCharType="separate"/>
      </w:r>
      <w:r w:rsidR="00766A7B">
        <w:t xml:space="preserve">Figure </w:t>
      </w:r>
      <w:r w:rsidR="00766A7B">
        <w:rPr>
          <w:noProof/>
        </w:rPr>
        <w:t>1</w:t>
      </w:r>
      <w:r w:rsidR="00766A7B">
        <w:t>.</w:t>
      </w:r>
      <w:r w:rsidR="00766A7B">
        <w:rPr>
          <w:noProof/>
        </w:rPr>
        <w:t>4</w:t>
      </w:r>
      <w:r w:rsidR="00E62F0C">
        <w:fldChar w:fldCharType="end"/>
      </w:r>
      <w:r>
        <w:t xml:space="preserve"> and </w:t>
      </w:r>
      <w:r w:rsidR="00E62F0C">
        <w:fldChar w:fldCharType="begin"/>
      </w:r>
      <w:r>
        <w:instrText xml:space="preserve"> REF _Ref476754499 \h </w:instrText>
      </w:r>
      <w:r w:rsidR="00E62F0C">
        <w:fldChar w:fldCharType="separate"/>
      </w:r>
      <w:r w:rsidR="00766A7B" w:rsidRPr="00855A1E">
        <w:t xml:space="preserve">Figure </w:t>
      </w:r>
      <w:r w:rsidR="00766A7B">
        <w:rPr>
          <w:noProof/>
        </w:rPr>
        <w:t>1</w:t>
      </w:r>
      <w:r w:rsidR="00766A7B">
        <w:t>.</w:t>
      </w:r>
      <w:r w:rsidR="00766A7B">
        <w:rPr>
          <w:noProof/>
        </w:rPr>
        <w:t>5</w:t>
      </w:r>
      <w:r w:rsidR="00E62F0C">
        <w:fldChar w:fldCharType="end"/>
      </w:r>
      <w:r>
        <w:t>, recent levels for dam releases per capita and residential billed water consumption</w:t>
      </w:r>
      <w:r w:rsidR="00456D67">
        <w:t>,</w:t>
      </w:r>
      <w:r>
        <w:t xml:space="preserve"> respectively</w:t>
      </w:r>
      <w:r w:rsidR="00456D67">
        <w:t>,</w:t>
      </w:r>
      <w:r>
        <w:t xml:space="preserve"> are well below those prevailing in the early to mid-2000s.</w:t>
      </w:r>
    </w:p>
    <w:p w14:paraId="3347A24B" w14:textId="3CE588D9" w:rsidR="001164D6" w:rsidRDefault="001164D6" w:rsidP="001164D6">
      <w:pPr>
        <w:pStyle w:val="FigureName0"/>
      </w:pPr>
      <w:bookmarkStart w:id="71" w:name="_Ref474142560"/>
      <w:bookmarkStart w:id="72" w:name="_Toc467849297"/>
      <w:bookmarkStart w:id="73" w:name="_Toc468171765"/>
      <w:bookmarkStart w:id="74" w:name="_Toc476556459"/>
      <w:bookmarkStart w:id="75" w:name="_Toc478480747"/>
      <w:r>
        <w:t xml:space="preserve">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0F2B8A">
        <w:t>.</w:t>
      </w:r>
      <w:r w:rsidR="000F2B8A">
        <w:fldChar w:fldCharType="begin"/>
      </w:r>
      <w:r w:rsidR="000F2B8A">
        <w:instrText xml:space="preserve"> SEQ Figure \* ARABIC \s 1 </w:instrText>
      </w:r>
      <w:r w:rsidR="000F2B8A">
        <w:fldChar w:fldCharType="separate"/>
      </w:r>
      <w:r w:rsidR="000F2B8A">
        <w:rPr>
          <w:noProof/>
        </w:rPr>
        <w:t>4</w:t>
      </w:r>
      <w:r w:rsidR="000F2B8A">
        <w:fldChar w:fldCharType="end"/>
      </w:r>
      <w:bookmarkEnd w:id="71"/>
      <w:r>
        <w:tab/>
      </w:r>
      <w:r w:rsidRPr="00694BD0">
        <w:t>Icon Water dam releases per capita, 1999</w:t>
      </w:r>
      <w:r w:rsidR="00203D0F">
        <w:t>–</w:t>
      </w:r>
      <w:r w:rsidRPr="00694BD0">
        <w:t>2016</w:t>
      </w:r>
      <w:bookmarkEnd w:id="72"/>
      <w:bookmarkEnd w:id="73"/>
      <w:bookmarkEnd w:id="74"/>
      <w:bookmarkEnd w:id="75"/>
    </w:p>
    <w:p w14:paraId="5E29F880" w14:textId="27126477" w:rsidR="001164D6" w:rsidRDefault="006B0CE1" w:rsidP="001164D6">
      <w:pPr>
        <w:rPr>
          <w:noProof/>
          <w:color w:val="FF0000"/>
          <w:lang w:val="en-AU" w:eastAsia="en-AU"/>
        </w:rPr>
      </w:pPr>
      <w:r w:rsidRPr="00171A18">
        <w:rPr>
          <w:noProof/>
          <w:color w:val="FF0000"/>
          <w:lang w:val="en-AU" w:eastAsia="en-AU"/>
        </w:rPr>
        <w:drawing>
          <wp:inline distT="0" distB="0" distL="0" distR="0" wp14:anchorId="22FDEAF5" wp14:editId="5976366A">
            <wp:extent cx="4895850" cy="2447925"/>
            <wp:effectExtent l="0" t="0" r="0" b="9525"/>
            <wp:docPr id="18"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2447925"/>
                    </a:xfrm>
                    <a:prstGeom prst="rect">
                      <a:avLst/>
                    </a:prstGeom>
                    <a:noFill/>
                    <a:ln>
                      <a:noFill/>
                    </a:ln>
                  </pic:spPr>
                </pic:pic>
              </a:graphicData>
            </a:graphic>
          </wp:inline>
        </w:drawing>
      </w:r>
    </w:p>
    <w:p w14:paraId="0B2F3DDD" w14:textId="77777777" w:rsidR="001164D6" w:rsidRPr="00636FE1" w:rsidRDefault="001164D6" w:rsidP="001164D6">
      <w:pPr>
        <w:pStyle w:val="TableNotesLast0"/>
        <w:keepNext/>
      </w:pPr>
      <w:r w:rsidRPr="00C92555">
        <w:t>Source:</w:t>
      </w:r>
      <w:r w:rsidR="00C92555">
        <w:t xml:space="preserve"> </w:t>
      </w:r>
      <w:r>
        <w:t>ABS (2014)</w:t>
      </w:r>
      <w:r w:rsidR="00E35C12">
        <w:t>;</w:t>
      </w:r>
      <w:r>
        <w:t xml:space="preserve"> ACT Government (2014c)</w:t>
      </w:r>
      <w:r w:rsidR="00E35C12">
        <w:t>;</w:t>
      </w:r>
      <w:r>
        <w:t xml:space="preserve"> a</w:t>
      </w:r>
      <w:r w:rsidR="00CA3C4D">
        <w:t>nd Icon Water dam release data.</w:t>
      </w:r>
    </w:p>
    <w:p w14:paraId="2E650853" w14:textId="168DA297" w:rsidR="001164D6" w:rsidRDefault="001164D6" w:rsidP="001164D6">
      <w:pPr>
        <w:pStyle w:val="FigureName0"/>
      </w:pPr>
      <w:bookmarkStart w:id="76" w:name="_Ref476754499"/>
      <w:bookmarkStart w:id="77" w:name="_Ref476041738"/>
      <w:bookmarkStart w:id="78" w:name="_Toc476556460"/>
      <w:bookmarkStart w:id="79" w:name="_Toc478480748"/>
      <w:r w:rsidRPr="00855A1E">
        <w:t xml:space="preserve">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0F2B8A">
        <w:t>.</w:t>
      </w:r>
      <w:r w:rsidR="000F2B8A">
        <w:fldChar w:fldCharType="begin"/>
      </w:r>
      <w:r w:rsidR="000F2B8A">
        <w:instrText xml:space="preserve"> SEQ Figure \* ARABIC \s 1 </w:instrText>
      </w:r>
      <w:r w:rsidR="000F2B8A">
        <w:fldChar w:fldCharType="separate"/>
      </w:r>
      <w:r w:rsidR="000F2B8A">
        <w:rPr>
          <w:noProof/>
        </w:rPr>
        <w:t>5</w:t>
      </w:r>
      <w:r w:rsidR="000F2B8A">
        <w:fldChar w:fldCharType="end"/>
      </w:r>
      <w:bookmarkEnd w:id="76"/>
      <w:r w:rsidRPr="00855A1E">
        <w:tab/>
      </w:r>
      <w:r>
        <w:t xml:space="preserve">Icon Water residential </w:t>
      </w:r>
      <w:r w:rsidRPr="006E154A">
        <w:t>billed water consumption</w:t>
      </w:r>
      <w:r w:rsidR="00456D67">
        <w:t>,</w:t>
      </w:r>
      <w:r w:rsidRPr="006E154A">
        <w:t xml:space="preserve"> 1999</w:t>
      </w:r>
      <w:r w:rsidR="00203D0F">
        <w:t>–</w:t>
      </w:r>
      <w:r w:rsidRPr="00855A1E">
        <w:t>2016</w:t>
      </w:r>
      <w:bookmarkEnd w:id="77"/>
      <w:bookmarkEnd w:id="78"/>
      <w:bookmarkEnd w:id="79"/>
    </w:p>
    <w:p w14:paraId="74FD251A" w14:textId="389553C6" w:rsidR="001164D6" w:rsidRDefault="006B0CE1" w:rsidP="001164D6">
      <w:pPr>
        <w:pStyle w:val="Caption"/>
      </w:pPr>
      <w:r w:rsidRPr="00171A18">
        <w:rPr>
          <w:noProof/>
          <w:lang w:val="en-AU" w:eastAsia="en-AU"/>
        </w:rPr>
        <w:drawing>
          <wp:inline distT="0" distB="0" distL="0" distR="0" wp14:anchorId="022B8D74" wp14:editId="5D7A517F">
            <wp:extent cx="4895850" cy="289560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895600"/>
                    </a:xfrm>
                    <a:prstGeom prst="rect">
                      <a:avLst/>
                    </a:prstGeom>
                    <a:noFill/>
                    <a:ln>
                      <a:noFill/>
                    </a:ln>
                  </pic:spPr>
                </pic:pic>
              </a:graphicData>
            </a:graphic>
          </wp:inline>
        </w:drawing>
      </w:r>
    </w:p>
    <w:p w14:paraId="2E854531" w14:textId="77777777" w:rsidR="001164D6" w:rsidRPr="00444ED6" w:rsidRDefault="001164D6" w:rsidP="001164D6">
      <w:pPr>
        <w:pStyle w:val="Caption"/>
      </w:pPr>
      <w:r w:rsidRPr="00444ED6">
        <w:rPr>
          <w:rFonts w:ascii="Arial Narrow" w:hAnsi="Arial Narrow"/>
          <w:b w:val="0"/>
          <w:bCs w:val="0"/>
          <w:color w:val="auto"/>
          <w:sz w:val="16"/>
          <w:szCs w:val="20"/>
        </w:rPr>
        <w:t>Source:</w:t>
      </w:r>
      <w:r w:rsidR="00C92555">
        <w:rPr>
          <w:rFonts w:ascii="Arial Narrow" w:hAnsi="Arial Narrow"/>
          <w:b w:val="0"/>
          <w:bCs w:val="0"/>
          <w:color w:val="auto"/>
          <w:sz w:val="16"/>
          <w:szCs w:val="20"/>
        </w:rPr>
        <w:t xml:space="preserve"> </w:t>
      </w:r>
      <w:r w:rsidRPr="00444ED6">
        <w:rPr>
          <w:rFonts w:ascii="Arial Narrow" w:hAnsi="Arial Narrow"/>
          <w:b w:val="0"/>
          <w:bCs w:val="0"/>
          <w:color w:val="auto"/>
          <w:sz w:val="16"/>
          <w:szCs w:val="20"/>
        </w:rPr>
        <w:t>Icon W</w:t>
      </w:r>
      <w:r w:rsidRPr="00D4315D">
        <w:rPr>
          <w:rFonts w:ascii="Arial Narrow" w:hAnsi="Arial Narrow"/>
          <w:b w:val="0"/>
          <w:bCs w:val="0"/>
          <w:color w:val="auto"/>
          <w:sz w:val="16"/>
          <w:szCs w:val="20"/>
        </w:rPr>
        <w:t xml:space="preserve">ater </w:t>
      </w:r>
      <w:r w:rsidR="008042E7">
        <w:rPr>
          <w:rFonts w:ascii="Arial Narrow" w:hAnsi="Arial Narrow"/>
          <w:b w:val="0"/>
          <w:bCs w:val="0"/>
          <w:color w:val="auto"/>
          <w:sz w:val="16"/>
          <w:szCs w:val="20"/>
        </w:rPr>
        <w:t>b</w:t>
      </w:r>
      <w:r w:rsidRPr="00D4103B">
        <w:rPr>
          <w:rFonts w:ascii="Arial Narrow" w:hAnsi="Arial Narrow"/>
          <w:b w:val="0"/>
          <w:bCs w:val="0"/>
          <w:color w:val="auto"/>
          <w:sz w:val="16"/>
          <w:szCs w:val="20"/>
        </w:rPr>
        <w:t>i</w:t>
      </w:r>
      <w:r w:rsidRPr="00444ED6">
        <w:rPr>
          <w:rFonts w:ascii="Arial Narrow" w:hAnsi="Arial Narrow"/>
          <w:b w:val="0"/>
          <w:bCs w:val="0"/>
          <w:color w:val="auto"/>
          <w:sz w:val="16"/>
          <w:szCs w:val="20"/>
        </w:rPr>
        <w:t xml:space="preserve">lled </w:t>
      </w:r>
      <w:r w:rsidR="008042E7">
        <w:rPr>
          <w:rFonts w:ascii="Arial Narrow" w:hAnsi="Arial Narrow"/>
          <w:b w:val="0"/>
          <w:bCs w:val="0"/>
          <w:color w:val="auto"/>
          <w:sz w:val="16"/>
          <w:szCs w:val="20"/>
        </w:rPr>
        <w:t>w</w:t>
      </w:r>
      <w:r w:rsidRPr="00444ED6">
        <w:rPr>
          <w:rFonts w:ascii="Arial Narrow" w:hAnsi="Arial Narrow"/>
          <w:b w:val="0"/>
          <w:bCs w:val="0"/>
          <w:color w:val="auto"/>
          <w:sz w:val="16"/>
          <w:szCs w:val="20"/>
        </w:rPr>
        <w:t xml:space="preserve">ater </w:t>
      </w:r>
      <w:r w:rsidR="008042E7">
        <w:rPr>
          <w:rFonts w:ascii="Arial Narrow" w:hAnsi="Arial Narrow"/>
          <w:b w:val="0"/>
          <w:bCs w:val="0"/>
          <w:color w:val="auto"/>
          <w:sz w:val="16"/>
          <w:szCs w:val="20"/>
        </w:rPr>
        <w:t>c</w:t>
      </w:r>
      <w:r w:rsidRPr="00444ED6">
        <w:rPr>
          <w:rFonts w:ascii="Arial Narrow" w:hAnsi="Arial Narrow"/>
          <w:b w:val="0"/>
          <w:bCs w:val="0"/>
          <w:color w:val="auto"/>
          <w:sz w:val="16"/>
          <w:szCs w:val="20"/>
        </w:rPr>
        <w:t xml:space="preserve">onsumption </w:t>
      </w:r>
      <w:r w:rsidR="008042E7">
        <w:rPr>
          <w:rFonts w:ascii="Arial Narrow" w:hAnsi="Arial Narrow"/>
          <w:b w:val="0"/>
          <w:bCs w:val="0"/>
          <w:color w:val="auto"/>
          <w:sz w:val="16"/>
          <w:szCs w:val="20"/>
        </w:rPr>
        <w:t>s</w:t>
      </w:r>
      <w:r w:rsidRPr="00444ED6">
        <w:rPr>
          <w:rFonts w:ascii="Arial Narrow" w:hAnsi="Arial Narrow"/>
          <w:b w:val="0"/>
          <w:bCs w:val="0"/>
          <w:color w:val="auto"/>
          <w:sz w:val="16"/>
          <w:szCs w:val="20"/>
        </w:rPr>
        <w:t>eries 1998</w:t>
      </w:r>
      <w:r w:rsidR="008042E7">
        <w:rPr>
          <w:rFonts w:ascii="Arial Narrow" w:hAnsi="Arial Narrow"/>
          <w:b w:val="0"/>
          <w:bCs w:val="0"/>
          <w:color w:val="auto"/>
          <w:sz w:val="16"/>
          <w:szCs w:val="20"/>
        </w:rPr>
        <w:t>–</w:t>
      </w:r>
      <w:r w:rsidRPr="00444ED6">
        <w:rPr>
          <w:rFonts w:ascii="Arial Narrow" w:hAnsi="Arial Narrow"/>
          <w:b w:val="0"/>
          <w:bCs w:val="0"/>
          <w:color w:val="auto"/>
          <w:sz w:val="16"/>
          <w:szCs w:val="20"/>
        </w:rPr>
        <w:t>2016</w:t>
      </w:r>
      <w:r w:rsidR="008042E7">
        <w:rPr>
          <w:rFonts w:ascii="Arial Narrow" w:hAnsi="Arial Narrow"/>
          <w:b w:val="0"/>
          <w:bCs w:val="0"/>
          <w:color w:val="auto"/>
          <w:sz w:val="16"/>
          <w:szCs w:val="20"/>
        </w:rPr>
        <w:t>.</w:t>
      </w:r>
    </w:p>
    <w:p w14:paraId="49BC2E42" w14:textId="6D493EEC" w:rsidR="001164D6" w:rsidRDefault="001164D6" w:rsidP="001164D6">
      <w:bookmarkStart w:id="80" w:name="_Ref459101683"/>
      <w:bookmarkStart w:id="81" w:name="_Toc460572264"/>
      <w:r>
        <w:t xml:space="preserve">If current levels of per capita consumption are maintained and account is taken of population growth, projected dam inflows and available capacity, then, based on </w:t>
      </w:r>
      <w:r>
        <w:lastRenderedPageBreak/>
        <w:t xml:space="preserve">modelling results, further augmentation of water supply infrastructure is not likely to be needed for about 40 years (see </w:t>
      </w:r>
      <w:r w:rsidR="00E62F0C">
        <w:fldChar w:fldCharType="begin"/>
      </w:r>
      <w:r>
        <w:instrText xml:space="preserve"> REF _Ref476754525 \h </w:instrText>
      </w:r>
      <w:r w:rsidR="00E62F0C">
        <w:fldChar w:fldCharType="separate"/>
      </w:r>
      <w:r w:rsidR="00766A7B" w:rsidRPr="00E33D9E">
        <w:t xml:space="preserve">Figure </w:t>
      </w:r>
      <w:r w:rsidR="00766A7B">
        <w:rPr>
          <w:noProof/>
        </w:rPr>
        <w:t>1</w:t>
      </w:r>
      <w:r w:rsidR="00766A7B">
        <w:t>.</w:t>
      </w:r>
      <w:r w:rsidR="00766A7B">
        <w:rPr>
          <w:noProof/>
        </w:rPr>
        <w:t>6</w:t>
      </w:r>
      <w:r w:rsidR="00E62F0C">
        <w:fldChar w:fldCharType="end"/>
      </w:r>
      <w:r>
        <w:t xml:space="preserve">). </w:t>
      </w:r>
      <w:bookmarkStart w:id="82" w:name="_Ref476040105"/>
    </w:p>
    <w:p w14:paraId="5347826D" w14:textId="43288F18" w:rsidR="001164D6" w:rsidRDefault="001164D6" w:rsidP="00CA7AFB">
      <w:pPr>
        <w:pStyle w:val="FigureName"/>
        <w:rPr>
          <w:lang w:val="en-AU"/>
        </w:rPr>
      </w:pPr>
      <w:bookmarkStart w:id="83" w:name="_Ref476754525"/>
      <w:bookmarkStart w:id="84" w:name="_Toc476556461"/>
      <w:bookmarkStart w:id="85" w:name="_Toc478480749"/>
      <w:r w:rsidRPr="00E33D9E">
        <w:t xml:space="preserve">Figure </w:t>
      </w:r>
      <w:r w:rsidR="00802FFD">
        <w:fldChar w:fldCharType="begin"/>
      </w:r>
      <w:r w:rsidR="00802FFD">
        <w:instrText xml:space="preserve"> STYLEREF 1 \s </w:instrText>
      </w:r>
      <w:r w:rsidR="00802FFD">
        <w:fldChar w:fldCharType="separate"/>
      </w:r>
      <w:r w:rsidR="00802FFD">
        <w:rPr>
          <w:noProof/>
        </w:rPr>
        <w:t>1</w:t>
      </w:r>
      <w:r w:rsidR="00802FFD">
        <w:fldChar w:fldCharType="end"/>
      </w:r>
      <w:r w:rsidR="00802FFD">
        <w:t>.</w:t>
      </w:r>
      <w:r w:rsidR="00802FFD">
        <w:fldChar w:fldCharType="begin"/>
      </w:r>
      <w:r w:rsidR="00802FFD">
        <w:instrText xml:space="preserve"> SEQ Figure \* ARABIC \s 1 </w:instrText>
      </w:r>
      <w:r w:rsidR="00802FFD">
        <w:fldChar w:fldCharType="separate"/>
      </w:r>
      <w:r w:rsidR="00802FFD">
        <w:rPr>
          <w:noProof/>
        </w:rPr>
        <w:t>6</w:t>
      </w:r>
      <w:r w:rsidR="00802FFD">
        <w:fldChar w:fldCharType="end"/>
      </w:r>
      <w:bookmarkEnd w:id="80"/>
      <w:bookmarkEnd w:id="83"/>
      <w:r>
        <w:tab/>
      </w:r>
      <w:r w:rsidRPr="006B4564">
        <w:t>Demand and the probability of water r</w:t>
      </w:r>
      <w:r w:rsidRPr="00F43DE3">
        <w:t>e</w:t>
      </w:r>
      <w:r>
        <w:t>strictions</w:t>
      </w:r>
      <w:bookmarkEnd w:id="81"/>
      <w:bookmarkEnd w:id="82"/>
      <w:bookmarkEnd w:id="84"/>
      <w:bookmarkEnd w:id="85"/>
    </w:p>
    <w:p w14:paraId="79637160" w14:textId="188B3209" w:rsidR="001164D6" w:rsidRPr="00C63BD3" w:rsidRDefault="006B0CE1" w:rsidP="001164D6">
      <w:pPr>
        <w:rPr>
          <w:b/>
          <w:lang w:val="en-AU"/>
        </w:rPr>
      </w:pPr>
      <w:r w:rsidRPr="00171A18">
        <w:rPr>
          <w:noProof/>
          <w:lang w:val="en-AU" w:eastAsia="en-AU"/>
        </w:rPr>
        <w:drawing>
          <wp:inline distT="0" distB="0" distL="0" distR="0" wp14:anchorId="5BDE4373" wp14:editId="1D81D313">
            <wp:extent cx="4905375" cy="3019425"/>
            <wp:effectExtent l="0" t="0" r="9525" b="9525"/>
            <wp:docPr id="1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3019425"/>
                    </a:xfrm>
                    <a:prstGeom prst="rect">
                      <a:avLst/>
                    </a:prstGeom>
                    <a:noFill/>
                    <a:ln>
                      <a:noFill/>
                    </a:ln>
                  </pic:spPr>
                </pic:pic>
              </a:graphicData>
            </a:graphic>
          </wp:inline>
        </w:drawing>
      </w:r>
    </w:p>
    <w:p w14:paraId="770171A6" w14:textId="77777777" w:rsidR="001164D6" w:rsidRPr="00636FE1" w:rsidRDefault="001164D6" w:rsidP="001164D6">
      <w:pPr>
        <w:pStyle w:val="TableNotesLast0"/>
      </w:pPr>
      <w:r>
        <w:t>Source:</w:t>
      </w:r>
      <w:r w:rsidR="00EA16DB">
        <w:t xml:space="preserve"> </w:t>
      </w:r>
      <w:r w:rsidR="00E62F0C">
        <w:fldChar w:fldCharType="begin"/>
      </w:r>
      <w: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rsidR="00E62F0C">
        <w:fldChar w:fldCharType="separate"/>
      </w:r>
      <w:hyperlink w:anchor="_ENREF_25" w:tooltip="ICRC, 2016 #727" w:history="1">
        <w:r>
          <w:rPr>
            <w:noProof/>
          </w:rPr>
          <w:t>ICRC (2016b</w:t>
        </w:r>
      </w:hyperlink>
      <w:r>
        <w:rPr>
          <w:noProof/>
        </w:rPr>
        <w:t>)</w:t>
      </w:r>
      <w:r w:rsidR="00E62F0C">
        <w:fldChar w:fldCharType="end"/>
      </w:r>
      <w:r>
        <w:t>: 57.</w:t>
      </w:r>
    </w:p>
    <w:p w14:paraId="0D71DE3A" w14:textId="77777777" w:rsidR="001164D6" w:rsidRDefault="001164D6" w:rsidP="001164D6">
      <w:pPr>
        <w:pStyle w:val="Heading2a"/>
      </w:pPr>
      <w:bookmarkStart w:id="86" w:name="_Toc476753965"/>
      <w:bookmarkStart w:id="87" w:name="_Toc478465442"/>
      <w:r>
        <w:t>1.4</w:t>
      </w:r>
      <w:r>
        <w:tab/>
        <w:t>The tariff review leading up to the final report</w:t>
      </w:r>
      <w:bookmarkEnd w:id="86"/>
      <w:bookmarkEnd w:id="87"/>
    </w:p>
    <w:p w14:paraId="6467005B" w14:textId="77777777" w:rsidR="001164D6" w:rsidRDefault="001164D6" w:rsidP="001164D6">
      <w:r>
        <w:t xml:space="preserve">The </w:t>
      </w:r>
      <w:r w:rsidR="00EA16DB">
        <w:t xml:space="preserve">Commission’s </w:t>
      </w:r>
      <w:r>
        <w:t>review of Icon Water</w:t>
      </w:r>
      <w:r w:rsidR="00DC674F">
        <w:t>’</w:t>
      </w:r>
      <w:r>
        <w:t xml:space="preserve">s water and sewerage services tariff structures commenced with the publication of an </w:t>
      </w:r>
      <w:r w:rsidR="00456D67">
        <w:t>i</w:t>
      </w:r>
      <w:r>
        <w:t xml:space="preserve">ssues </w:t>
      </w:r>
      <w:r w:rsidR="00456D67">
        <w:t>p</w:t>
      </w:r>
      <w:r>
        <w:t xml:space="preserve">aper in </w:t>
      </w:r>
      <w:r w:rsidRPr="00E80090">
        <w:t>November 2015</w:t>
      </w:r>
      <w:r w:rsidRPr="00D4315D">
        <w:t>.</w:t>
      </w:r>
      <w:r>
        <w:rPr>
          <w:rStyle w:val="FootnoteReference"/>
        </w:rPr>
        <w:footnoteReference w:id="14"/>
      </w:r>
      <w:r w:rsidR="00DC674F">
        <w:t xml:space="preserve"> </w:t>
      </w:r>
      <w:r>
        <w:t xml:space="preserve">A </w:t>
      </w:r>
      <w:r w:rsidR="00456D67">
        <w:t>t</w:t>
      </w:r>
      <w:r>
        <w:t xml:space="preserve">echnical </w:t>
      </w:r>
      <w:r w:rsidR="00456D67">
        <w:t>p</w:t>
      </w:r>
      <w:r>
        <w:t xml:space="preserve">aper on the elasticity of demand for water in the ACT </w:t>
      </w:r>
      <w:proofErr w:type="gramStart"/>
      <w:r>
        <w:t>was released</w:t>
      </w:r>
      <w:proofErr w:type="gramEnd"/>
      <w:r>
        <w:t xml:space="preserve"> in February 2016.</w:t>
      </w:r>
      <w:r>
        <w:rPr>
          <w:rStyle w:val="FootnoteReference"/>
        </w:rPr>
        <w:footnoteReference w:id="15"/>
      </w:r>
      <w:r w:rsidR="00DC674F">
        <w:t xml:space="preserve"> </w:t>
      </w:r>
      <w:r>
        <w:t xml:space="preserve">A </w:t>
      </w:r>
      <w:r w:rsidR="00456D67">
        <w:t>t</w:t>
      </w:r>
      <w:r>
        <w:t xml:space="preserve">echnical </w:t>
      </w:r>
      <w:r w:rsidR="00456D67">
        <w:t>p</w:t>
      </w:r>
      <w:r>
        <w:t xml:space="preserve">aper on marginal cost pricing in the ACT </w:t>
      </w:r>
      <w:proofErr w:type="gramStart"/>
      <w:r>
        <w:t>was released</w:t>
      </w:r>
      <w:proofErr w:type="gramEnd"/>
      <w:r>
        <w:t xml:space="preserve"> in June 2016.</w:t>
      </w:r>
      <w:r>
        <w:rPr>
          <w:rStyle w:val="FootnoteReference"/>
        </w:rPr>
        <w:footnoteReference w:id="16"/>
      </w:r>
      <w:r w:rsidR="00DC674F">
        <w:t xml:space="preserve"> </w:t>
      </w:r>
      <w:r>
        <w:t xml:space="preserve">A </w:t>
      </w:r>
      <w:r w:rsidR="00456D67">
        <w:t>d</w:t>
      </w:r>
      <w:r>
        <w:t xml:space="preserve">raft </w:t>
      </w:r>
      <w:r w:rsidR="00456D67">
        <w:t>r</w:t>
      </w:r>
      <w:r>
        <w:t xml:space="preserve">eport </w:t>
      </w:r>
      <w:proofErr w:type="gramStart"/>
      <w:r>
        <w:t>was released</w:t>
      </w:r>
      <w:proofErr w:type="gramEnd"/>
      <w:r>
        <w:t xml:space="preserve"> in September 2016.</w:t>
      </w:r>
      <w:r>
        <w:rPr>
          <w:rStyle w:val="FootnoteReference"/>
        </w:rPr>
        <w:footnoteReference w:id="17"/>
      </w:r>
      <w:r>
        <w:t xml:space="preserve"> </w:t>
      </w:r>
    </w:p>
    <w:p w14:paraId="5E85801E" w14:textId="77777777" w:rsidR="001164D6" w:rsidRDefault="001164D6" w:rsidP="001164D6">
      <w:pPr>
        <w:pStyle w:val="Heading3"/>
        <w:numPr>
          <w:ilvl w:val="0"/>
          <w:numId w:val="0"/>
        </w:numPr>
      </w:pPr>
      <w:r>
        <w:t>1.4.1</w:t>
      </w:r>
      <w:r>
        <w:tab/>
        <w:t xml:space="preserve">Issues </w:t>
      </w:r>
      <w:r w:rsidR="00CB681E">
        <w:t>p</w:t>
      </w:r>
      <w:r>
        <w:t>aper</w:t>
      </w:r>
    </w:p>
    <w:p w14:paraId="4290EFAA" w14:textId="77777777" w:rsidR="001164D6" w:rsidRDefault="001164D6" w:rsidP="001164D6">
      <w:r>
        <w:t xml:space="preserve">The </w:t>
      </w:r>
      <w:r w:rsidR="00CB681E">
        <w:t>i</w:t>
      </w:r>
      <w:r>
        <w:t xml:space="preserve">ssues </w:t>
      </w:r>
      <w:r w:rsidR="00CB681E">
        <w:t>p</w:t>
      </w:r>
      <w:r>
        <w:t>aper provided extensive background information and proposed a frame of reference to guide the Commission</w:t>
      </w:r>
      <w:r w:rsidR="00DC674F">
        <w:t>’</w:t>
      </w:r>
      <w:r>
        <w:t>s evaluation of Icon Water</w:t>
      </w:r>
      <w:r w:rsidR="00DC674F">
        <w:t>’</w:t>
      </w:r>
      <w:r>
        <w:t>s existing water and sewerage tariff structures and potential alternatives.</w:t>
      </w:r>
      <w:r w:rsidR="00DC674F">
        <w:t xml:space="preserve"> </w:t>
      </w:r>
      <w:r>
        <w:t xml:space="preserve">The framework comprised an </w:t>
      </w:r>
      <w:r>
        <w:lastRenderedPageBreak/>
        <w:t>overarching econom</w:t>
      </w:r>
      <w:r w:rsidRPr="00E80090">
        <w:t>ic regulat</w:t>
      </w:r>
      <w:r w:rsidR="00654627">
        <w:t>ory</w:t>
      </w:r>
      <w:r w:rsidRPr="00E80090">
        <w:t xml:space="preserve"> o</w:t>
      </w:r>
      <w:r>
        <w:t xml:space="preserve">bjective and </w:t>
      </w:r>
      <w:r w:rsidR="00CB681E">
        <w:t xml:space="preserve">a </w:t>
      </w:r>
      <w:r>
        <w:t>set of pricing principles.</w:t>
      </w:r>
      <w:r w:rsidR="00DC674F">
        <w:t xml:space="preserve"> </w:t>
      </w:r>
      <w:r>
        <w:t>In response to issues raised in submissions and further consideration by the Commission, the pricing principles ha</w:t>
      </w:r>
      <w:r w:rsidR="003A397B">
        <w:t>ve</w:t>
      </w:r>
      <w:r>
        <w:t xml:space="preserve"> been developed further to make it clearer how economic, social and environmental objectives will be considered by the Commission.</w:t>
      </w:r>
      <w:r w:rsidR="00DC674F">
        <w:t xml:space="preserve"> </w:t>
      </w:r>
    </w:p>
    <w:p w14:paraId="4D4734C2" w14:textId="77777777" w:rsidR="001164D6" w:rsidRDefault="001164D6" w:rsidP="001164D6">
      <w:pPr>
        <w:pStyle w:val="Heading3"/>
        <w:numPr>
          <w:ilvl w:val="0"/>
          <w:numId w:val="0"/>
        </w:numPr>
      </w:pPr>
      <w:r>
        <w:t>1.4.2</w:t>
      </w:r>
      <w:r>
        <w:tab/>
        <w:t xml:space="preserve">Technical </w:t>
      </w:r>
      <w:r w:rsidR="00CB681E">
        <w:t>p</w:t>
      </w:r>
      <w:r>
        <w:t>aper 1: Elasticity of water demand</w:t>
      </w:r>
    </w:p>
    <w:p w14:paraId="3FBFD4D0" w14:textId="77777777" w:rsidR="001164D6" w:rsidRDefault="001164D6" w:rsidP="001164D6">
      <w:r>
        <w:t xml:space="preserve">The first </w:t>
      </w:r>
      <w:r w:rsidR="00CB681E">
        <w:t>t</w:t>
      </w:r>
      <w:r>
        <w:t xml:space="preserve">echnical </w:t>
      </w:r>
      <w:r w:rsidR="00CB681E">
        <w:t>p</w:t>
      </w:r>
      <w:r>
        <w:t>ap</w:t>
      </w:r>
      <w:r w:rsidRPr="00EA16DB">
        <w:t xml:space="preserve">er </w:t>
      </w:r>
      <w:r w:rsidR="00EA16DB">
        <w:t>gave</w:t>
      </w:r>
      <w:r w:rsidR="00EA16DB" w:rsidRPr="00EA16DB">
        <w:t xml:space="preserve"> </w:t>
      </w:r>
      <w:r w:rsidRPr="00EA16DB">
        <w:t>an estimate</w:t>
      </w:r>
      <w:r>
        <w:t xml:space="preserve"> of the price elasticity of demand for water in the ACT.</w:t>
      </w:r>
      <w:r w:rsidR="00DC674F">
        <w:t xml:space="preserve"> </w:t>
      </w:r>
      <w:r>
        <w:t xml:space="preserve">This provided </w:t>
      </w:r>
      <w:r w:rsidR="00D4315D">
        <w:t xml:space="preserve">the </w:t>
      </w:r>
      <w:r>
        <w:t xml:space="preserve">information necessary to evaluate the merits of using price to manage demand rather than relying </w:t>
      </w:r>
      <w:r w:rsidR="00D4315D">
        <w:t xml:space="preserve">solely </w:t>
      </w:r>
      <w:r>
        <w:t>on quantity restrictions.</w:t>
      </w:r>
      <w:r w:rsidR="00DC674F">
        <w:t xml:space="preserve"> </w:t>
      </w:r>
    </w:p>
    <w:p w14:paraId="3D53FD57" w14:textId="77777777" w:rsidR="001164D6" w:rsidRDefault="001164D6" w:rsidP="001164D6">
      <w:r>
        <w:t xml:space="preserve">The price elasticity of demand is a measure of </w:t>
      </w:r>
      <w:r w:rsidR="00D4315D">
        <w:t xml:space="preserve">the </w:t>
      </w:r>
      <w:r>
        <w:t>responsiveness of demand to price.</w:t>
      </w:r>
      <w:r w:rsidR="00DC674F">
        <w:t xml:space="preserve"> </w:t>
      </w:r>
      <w:r>
        <w:t xml:space="preserve">It is simply the percentage change </w:t>
      </w:r>
      <w:proofErr w:type="gramStart"/>
      <w:r>
        <w:t xml:space="preserve">in demand in response to a </w:t>
      </w:r>
      <w:r w:rsidR="00654627">
        <w:t xml:space="preserve">one </w:t>
      </w:r>
      <w:r>
        <w:t>per cent change in price</w:t>
      </w:r>
      <w:proofErr w:type="gramEnd"/>
      <w:r>
        <w:t xml:space="preserve">. </w:t>
      </w:r>
    </w:p>
    <w:p w14:paraId="5A2ABAE9" w14:textId="77777777" w:rsidR="001164D6" w:rsidRDefault="001164D6" w:rsidP="001164D6">
      <w:r>
        <w:t>The Commission found that the price elasticity of demand for residential water in the ACT, while not zero, is relatively small</w:t>
      </w:r>
      <w:r w:rsidR="00CB681E">
        <w:t>,</w:t>
      </w:r>
      <w:r>
        <w:t xml:space="preserve"> with a point estimate of </w:t>
      </w:r>
      <w:r w:rsidR="00CB681E">
        <w:t>–</w:t>
      </w:r>
      <w:r>
        <w:t>0.14 across the 1999 to 2015 period.</w:t>
      </w:r>
    </w:p>
    <w:p w14:paraId="34516159" w14:textId="77777777" w:rsidR="001164D6" w:rsidRDefault="001164D6" w:rsidP="001164D6">
      <w:r>
        <w:t>Under the current ACT temporary water restrictions sc</w:t>
      </w:r>
      <w:r w:rsidRPr="00FB0704">
        <w:t>heme, Stage 3 res</w:t>
      </w:r>
      <w:r>
        <w:t xml:space="preserve">trictions target a 35 per cent reduction in water use relative to permanent water conservation measures. </w:t>
      </w:r>
      <w:r w:rsidR="00CB681E">
        <w:t>Achieving</w:t>
      </w:r>
      <w:r>
        <w:t xml:space="preserve"> this </w:t>
      </w:r>
      <w:r w:rsidR="00FB0704">
        <w:t xml:space="preserve">level of </w:t>
      </w:r>
      <w:r>
        <w:t>reduction in demand without using restrictions would require a 250 per cent increase in the average usage price.</w:t>
      </w:r>
      <w:r w:rsidR="00DC674F">
        <w:t xml:space="preserve"> </w:t>
      </w:r>
      <w:r>
        <w:t xml:space="preserve">Applying the more elastic summer estimate of </w:t>
      </w:r>
      <w:r w:rsidR="00CB681E">
        <w:t>–</w:t>
      </w:r>
      <w:r>
        <w:t>0.19 implies a price increase in excess of 180 per cent to meet the reduction objective.</w:t>
      </w:r>
      <w:r w:rsidR="00DC674F">
        <w:t xml:space="preserve"> </w:t>
      </w:r>
      <w:r>
        <w:t>Furthermore, prices of this magnitude are well outside the data used for this analysis, and therefore the demand response would be uncertain.</w:t>
      </w:r>
    </w:p>
    <w:p w14:paraId="311071F8" w14:textId="77777777" w:rsidR="001164D6" w:rsidRDefault="001164D6" w:rsidP="001164D6">
      <w:r>
        <w:t>The Commission</w:t>
      </w:r>
      <w:r w:rsidR="00DC674F">
        <w:t>’</w:t>
      </w:r>
      <w:r>
        <w:t xml:space="preserve">s primary conclusion was that this finding </w:t>
      </w:r>
      <w:r w:rsidR="00CB681E">
        <w:t xml:space="preserve">militates </w:t>
      </w:r>
      <w:r>
        <w:t>against th</w:t>
      </w:r>
      <w:r w:rsidRPr="00272926">
        <w:t xml:space="preserve">e </w:t>
      </w:r>
      <w:r>
        <w:t xml:space="preserve">use of price as </w:t>
      </w:r>
      <w:r w:rsidR="00272926">
        <w:t xml:space="preserve">the sole </w:t>
      </w:r>
      <w:r>
        <w:t>tool to manage water demand in the ACT.</w:t>
      </w:r>
      <w:r w:rsidR="00DC674F">
        <w:t xml:space="preserve"> </w:t>
      </w:r>
      <w:r>
        <w:t xml:space="preserve">The finding that the residential price response </w:t>
      </w:r>
      <w:r w:rsidR="00654627">
        <w:t xml:space="preserve">was </w:t>
      </w:r>
      <w:r>
        <w:t>less elastic in the sub-period after the 2006 structural break than over the entire 1999 to 2015 period further supports this conclusion.</w:t>
      </w:r>
    </w:p>
    <w:p w14:paraId="5EF0FA61" w14:textId="77777777" w:rsidR="001164D6" w:rsidRDefault="001164D6" w:rsidP="001164D6">
      <w:proofErr w:type="gramStart"/>
      <w:r>
        <w:t>It is also the case that, with such a low price elasticity of demand, reductions in price</w:t>
      </w:r>
      <w:proofErr w:type="gramEnd"/>
      <w:r>
        <w:t xml:space="preserve"> would have relatively small impacts in terms of increasing water usage. </w:t>
      </w:r>
    </w:p>
    <w:p w14:paraId="5DC2396C" w14:textId="77777777" w:rsidR="001164D6" w:rsidRDefault="001164D6" w:rsidP="001164D6">
      <w:pPr>
        <w:pStyle w:val="Heading3"/>
        <w:numPr>
          <w:ilvl w:val="0"/>
          <w:numId w:val="0"/>
        </w:numPr>
      </w:pPr>
      <w:r>
        <w:t>1.4.3</w:t>
      </w:r>
      <w:r>
        <w:tab/>
        <w:t xml:space="preserve">Technical </w:t>
      </w:r>
      <w:r w:rsidR="00CB681E">
        <w:t>p</w:t>
      </w:r>
      <w:r>
        <w:t>aper 2: Marginal cost pricing</w:t>
      </w:r>
    </w:p>
    <w:p w14:paraId="7F21CA6F" w14:textId="77777777" w:rsidR="001164D6" w:rsidRDefault="001164D6" w:rsidP="001164D6">
      <w:r>
        <w:t xml:space="preserve">The second </w:t>
      </w:r>
      <w:r w:rsidR="00CB681E">
        <w:t>t</w:t>
      </w:r>
      <w:r>
        <w:t xml:space="preserve">echnical </w:t>
      </w:r>
      <w:r w:rsidR="00CB681E">
        <w:t>p</w:t>
      </w:r>
      <w:r>
        <w:t>aper assessed the theory and practice of marginal cost pricing in a natural monopoly industry, and provided current estimates of the marginal cost of providing regulated wat</w:t>
      </w:r>
      <w:r w:rsidRPr="00D4315D">
        <w:t>er and sewerage serv</w:t>
      </w:r>
      <w:r>
        <w:t>ices in the ACT.</w:t>
      </w:r>
      <w:r w:rsidR="00DC674F">
        <w:t xml:space="preserve"> </w:t>
      </w:r>
    </w:p>
    <w:p w14:paraId="4E5FFB3C" w14:textId="77777777" w:rsidR="001164D6" w:rsidRDefault="001164D6" w:rsidP="001164D6">
      <w:r>
        <w:t xml:space="preserve">The concept of marginal cost is important in determining an appropriate usage price because ideally it should measure the additional cost to society as a whole </w:t>
      </w:r>
      <w:r w:rsidR="00FB0704">
        <w:t xml:space="preserve">of </w:t>
      </w:r>
      <w:r>
        <w:t>using additio</w:t>
      </w:r>
      <w:r w:rsidRPr="00D4315D">
        <w:t>nal water infras</w:t>
      </w:r>
      <w:r>
        <w:t xml:space="preserve">tructure services and the water resource itself. </w:t>
      </w:r>
    </w:p>
    <w:p w14:paraId="533610D3" w14:textId="77777777" w:rsidR="001164D6" w:rsidRDefault="001164D6" w:rsidP="00FB0704">
      <w:pPr>
        <w:keepNext/>
      </w:pPr>
      <w:r>
        <w:lastRenderedPageBreak/>
        <w:t>More specifically, the paper sought to answer two questions:</w:t>
      </w:r>
    </w:p>
    <w:p w14:paraId="5C305B4C" w14:textId="77777777" w:rsidR="001164D6" w:rsidRPr="00801EEC" w:rsidRDefault="001164D6" w:rsidP="001164D6">
      <w:pPr>
        <w:pStyle w:val="ListNumber"/>
      </w:pPr>
      <w:r w:rsidRPr="00801EEC">
        <w:t>Is Icon Water</w:t>
      </w:r>
      <w:r w:rsidR="00DC674F">
        <w:t>’</w:t>
      </w:r>
      <w:r w:rsidRPr="00801EEC">
        <w:t>s current tariff structure providing suitable price signals to its customers about the efficient costs of water and sewerage services?</w:t>
      </w:r>
    </w:p>
    <w:p w14:paraId="462B5AFC" w14:textId="77777777" w:rsidR="001164D6" w:rsidRDefault="001164D6" w:rsidP="001164D6">
      <w:pPr>
        <w:pStyle w:val="ListNumber"/>
      </w:pPr>
      <w:r w:rsidRPr="00801EEC">
        <w:t>If not,</w:t>
      </w:r>
      <w:r>
        <w:t xml:space="preserve"> what would a more efficient tariff structure look like?</w:t>
      </w:r>
    </w:p>
    <w:p w14:paraId="084E505D" w14:textId="77777777" w:rsidR="001164D6" w:rsidRDefault="00EA077D" w:rsidP="001164D6">
      <w:r>
        <w:t>A</w:t>
      </w:r>
      <w:r w:rsidR="001164D6">
        <w:t>ll the marginal cost estimates for water supply calculated for the purposes of th</w:t>
      </w:r>
      <w:r w:rsidR="00D4315D">
        <w:t>e</w:t>
      </w:r>
      <w:r w:rsidR="001164D6">
        <w:t xml:space="preserve"> paper, </w:t>
      </w:r>
      <w:r w:rsidR="00D4315D">
        <w:t xml:space="preserve">both </w:t>
      </w:r>
      <w:r w:rsidR="001164D6">
        <w:t xml:space="preserve">short- and long-run, </w:t>
      </w:r>
      <w:r>
        <w:t xml:space="preserve">were </w:t>
      </w:r>
      <w:r w:rsidR="001164D6">
        <w:t xml:space="preserve">well below even the </w:t>
      </w:r>
      <w:r>
        <w:t xml:space="preserve">current </w:t>
      </w:r>
      <w:r w:rsidR="001164D6">
        <w:t>first</w:t>
      </w:r>
      <w:r w:rsidR="00272926">
        <w:t>-</w:t>
      </w:r>
      <w:r w:rsidR="001164D6">
        <w:t>tier water charge of $2.61 per kL. The paper concluded that Icon Water</w:t>
      </w:r>
      <w:r w:rsidR="00DC674F">
        <w:t>’</w:t>
      </w:r>
      <w:r w:rsidR="001164D6">
        <w:t xml:space="preserve">s current water tariff structure does </w:t>
      </w:r>
      <w:r w:rsidR="001164D6" w:rsidRPr="00FA7722">
        <w:t>not appear to be providing suitable price signals to customers about the efficient use of the service infrastructure and water resource.</w:t>
      </w:r>
    </w:p>
    <w:p w14:paraId="3F6DB8F5" w14:textId="77777777" w:rsidR="001164D6" w:rsidRDefault="001164D6" w:rsidP="001164D6">
      <w:r>
        <w:t>As to the second question about what a more efficient water tariff structure would look like, the paper concluded that the pursuit of economic efficiency would support a move towards one usage price, set with reference to an appropriate measure of marginal cost. The paper noted that moving from the curr</w:t>
      </w:r>
      <w:r w:rsidRPr="00D4315D">
        <w:t>ent inclining block structure</w:t>
      </w:r>
      <w:r>
        <w:t xml:space="preserve"> and price levels towards a new, more efficient, single usage charge structure would require a rebalancing of the fixed charge and the usage charge, with a significant adjustment in the level of the fixed charge.</w:t>
      </w:r>
    </w:p>
    <w:p w14:paraId="6F5D592E" w14:textId="77777777" w:rsidR="001164D6" w:rsidRDefault="001164D6" w:rsidP="001164D6">
      <w:r>
        <w:t>With regard to sewerage services, the paper noted that the fact that the current tariff is based entirely on fixed supply charges implies that it is incapable of providing suitable price signals to customers about the efficient costs of sewerage services in the ACT.</w:t>
      </w:r>
    </w:p>
    <w:p w14:paraId="6B33332B" w14:textId="77777777" w:rsidR="001164D6" w:rsidRDefault="001164D6" w:rsidP="001164D6">
      <w:pPr>
        <w:pStyle w:val="Heading3"/>
        <w:numPr>
          <w:ilvl w:val="0"/>
          <w:numId w:val="0"/>
        </w:numPr>
      </w:pPr>
      <w:r>
        <w:t>1.4.4</w:t>
      </w:r>
      <w:r>
        <w:tab/>
        <w:t xml:space="preserve">Draft </w:t>
      </w:r>
      <w:r w:rsidR="00272926">
        <w:t>r</w:t>
      </w:r>
      <w:r>
        <w:t>eport: Tariff Review 2016</w:t>
      </w:r>
    </w:p>
    <w:p w14:paraId="263EE365" w14:textId="77777777" w:rsidR="001164D6" w:rsidRDefault="001164D6" w:rsidP="001164D6">
      <w:r>
        <w:t xml:space="preserve">The </w:t>
      </w:r>
      <w:r w:rsidR="00272926">
        <w:t>d</w:t>
      </w:r>
      <w:r>
        <w:t xml:space="preserve">raft </w:t>
      </w:r>
      <w:r w:rsidR="00272926">
        <w:t>r</w:t>
      </w:r>
      <w:r>
        <w:t>eport considered the current tariff structure in light of the change in water security that has developed in recent years and the most likely long</w:t>
      </w:r>
      <w:r w:rsidR="00272926">
        <w:t>-</w:t>
      </w:r>
      <w:r>
        <w:t>term demand</w:t>
      </w:r>
      <w:r w:rsidR="00272926">
        <w:t>–</w:t>
      </w:r>
      <w:r>
        <w:t xml:space="preserve">supply </w:t>
      </w:r>
      <w:r w:rsidRPr="00D4315D">
        <w:t>f</w:t>
      </w:r>
      <w:r>
        <w:t>orecasts.</w:t>
      </w:r>
      <w:r w:rsidR="00DC674F">
        <w:t xml:space="preserve"> </w:t>
      </w:r>
      <w:r>
        <w:t xml:space="preserve">The tariff structure </w:t>
      </w:r>
      <w:proofErr w:type="gramStart"/>
      <w:r>
        <w:t>was assessed</w:t>
      </w:r>
      <w:proofErr w:type="gramEnd"/>
      <w:r>
        <w:t xml:space="preserve"> based on a number of pricing principles related to the Commission</w:t>
      </w:r>
      <w:r w:rsidR="00DC674F">
        <w:t>’</w:t>
      </w:r>
      <w:r>
        <w:t xml:space="preserve">s regulatory objectives. </w:t>
      </w:r>
    </w:p>
    <w:p w14:paraId="55A66D63" w14:textId="77777777" w:rsidR="001164D6" w:rsidRDefault="001164D6" w:rsidP="001164D6">
      <w:r>
        <w:t xml:space="preserve">The key conclusion was that the </w:t>
      </w:r>
      <w:r w:rsidRPr="00D4315D">
        <w:t>inclining block tariff served</w:t>
      </w:r>
      <w:r>
        <w:t xml:space="preserve"> the ACT well throughout the drought years but is a relatively blunt tool to encourage water conservation.</w:t>
      </w:r>
      <w:r w:rsidR="00DC674F">
        <w:t xml:space="preserve"> </w:t>
      </w:r>
      <w:r>
        <w:t xml:space="preserve">The tariff structure </w:t>
      </w:r>
      <w:proofErr w:type="gramStart"/>
      <w:r>
        <w:t>could be improved</w:t>
      </w:r>
      <w:proofErr w:type="gramEnd"/>
      <w:r>
        <w:t xml:space="preserve"> to provide better or more efficient outcomes for the community i</w:t>
      </w:r>
      <w:r w:rsidRPr="00D4103B">
        <w:t>n the current and prospective more secure w</w:t>
      </w:r>
      <w:r>
        <w:t>ater circumstances.</w:t>
      </w:r>
      <w:r w:rsidR="00DC674F">
        <w:t xml:space="preserve"> </w:t>
      </w:r>
      <w:r>
        <w:t xml:space="preserve">A move towards rebalancing the fixed and usage charges </w:t>
      </w:r>
      <w:proofErr w:type="gramStart"/>
      <w:r>
        <w:t>was suggested</w:t>
      </w:r>
      <w:proofErr w:type="gramEnd"/>
      <w:r>
        <w:t xml:space="preserve"> with a transition period of 10 years.</w:t>
      </w:r>
      <w:r>
        <w:rPr>
          <w:rStyle w:val="FootnoteReference"/>
        </w:rPr>
        <w:footnoteReference w:id="18"/>
      </w:r>
    </w:p>
    <w:p w14:paraId="6CBF44AE" w14:textId="77777777" w:rsidR="001164D6" w:rsidRDefault="001164D6" w:rsidP="001164D6">
      <w:r>
        <w:t>The Commission also noted that it would welcome Icon Water</w:t>
      </w:r>
      <w:r w:rsidR="00DC674F">
        <w:t>’</w:t>
      </w:r>
      <w:r>
        <w:t>s commitment to introducing a cost-based pricing regime</w:t>
      </w:r>
      <w:r w:rsidR="00272926">
        <w:t xml:space="preserve"> for trade waste</w:t>
      </w:r>
      <w:r>
        <w:t xml:space="preserve"> in the next regulatory period.</w:t>
      </w:r>
      <w:r>
        <w:rPr>
          <w:rStyle w:val="FootnoteReference"/>
        </w:rPr>
        <w:footnoteReference w:id="19"/>
      </w:r>
    </w:p>
    <w:p w14:paraId="00BABFA0" w14:textId="77777777" w:rsidR="001164D6" w:rsidRDefault="001164D6" w:rsidP="001164D6">
      <w:r>
        <w:t>The Commission also indicated that it would remain open to the possibility of Icon Water proposing tariffs that might better meet the needs of its customers.</w:t>
      </w:r>
      <w:r w:rsidR="00DC674F">
        <w:t xml:space="preserve"> </w:t>
      </w:r>
      <w:r>
        <w:t xml:space="preserve">However, </w:t>
      </w:r>
      <w:r>
        <w:lastRenderedPageBreak/>
        <w:t xml:space="preserve">such tariff proposals would need to be consistent with relevant pricing principles and </w:t>
      </w:r>
      <w:r w:rsidR="00272926">
        <w:t xml:space="preserve">would be </w:t>
      </w:r>
      <w:r>
        <w:t>subject to final approval by the Commission.</w:t>
      </w:r>
    </w:p>
    <w:p w14:paraId="17560CB5" w14:textId="77777777" w:rsidR="001164D6" w:rsidRDefault="001164D6" w:rsidP="001164D6">
      <w:r>
        <w:t>The Commission</w:t>
      </w:r>
      <w:r w:rsidR="00DC674F">
        <w:t>’</w:t>
      </w:r>
      <w:r>
        <w:t xml:space="preserve">s draft position in relation to the sewerage services tariff was that it </w:t>
      </w:r>
      <w:proofErr w:type="gramStart"/>
      <w:r>
        <w:t>should be retained</w:t>
      </w:r>
      <w:proofErr w:type="gramEnd"/>
      <w:r>
        <w:t xml:space="preserve"> in its current form given th</w:t>
      </w:r>
      <w:r w:rsidRPr="00D4103B">
        <w:t xml:space="preserve">e absence of </w:t>
      </w:r>
      <w:r w:rsidR="00D4103B">
        <w:t xml:space="preserve">a </w:t>
      </w:r>
      <w:r w:rsidRPr="00D4103B">
        <w:t xml:space="preserve">reliable </w:t>
      </w:r>
      <w:r w:rsidR="00D4103B">
        <w:t xml:space="preserve">measure of actual </w:t>
      </w:r>
      <w:r w:rsidRPr="00D4103B">
        <w:t>discharge volumes.</w:t>
      </w:r>
      <w:r w:rsidR="00DC674F">
        <w:t xml:space="preserve"> </w:t>
      </w:r>
    </w:p>
    <w:p w14:paraId="5B323C58" w14:textId="77777777" w:rsidR="001164D6" w:rsidRDefault="001164D6" w:rsidP="001164D6">
      <w:pPr>
        <w:pStyle w:val="Heading3"/>
        <w:numPr>
          <w:ilvl w:val="0"/>
          <w:numId w:val="0"/>
        </w:numPr>
      </w:pPr>
      <w:r>
        <w:t>1.4.5</w:t>
      </w:r>
      <w:r>
        <w:tab/>
      </w:r>
      <w:r w:rsidR="004C03D9">
        <w:t>Public consultation</w:t>
      </w:r>
    </w:p>
    <w:p w14:paraId="3141D0FA" w14:textId="77777777" w:rsidR="001164D6" w:rsidRDefault="001164D6" w:rsidP="001164D6">
      <w:r>
        <w:t xml:space="preserve">The Commission received 20 submissions on the tariff review papers published to date, </w:t>
      </w:r>
      <w:r w:rsidR="00C001CF">
        <w:t xml:space="preserve">10 </w:t>
      </w:r>
      <w:r>
        <w:t xml:space="preserve">of which responded to the </w:t>
      </w:r>
      <w:r w:rsidR="00C001CF">
        <w:t>d</w:t>
      </w:r>
      <w:r>
        <w:t xml:space="preserve">raft </w:t>
      </w:r>
      <w:r w:rsidR="00C001CF">
        <w:t>r</w:t>
      </w:r>
      <w:r>
        <w:t>eport.</w:t>
      </w:r>
      <w:r w:rsidR="00DC674F">
        <w:t xml:space="preserve"> </w:t>
      </w:r>
      <w:r>
        <w:t xml:space="preserve">Three submissions were received from Icon Water, two from the ACT Civil and Administrative Tribunal, one from Clubs ACT, one from the Federal Golf Club, one from the Canberra Business Chamber, one from the ACT Government and 11 from members of the ACT community. </w:t>
      </w:r>
    </w:p>
    <w:p w14:paraId="44FAD040" w14:textId="77777777" w:rsidR="001164D6" w:rsidRDefault="001164D6" w:rsidP="001164D6">
      <w:r>
        <w:t xml:space="preserve">The Commission also held a public forum </w:t>
      </w:r>
      <w:r w:rsidR="004C03D9">
        <w:t>at which</w:t>
      </w:r>
      <w:r>
        <w:t xml:space="preserve"> a number of people presented their views and commented on the Commission</w:t>
      </w:r>
      <w:r w:rsidR="00DC674F">
        <w:t>’</w:t>
      </w:r>
      <w:r>
        <w:t xml:space="preserve">s </w:t>
      </w:r>
      <w:r w:rsidR="008A2544">
        <w:t>d</w:t>
      </w:r>
      <w:r>
        <w:t xml:space="preserve">raft </w:t>
      </w:r>
      <w:r w:rsidR="008A2544">
        <w:t>r</w:t>
      </w:r>
      <w:r>
        <w:t>eport.</w:t>
      </w:r>
      <w:r w:rsidR="00DC674F">
        <w:t xml:space="preserve"> </w:t>
      </w:r>
    </w:p>
    <w:p w14:paraId="65140163" w14:textId="77777777" w:rsidR="001164D6" w:rsidRDefault="001164D6" w:rsidP="001164D6">
      <w:r>
        <w:t xml:space="preserve">Submissions and presentations from the public forum </w:t>
      </w:r>
      <w:proofErr w:type="gramStart"/>
      <w:r>
        <w:t>are considered in the relevant chapters of t</w:t>
      </w:r>
      <w:r w:rsidRPr="00DB04FD">
        <w:t>h</w:t>
      </w:r>
      <w:r w:rsidR="004C03D9">
        <w:t>is</w:t>
      </w:r>
      <w:r w:rsidRPr="00DB04FD">
        <w:t xml:space="preserve"> report and su</w:t>
      </w:r>
      <w:r>
        <w:t>mmarised in Appendix 1</w:t>
      </w:r>
      <w:proofErr w:type="gramEnd"/>
      <w:r>
        <w:t>.</w:t>
      </w:r>
    </w:p>
    <w:p w14:paraId="4B862082" w14:textId="77777777" w:rsidR="001164D6" w:rsidRDefault="001164D6" w:rsidP="001164D6">
      <w:pPr>
        <w:pStyle w:val="Heading2a"/>
      </w:pPr>
      <w:bookmarkStart w:id="88" w:name="_Toc476753966"/>
      <w:bookmarkStart w:id="89" w:name="_Toc478465443"/>
      <w:r>
        <w:t>1.5</w:t>
      </w:r>
      <w:r>
        <w:tab/>
      </w:r>
      <w:r w:rsidRPr="008A2544">
        <w:t>Status o</w:t>
      </w:r>
      <w:r>
        <w:t xml:space="preserve">f the </w:t>
      </w:r>
      <w:r w:rsidR="00C718E9">
        <w:t xml:space="preserve">tariff structure review </w:t>
      </w:r>
      <w:r w:rsidR="004C233A">
        <w:t>f</w:t>
      </w:r>
      <w:r>
        <w:t xml:space="preserve">inal </w:t>
      </w:r>
      <w:r w:rsidR="004C233A">
        <w:t>r</w:t>
      </w:r>
      <w:r>
        <w:t>eport</w:t>
      </w:r>
      <w:bookmarkEnd w:id="88"/>
      <w:bookmarkEnd w:id="89"/>
    </w:p>
    <w:p w14:paraId="739A0A7E" w14:textId="77777777" w:rsidR="001164D6" w:rsidRDefault="001164D6" w:rsidP="001164D6">
      <w:r>
        <w:t xml:space="preserve">The purpose of the review is to help determine whether the current </w:t>
      </w:r>
      <w:r w:rsidR="000B5553">
        <w:t xml:space="preserve">tariff structures for </w:t>
      </w:r>
      <w:r>
        <w:t xml:space="preserve">water and sewerage services will continue to deliver the best outcome for the ACT community, or whether improvements </w:t>
      </w:r>
      <w:proofErr w:type="gramStart"/>
      <w:r>
        <w:t>can be made</w:t>
      </w:r>
      <w:proofErr w:type="gramEnd"/>
      <w:r>
        <w:t>.</w:t>
      </w:r>
    </w:p>
    <w:p w14:paraId="779179DB" w14:textId="77777777" w:rsidR="001164D6" w:rsidRDefault="001164D6" w:rsidP="001164D6">
      <w:r>
        <w:t>The analysis undertaken to date indicates that some adjustment to the existing water tariff struc</w:t>
      </w:r>
      <w:r w:rsidRPr="008A2544">
        <w:t xml:space="preserve">ture </w:t>
      </w:r>
      <w:proofErr w:type="gramStart"/>
      <w:r w:rsidRPr="008A2544">
        <w:t>to better ref</w:t>
      </w:r>
      <w:r>
        <w:t>lect</w:t>
      </w:r>
      <w:proofErr w:type="gramEnd"/>
      <w:r>
        <w:t xml:space="preserve"> the costs incurred by Icon Water </w:t>
      </w:r>
      <w:r w:rsidR="008A2544">
        <w:t xml:space="preserve">could </w:t>
      </w:r>
      <w:r>
        <w:t xml:space="preserve">benefit the ACT community as a whole. Any change </w:t>
      </w:r>
      <w:proofErr w:type="gramStart"/>
      <w:r>
        <w:t>should be done</w:t>
      </w:r>
      <w:proofErr w:type="gramEnd"/>
      <w:r>
        <w:t xml:space="preserve"> in a measured and gradual manner.</w:t>
      </w:r>
      <w:r w:rsidR="00DC674F">
        <w:t xml:space="preserve"> </w:t>
      </w:r>
      <w:r>
        <w:t xml:space="preserve">This approach takes account of the need to use water efficiently, and to ensure efficient </w:t>
      </w:r>
      <w:r w:rsidRPr="008A2544">
        <w:t>recovery of rev</w:t>
      </w:r>
      <w:r>
        <w:t>enue to cover the efficient costs of Icon Water, while meeting environmental objectives and taking account of potential adverse social effects.</w:t>
      </w:r>
      <w:r w:rsidR="00DC674F">
        <w:t xml:space="preserve"> </w:t>
      </w:r>
      <w:r>
        <w:t xml:space="preserve">However, while the direction of change seems clear, more consideration needs to </w:t>
      </w:r>
      <w:proofErr w:type="gramStart"/>
      <w:r>
        <w:t>be given</w:t>
      </w:r>
      <w:proofErr w:type="gramEnd"/>
      <w:r>
        <w:t xml:space="preserve"> </w:t>
      </w:r>
      <w:r w:rsidR="000B5553">
        <w:t xml:space="preserve">to </w:t>
      </w:r>
      <w:r>
        <w:t>how best to address impacts on the budgets of low</w:t>
      </w:r>
      <w:r w:rsidR="000B5553">
        <w:t>-</w:t>
      </w:r>
      <w:r>
        <w:t>income households.</w:t>
      </w:r>
      <w:r w:rsidR="00DC674F">
        <w:t xml:space="preserve"> </w:t>
      </w:r>
    </w:p>
    <w:p w14:paraId="22FCD0F4" w14:textId="77777777" w:rsidR="001164D6" w:rsidRDefault="001164D6" w:rsidP="001164D6">
      <w:r>
        <w:t xml:space="preserve">The tariff structure </w:t>
      </w:r>
      <w:proofErr w:type="gramStart"/>
      <w:r>
        <w:t>can be considered</w:t>
      </w:r>
      <w:proofErr w:type="gramEnd"/>
      <w:r>
        <w:t xml:space="preserve"> separately from the amount of revenue that needs to be earned to ensure efficient cost recovery.</w:t>
      </w:r>
      <w:r w:rsidR="00DC674F">
        <w:t xml:space="preserve"> </w:t>
      </w:r>
      <w:r>
        <w:t xml:space="preserve">However, the Commission believes that it is preferable to </w:t>
      </w:r>
      <w:r w:rsidR="00A23305">
        <w:t>make any adjustments</w:t>
      </w:r>
      <w:r>
        <w:t xml:space="preserve"> as part of the price investigation for water and sewerage services </w:t>
      </w:r>
      <w:r w:rsidR="008A2544">
        <w:t xml:space="preserve">that </w:t>
      </w:r>
      <w:r>
        <w:t xml:space="preserve">has just begun. That allows the Commission to consider all the relevant information on costs and </w:t>
      </w:r>
      <w:r w:rsidRPr="008A2544">
        <w:t xml:space="preserve">usage </w:t>
      </w:r>
      <w:r w:rsidR="008A2544">
        <w:t>that</w:t>
      </w:r>
      <w:r w:rsidR="008A2544" w:rsidRPr="008A2544">
        <w:t xml:space="preserve"> </w:t>
      </w:r>
      <w:r w:rsidRPr="008A2544">
        <w:t>will</w:t>
      </w:r>
      <w:r>
        <w:t xml:space="preserve"> become available.</w:t>
      </w:r>
      <w:r w:rsidR="008013DA">
        <w:t xml:space="preserve"> </w:t>
      </w:r>
    </w:p>
    <w:p w14:paraId="57E8E6FF" w14:textId="77777777" w:rsidR="001164D6" w:rsidRDefault="001164D6" w:rsidP="001164D6">
      <w:r>
        <w:t>To sum up, t</w:t>
      </w:r>
      <w:r w:rsidRPr="003D00FF">
        <w:t xml:space="preserve">his report </w:t>
      </w:r>
      <w:r>
        <w:t>sets out the Commission</w:t>
      </w:r>
      <w:r w:rsidR="00DC674F">
        <w:t>’</w:t>
      </w:r>
      <w:r>
        <w:t>s current position on the future structure of Icon Water</w:t>
      </w:r>
      <w:r w:rsidR="00DC674F">
        <w:t>’</w:t>
      </w:r>
      <w:r>
        <w:t>s regulated water and sewerage services tariffs.</w:t>
      </w:r>
      <w:r w:rsidR="00DC674F">
        <w:t xml:space="preserve"> </w:t>
      </w:r>
      <w:r>
        <w:t>Any adjustment will be finalised as part of the Commission</w:t>
      </w:r>
      <w:r w:rsidR="00DC674F">
        <w:t>’</w:t>
      </w:r>
      <w:r>
        <w:t xml:space="preserve">s investigation </w:t>
      </w:r>
      <w:r w:rsidR="00A23305">
        <w:t>into</w:t>
      </w:r>
      <w:r>
        <w:t xml:space="preserve"> a price </w:t>
      </w:r>
      <w:r>
        <w:lastRenderedPageBreak/>
        <w:t>direction for regulated water and sewerage services for the next regulatory period</w:t>
      </w:r>
      <w:r w:rsidR="000B5553">
        <w:t>,</w:t>
      </w:r>
      <w:r>
        <w:t xml:space="preserve"> from 1 July 2018 to 30 June 2023. </w:t>
      </w:r>
    </w:p>
    <w:p w14:paraId="1CF2B3FC" w14:textId="77777777" w:rsidR="001164D6" w:rsidRDefault="001164D6" w:rsidP="001164D6">
      <w:pPr>
        <w:pStyle w:val="Heading2a"/>
      </w:pPr>
      <w:bookmarkStart w:id="90" w:name="Scope"/>
      <w:bookmarkStart w:id="91" w:name="Timeline"/>
      <w:bookmarkStart w:id="92" w:name="What_happens_next"/>
      <w:bookmarkStart w:id="93" w:name="_Toc368572035"/>
      <w:bookmarkStart w:id="94" w:name="_Toc476753967"/>
      <w:bookmarkStart w:id="95" w:name="_Toc478465444"/>
      <w:bookmarkEnd w:id="90"/>
      <w:bookmarkEnd w:id="91"/>
      <w:bookmarkEnd w:id="92"/>
      <w:r>
        <w:t>1.6</w:t>
      </w:r>
      <w:r>
        <w:tab/>
        <w:t>Report s</w:t>
      </w:r>
      <w:r w:rsidRPr="00AE2910">
        <w:t>tructure</w:t>
      </w:r>
      <w:bookmarkEnd w:id="93"/>
      <w:bookmarkEnd w:id="94"/>
      <w:bookmarkEnd w:id="95"/>
    </w:p>
    <w:p w14:paraId="25EF7AE1" w14:textId="77777777" w:rsidR="001164D6" w:rsidRDefault="001164D6" w:rsidP="001164D6">
      <w:r>
        <w:t xml:space="preserve">The rest of this report </w:t>
      </w:r>
      <w:proofErr w:type="gramStart"/>
      <w:r>
        <w:t>is structured</w:t>
      </w:r>
      <w:proofErr w:type="gramEnd"/>
      <w:r>
        <w:t xml:space="preserve"> as follows.</w:t>
      </w:r>
      <w:r w:rsidR="00DC674F">
        <w:t xml:space="preserve"> </w:t>
      </w:r>
    </w:p>
    <w:p w14:paraId="6F49C348" w14:textId="77777777" w:rsidR="001164D6" w:rsidRDefault="001164D6" w:rsidP="00CA7AFB">
      <w:pPr>
        <w:pStyle w:val="Bullet"/>
        <w:numPr>
          <w:ilvl w:val="0"/>
          <w:numId w:val="14"/>
        </w:numPr>
      </w:pPr>
      <w:r>
        <w:t>Chapter</w:t>
      </w:r>
      <w:r w:rsidR="000B5553">
        <w:t xml:space="preserve"> 2</w:t>
      </w:r>
      <w:r>
        <w:t xml:space="preserve"> explains the relevant public policy and regulatory objectives.</w:t>
      </w:r>
    </w:p>
    <w:p w14:paraId="7BD58E2C" w14:textId="77777777" w:rsidR="001164D6" w:rsidRDefault="001164D6" w:rsidP="00CA7AFB">
      <w:pPr>
        <w:pStyle w:val="Bullet"/>
        <w:numPr>
          <w:ilvl w:val="0"/>
          <w:numId w:val="14"/>
        </w:numPr>
      </w:pPr>
      <w:r>
        <w:t>Chapter 3 explains the pricing princi</w:t>
      </w:r>
      <w:r w:rsidRPr="00A23305">
        <w:t>ples used to d</w:t>
      </w:r>
      <w:r>
        <w:t>evelop a proposed direction to change the tariff structure.</w:t>
      </w:r>
    </w:p>
    <w:p w14:paraId="4ABC3947" w14:textId="77777777" w:rsidR="001164D6" w:rsidRDefault="001164D6" w:rsidP="00CA7AFB">
      <w:pPr>
        <w:pStyle w:val="Bullet"/>
        <w:numPr>
          <w:ilvl w:val="0"/>
          <w:numId w:val="14"/>
        </w:numPr>
      </w:pPr>
      <w:r>
        <w:t>Chapter 4 discusses the current water services tariff structure.</w:t>
      </w:r>
    </w:p>
    <w:p w14:paraId="31EE260C" w14:textId="77777777" w:rsidR="001164D6" w:rsidRDefault="001164D6" w:rsidP="00CA7AFB">
      <w:pPr>
        <w:pStyle w:val="Bullet"/>
        <w:numPr>
          <w:ilvl w:val="0"/>
          <w:numId w:val="14"/>
        </w:numPr>
      </w:pPr>
      <w:r>
        <w:t xml:space="preserve">Chapter 5 discusses options for changing the water services tariff structure, the views expressed in submissions and the </w:t>
      </w:r>
      <w:proofErr w:type="gramStart"/>
      <w:r>
        <w:t>Commission</w:t>
      </w:r>
      <w:r w:rsidR="00DC674F">
        <w:t>’</w:t>
      </w:r>
      <w:r>
        <w:t>s</w:t>
      </w:r>
      <w:proofErr w:type="gramEnd"/>
      <w:r>
        <w:t xml:space="preserve"> preferred directions for change.</w:t>
      </w:r>
      <w:r w:rsidR="00DC674F">
        <w:t xml:space="preserve"> </w:t>
      </w:r>
    </w:p>
    <w:p w14:paraId="18365841" w14:textId="77777777" w:rsidR="001164D6" w:rsidRDefault="001164D6" w:rsidP="00CA7AFB">
      <w:pPr>
        <w:pStyle w:val="Bullet"/>
        <w:numPr>
          <w:ilvl w:val="0"/>
          <w:numId w:val="14"/>
        </w:numPr>
      </w:pPr>
      <w:r>
        <w:t xml:space="preserve">Chapter 6 discusses the current sewerage </w:t>
      </w:r>
      <w:r w:rsidR="00DB04FD">
        <w:t xml:space="preserve">services </w:t>
      </w:r>
      <w:r>
        <w:t>tariff structure and options for changing the tariff structure and introducing a cost</w:t>
      </w:r>
      <w:r w:rsidR="000B5553">
        <w:t>-</w:t>
      </w:r>
      <w:r>
        <w:t>based tariff</w:t>
      </w:r>
      <w:r w:rsidR="000B5553">
        <w:t xml:space="preserve"> for trade waste</w:t>
      </w:r>
      <w:r>
        <w:t>.</w:t>
      </w:r>
    </w:p>
    <w:p w14:paraId="77E46A6F" w14:textId="77777777" w:rsidR="001164D6" w:rsidRDefault="001164D6" w:rsidP="00CA7AFB">
      <w:pPr>
        <w:pStyle w:val="Bullet"/>
        <w:numPr>
          <w:ilvl w:val="0"/>
          <w:numId w:val="14"/>
        </w:numPr>
      </w:pPr>
      <w:r>
        <w:t>Chapter 7 discusses implementation and transition issues.</w:t>
      </w:r>
    </w:p>
    <w:p w14:paraId="10D426B4" w14:textId="77777777" w:rsidR="001164D6" w:rsidRDefault="00CF17A0" w:rsidP="00CA7AFB">
      <w:pPr>
        <w:pStyle w:val="Bullet"/>
        <w:numPr>
          <w:ilvl w:val="0"/>
          <w:numId w:val="14"/>
        </w:numPr>
      </w:pPr>
      <w:r>
        <w:t xml:space="preserve">Appendix 1 </w:t>
      </w:r>
      <w:r w:rsidR="001164D6">
        <w:t xml:space="preserve">provides a summary of submissions received on the tariff review papers and </w:t>
      </w:r>
      <w:r>
        <w:t>d</w:t>
      </w:r>
      <w:r w:rsidR="001164D6">
        <w:t xml:space="preserve">raft </w:t>
      </w:r>
      <w:r>
        <w:t>r</w:t>
      </w:r>
      <w:r w:rsidR="001164D6">
        <w:t>eport</w:t>
      </w:r>
      <w:r w:rsidR="00F316D5">
        <w:t xml:space="preserve"> and of presentations at the public forum</w:t>
      </w:r>
      <w:r w:rsidR="001164D6">
        <w:t>.</w:t>
      </w:r>
    </w:p>
    <w:p w14:paraId="35DD7CF7" w14:textId="77777777" w:rsidR="001164D6" w:rsidRDefault="00E62F0C" w:rsidP="00CA7AFB">
      <w:pPr>
        <w:pStyle w:val="Bullet"/>
        <w:numPr>
          <w:ilvl w:val="0"/>
          <w:numId w:val="14"/>
        </w:numPr>
      </w:pPr>
      <w:r>
        <w:fldChar w:fldCharType="begin"/>
      </w:r>
      <w:r w:rsidR="001164D6">
        <w:instrText xml:space="preserve"> REF _Ref456688407 \r \h </w:instrText>
      </w:r>
      <w:r>
        <w:fldChar w:fldCharType="separate"/>
      </w:r>
      <w:r w:rsidR="00F157C3">
        <w:t>Appendix 2</w:t>
      </w:r>
      <w:r>
        <w:fldChar w:fldCharType="end"/>
      </w:r>
      <w:r w:rsidR="001164D6">
        <w:t xml:space="preserve"> provides details of national considerations relevant to the tariff review.</w:t>
      </w:r>
    </w:p>
    <w:p w14:paraId="0D0FE4B4" w14:textId="77777777" w:rsidR="001164D6" w:rsidRDefault="004E6998" w:rsidP="00CA7AFB">
      <w:pPr>
        <w:pStyle w:val="Bullet"/>
        <w:numPr>
          <w:ilvl w:val="0"/>
          <w:numId w:val="14"/>
        </w:numPr>
      </w:pPr>
      <w:r>
        <w:fldChar w:fldCharType="begin"/>
      </w:r>
      <w:r>
        <w:instrText xml:space="preserve"> REF _Ref459984914 \r \h  \* MERGEFORMAT </w:instrText>
      </w:r>
      <w:r>
        <w:fldChar w:fldCharType="separate"/>
      </w:r>
      <w:r w:rsidR="00F157C3">
        <w:t>Appendix 3</w:t>
      </w:r>
      <w:r>
        <w:fldChar w:fldCharType="end"/>
      </w:r>
      <w:r w:rsidR="001164D6">
        <w:t xml:space="preserve"> provides a summary of water tariffs in other jurisdictions.</w:t>
      </w:r>
    </w:p>
    <w:p w14:paraId="35C5801E" w14:textId="77777777" w:rsidR="00B131AF" w:rsidRDefault="001164D6" w:rsidP="00CA7AFB">
      <w:pPr>
        <w:pStyle w:val="Bullet"/>
        <w:numPr>
          <w:ilvl w:val="0"/>
          <w:numId w:val="14"/>
        </w:numPr>
        <w:sectPr w:rsidR="00B131AF" w:rsidSect="001164D6">
          <w:headerReference w:type="even" r:id="rId40"/>
          <w:headerReference w:type="default" r:id="rId41"/>
          <w:endnotePr>
            <w:numFmt w:val="decimal"/>
          </w:endnotePr>
          <w:type w:val="continuous"/>
          <w:pgSz w:w="11907" w:h="16840" w:code="9"/>
          <w:pgMar w:top="2268" w:right="2098" w:bottom="1701" w:left="2098" w:header="578" w:footer="578" w:gutter="0"/>
          <w:cols w:space="720"/>
          <w:docGrid w:linePitch="299"/>
        </w:sectPr>
      </w:pPr>
      <w:r>
        <w:t>Appendix 4 discusses the issue of us</w:t>
      </w:r>
      <w:r w:rsidRPr="00F316D5">
        <w:t xml:space="preserve">ing </w:t>
      </w:r>
      <w:r w:rsidR="00CF17A0" w:rsidRPr="003A397B">
        <w:t xml:space="preserve">the </w:t>
      </w:r>
      <w:r w:rsidRPr="008E3DB4">
        <w:t>sh</w:t>
      </w:r>
      <w:r>
        <w:t>ort</w:t>
      </w:r>
      <w:r w:rsidR="00CF17A0">
        <w:t>-</w:t>
      </w:r>
      <w:r>
        <w:t>run marginal cost or long</w:t>
      </w:r>
      <w:r w:rsidR="00CF17A0">
        <w:t>-</w:t>
      </w:r>
      <w:r>
        <w:t>run marginal co</w:t>
      </w:r>
      <w:r w:rsidR="00B131AF">
        <w:t>st as the marginal usage charge.</w:t>
      </w:r>
    </w:p>
    <w:p w14:paraId="74D0D79C" w14:textId="77777777" w:rsidR="00B131AF" w:rsidRPr="00CA7AFB" w:rsidRDefault="00B131AF" w:rsidP="00CA7AFB">
      <w:pPr>
        <w:pStyle w:val="Heading1"/>
        <w:sectPr w:rsidR="00B131AF" w:rsidRPr="00CA7AFB" w:rsidSect="00B131AF">
          <w:headerReference w:type="even" r:id="rId42"/>
          <w:headerReference w:type="default" r:id="rId43"/>
          <w:endnotePr>
            <w:numFmt w:val="decimal"/>
          </w:endnotePr>
          <w:type w:val="oddPage"/>
          <w:pgSz w:w="11907" w:h="16840" w:code="9"/>
          <w:pgMar w:top="2268" w:right="2098" w:bottom="1701" w:left="2098" w:header="578" w:footer="578" w:gutter="0"/>
          <w:cols w:space="720"/>
          <w:docGrid w:linePitch="299"/>
        </w:sectPr>
      </w:pPr>
      <w:bookmarkStart w:id="96" w:name="_Ref468441553"/>
      <w:bookmarkStart w:id="97" w:name="_Ref468441559"/>
      <w:bookmarkStart w:id="98" w:name="_Ref468441590"/>
      <w:bookmarkStart w:id="99" w:name="_Ref468441640"/>
      <w:bookmarkStart w:id="100" w:name="_Ref468441729"/>
      <w:bookmarkStart w:id="101" w:name="_Ref468441744"/>
      <w:bookmarkStart w:id="102" w:name="_Ref468441749"/>
      <w:bookmarkStart w:id="103" w:name="_Ref468441764"/>
      <w:bookmarkStart w:id="104" w:name="_Ref468441781"/>
      <w:bookmarkStart w:id="105" w:name="_Ref468441877"/>
      <w:bookmarkStart w:id="106" w:name="_Ref468441890"/>
      <w:bookmarkStart w:id="107" w:name="_Ref468441906"/>
      <w:bookmarkStart w:id="108" w:name="_Ref468441953"/>
      <w:bookmarkStart w:id="109" w:name="_Ref468441968"/>
      <w:bookmarkStart w:id="110" w:name="_Ref468442067"/>
      <w:bookmarkStart w:id="111" w:name="_Ref468442079"/>
      <w:bookmarkStart w:id="112" w:name="_Ref468442128"/>
      <w:bookmarkStart w:id="113" w:name="_Ref468442140"/>
      <w:bookmarkStart w:id="114" w:name="_Ref468442260"/>
      <w:bookmarkStart w:id="115" w:name="_Ref468442273"/>
      <w:bookmarkStart w:id="116" w:name="_Ref468442371"/>
      <w:bookmarkStart w:id="117" w:name="_Ref468442383"/>
      <w:bookmarkStart w:id="118" w:name="_Ref468442505"/>
      <w:bookmarkStart w:id="119" w:name="_Ref468442521"/>
      <w:bookmarkStart w:id="120" w:name="_Ref468442548"/>
      <w:bookmarkStart w:id="121" w:name="_Ref468442559"/>
      <w:bookmarkStart w:id="122" w:name="_Ref468442697"/>
      <w:bookmarkStart w:id="123" w:name="_Ref468442711"/>
      <w:bookmarkStart w:id="124" w:name="_Toc476753968"/>
      <w:bookmarkStart w:id="125" w:name="_Toc478465445"/>
      <w:r w:rsidRPr="00CA7AFB">
        <w:lastRenderedPageBreak/>
        <w:t>Public policy and regulatory objectives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AEC7E47" w14:textId="77777777" w:rsidR="00B131AF" w:rsidRDefault="00B131AF" w:rsidP="00B131AF">
      <w:pPr>
        <w:pStyle w:val="Heading2a"/>
      </w:pPr>
      <w:bookmarkStart w:id="126" w:name="_Toc476753969"/>
      <w:bookmarkStart w:id="127" w:name="_Toc478465446"/>
      <w:r>
        <w:t>2.1</w:t>
      </w:r>
      <w:r>
        <w:tab/>
        <w:t>Introduction</w:t>
      </w:r>
      <w:bookmarkEnd w:id="126"/>
      <w:bookmarkEnd w:id="127"/>
    </w:p>
    <w:p w14:paraId="2DB50DFC" w14:textId="77777777" w:rsidR="00B131AF" w:rsidRDefault="00B131AF" w:rsidP="00B131AF">
      <w:r>
        <w:t xml:space="preserve">A determination in relation to the tariff structure or tariff levels for regulated services needs to ensure that relevant public policy and regulatory objectives </w:t>
      </w:r>
      <w:proofErr w:type="gramStart"/>
      <w:r>
        <w:t>are fully considered and reflected in decisions</w:t>
      </w:r>
      <w:proofErr w:type="gramEnd"/>
      <w:r>
        <w:t xml:space="preserve">. </w:t>
      </w:r>
    </w:p>
    <w:p w14:paraId="15E64C20" w14:textId="77777777" w:rsidR="00B131AF" w:rsidRDefault="00B131AF" w:rsidP="00B131AF">
      <w:r>
        <w:t>The issues paper explained the context for the tariff review and discussed the relevant public policy and regulatory objectives and requirements.</w:t>
      </w:r>
      <w:r>
        <w:rPr>
          <w:rStyle w:val="FootnoteReference"/>
        </w:rPr>
        <w:footnoteReference w:id="20"/>
      </w:r>
      <w:r>
        <w:t xml:space="preserve"> </w:t>
      </w:r>
    </w:p>
    <w:p w14:paraId="3F03175B" w14:textId="77777777" w:rsidR="00B131AF" w:rsidRDefault="00B131AF" w:rsidP="00B131AF">
      <w:r>
        <w:t xml:space="preserve">This </w:t>
      </w:r>
      <w:r w:rsidR="007A0DE5">
        <w:t>c</w:t>
      </w:r>
      <w:r>
        <w:t xml:space="preserve">hapter outlines the public policy and regulatory objectives that the Commission has focused on in preparing this report. </w:t>
      </w:r>
    </w:p>
    <w:p w14:paraId="74A3CC95" w14:textId="77777777" w:rsidR="00B131AF" w:rsidRDefault="00B131AF" w:rsidP="00B131AF">
      <w:pPr>
        <w:pStyle w:val="Heading2a"/>
      </w:pPr>
      <w:bookmarkStart w:id="128" w:name="_Toc468175203"/>
      <w:bookmarkStart w:id="129" w:name="_Toc476753970"/>
      <w:bookmarkStart w:id="130" w:name="_Toc478465447"/>
      <w:r>
        <w:t>2.2</w:t>
      </w:r>
      <w:r>
        <w:tab/>
        <w:t>Legislative context</w:t>
      </w:r>
      <w:bookmarkEnd w:id="128"/>
      <w:bookmarkEnd w:id="129"/>
      <w:bookmarkEnd w:id="130"/>
    </w:p>
    <w:p w14:paraId="4AEC57C1" w14:textId="77777777" w:rsidR="00B131AF" w:rsidRDefault="00B131AF" w:rsidP="00BA2FA6">
      <w:pPr>
        <w:pStyle w:val="Bodybulletintro"/>
      </w:pPr>
      <w:r>
        <w:t xml:space="preserve">In carrying out its functions under the ICRC Act, the </w:t>
      </w:r>
      <w:r w:rsidRPr="00A50EA4">
        <w:t>Commission has the following objective</w:t>
      </w:r>
      <w:r w:rsidRPr="00BA2FA6">
        <w:t>s set out in section 7:</w:t>
      </w:r>
    </w:p>
    <w:p w14:paraId="67EF690B" w14:textId="77777777" w:rsidR="00B131AF" w:rsidRPr="00BA2FA6" w:rsidRDefault="00B131AF" w:rsidP="00BA2FA6">
      <w:pPr>
        <w:pStyle w:val="QuoteListletter"/>
        <w:spacing w:after="100"/>
        <w:rPr>
          <w:lang w:val="en-AU" w:eastAsia="en-AU"/>
        </w:rPr>
      </w:pPr>
      <w:r w:rsidRPr="00BA2FA6">
        <w:rPr>
          <w:lang w:val="en-AU" w:eastAsia="en-AU"/>
        </w:rPr>
        <w:t>to promote effective competition in the interests of consumers;</w:t>
      </w:r>
    </w:p>
    <w:p w14:paraId="669DB458" w14:textId="77777777" w:rsidR="00B131AF" w:rsidRPr="00BA2FA6" w:rsidRDefault="00B131AF" w:rsidP="00BA2FA6">
      <w:pPr>
        <w:pStyle w:val="QuoteListletter"/>
        <w:spacing w:after="100"/>
        <w:rPr>
          <w:lang w:val="en-AU" w:eastAsia="en-AU"/>
        </w:rPr>
      </w:pPr>
      <w:r w:rsidRPr="00BA2FA6">
        <w:rPr>
          <w:lang w:val="en-AU" w:eastAsia="en-AU"/>
        </w:rPr>
        <w:t>to facilitate an appropriate balance between efficiency and environmental and social considerations; and</w:t>
      </w:r>
    </w:p>
    <w:p w14:paraId="4B1C7CA5" w14:textId="77777777" w:rsidR="00B131AF" w:rsidRPr="00BA2FA6" w:rsidRDefault="00B131AF" w:rsidP="00BA2FA6">
      <w:pPr>
        <w:pStyle w:val="QuoteListletter"/>
        <w:rPr>
          <w:lang w:val="en-AU" w:eastAsia="en-AU"/>
        </w:rPr>
      </w:pPr>
      <w:proofErr w:type="gramStart"/>
      <w:r w:rsidRPr="00BA2FA6">
        <w:rPr>
          <w:lang w:val="en-AU" w:eastAsia="en-AU"/>
        </w:rPr>
        <w:t>to</w:t>
      </w:r>
      <w:proofErr w:type="gramEnd"/>
      <w:r w:rsidRPr="00BA2FA6">
        <w:rPr>
          <w:lang w:val="en-AU" w:eastAsia="en-AU"/>
        </w:rPr>
        <w:t xml:space="preserve"> ensure non-discriminatory access to monopoly and near-monopoly infrastructure.</w:t>
      </w:r>
    </w:p>
    <w:p w14:paraId="1EE69644" w14:textId="77777777" w:rsidR="00B131AF" w:rsidRDefault="00B131AF" w:rsidP="00B131AF">
      <w:r>
        <w:t xml:space="preserve">In making a price direction, the Commission has the following overarching objective set out in </w:t>
      </w:r>
      <w:r w:rsidR="00CF17A0">
        <w:t>s</w:t>
      </w:r>
      <w:r>
        <w:t>ection 19L:</w:t>
      </w:r>
    </w:p>
    <w:p w14:paraId="0F1F7DC1" w14:textId="77777777" w:rsidR="00B131AF" w:rsidRDefault="00B131AF" w:rsidP="00BA2FA6">
      <w:pPr>
        <w:pStyle w:val="ColorfulGrid-Accent11"/>
      </w:pPr>
      <w:r w:rsidRPr="00AF7276">
        <w:t>The objective of the commission, when making a price direction in a regulated industry, is to promote the efficient investment in, and efficient operation and use of regulated services for the long term interests of consumers in relation to the price, quality, safety, reliabili</w:t>
      </w:r>
      <w:r>
        <w:t>ty and security of the service.</w:t>
      </w:r>
      <w:r w:rsidRPr="00AF7276">
        <w:t xml:space="preserve"> </w:t>
      </w:r>
    </w:p>
    <w:p w14:paraId="462820CA" w14:textId="77777777" w:rsidR="00B131AF" w:rsidRPr="00F523C4" w:rsidRDefault="00B131AF" w:rsidP="00BA2FA6">
      <w:pPr>
        <w:pStyle w:val="Bodybulletintro"/>
      </w:pPr>
      <w:r w:rsidRPr="007D01AF">
        <w:t>In making a price direction</w:t>
      </w:r>
      <w:r>
        <w:t>,</w:t>
      </w:r>
      <w:r w:rsidRPr="007D01AF">
        <w:t xml:space="preserve"> the Commission is also </w:t>
      </w:r>
      <w:r>
        <w:t xml:space="preserve">required to have regard to the provisions set out in </w:t>
      </w:r>
      <w:r w:rsidRPr="00F523C4">
        <w:t>section 20</w:t>
      </w:r>
      <w:r>
        <w:t>(2)</w:t>
      </w:r>
      <w:r w:rsidRPr="00F523C4">
        <w:t>:</w:t>
      </w:r>
    </w:p>
    <w:p w14:paraId="0C7ED0C2" w14:textId="77777777" w:rsidR="00B131AF" w:rsidRPr="00BA2FA6" w:rsidRDefault="00B131AF" w:rsidP="00BA2FA6">
      <w:pPr>
        <w:pStyle w:val="QuoteListletter"/>
        <w:numPr>
          <w:ilvl w:val="0"/>
          <w:numId w:val="31"/>
        </w:numPr>
        <w:spacing w:after="100"/>
        <w:rPr>
          <w:lang w:val="en-AU" w:eastAsia="en-AU"/>
        </w:rPr>
      </w:pPr>
      <w:r w:rsidRPr="00BA2FA6">
        <w:rPr>
          <w:lang w:val="en-AU" w:eastAsia="en-AU"/>
        </w:rPr>
        <w:t xml:space="preserve">the protection of consumers from abuses of monopoly power in terms of prices, pricing policies (including policies relating to the level or structure of prices for services) and standard of regulated services; </w:t>
      </w:r>
    </w:p>
    <w:p w14:paraId="781B611D" w14:textId="77777777" w:rsidR="00B131AF" w:rsidRPr="00BA2FA6" w:rsidRDefault="00B131AF" w:rsidP="00BA2FA6">
      <w:pPr>
        <w:pStyle w:val="QuoteListletter"/>
        <w:spacing w:after="100"/>
        <w:rPr>
          <w:lang w:val="en-AU" w:eastAsia="en-AU"/>
        </w:rPr>
      </w:pPr>
      <w:r w:rsidRPr="00BA2FA6">
        <w:rPr>
          <w:lang w:val="en-AU" w:eastAsia="en-AU"/>
        </w:rPr>
        <w:t xml:space="preserve">standards of quality, reliability and safety of the regulated services; </w:t>
      </w:r>
    </w:p>
    <w:p w14:paraId="4D69900B" w14:textId="77777777" w:rsidR="00B131AF" w:rsidRPr="00BA2FA6" w:rsidRDefault="00B131AF" w:rsidP="00BA2FA6">
      <w:pPr>
        <w:pStyle w:val="QuoteListletter"/>
        <w:spacing w:after="100"/>
        <w:rPr>
          <w:lang w:val="en-AU" w:eastAsia="en-AU"/>
        </w:rPr>
      </w:pPr>
      <w:r w:rsidRPr="00BA2FA6">
        <w:rPr>
          <w:lang w:val="en-AU" w:eastAsia="en-AU"/>
        </w:rPr>
        <w:t xml:space="preserve">the need for greater efficiency in the provision of regulated services to reduce costs to consumers and taxpayers; </w:t>
      </w:r>
    </w:p>
    <w:p w14:paraId="65C7CF3C" w14:textId="77777777" w:rsidR="00B131AF" w:rsidRPr="00BA2FA6" w:rsidRDefault="00B131AF" w:rsidP="00BA2FA6">
      <w:pPr>
        <w:pStyle w:val="QuoteListletter"/>
        <w:spacing w:after="100"/>
      </w:pPr>
      <w:r w:rsidRPr="00BA2FA6">
        <w:rPr>
          <w:lang w:val="en-AU" w:eastAsia="en-AU"/>
        </w:rPr>
        <w:t xml:space="preserve">an appropriate rate of return on any investment in the regulated industry; </w:t>
      </w:r>
    </w:p>
    <w:p w14:paraId="3D661773" w14:textId="77777777" w:rsidR="00B131AF" w:rsidRPr="00BA2FA6" w:rsidRDefault="00B131AF" w:rsidP="00BA2FA6">
      <w:pPr>
        <w:pStyle w:val="QuoteListletter"/>
        <w:spacing w:after="100"/>
        <w:rPr>
          <w:lang w:val="en-AU" w:eastAsia="en-AU"/>
        </w:rPr>
      </w:pPr>
      <w:r w:rsidRPr="00BA2FA6">
        <w:rPr>
          <w:lang w:val="en-AU" w:eastAsia="en-AU"/>
        </w:rPr>
        <w:lastRenderedPageBreak/>
        <w:t xml:space="preserve">the cost of providing the regulated services; </w:t>
      </w:r>
    </w:p>
    <w:p w14:paraId="109E6AC6" w14:textId="77777777" w:rsidR="00B131AF" w:rsidRPr="00BA2FA6" w:rsidRDefault="00B131AF" w:rsidP="00BA2FA6">
      <w:pPr>
        <w:pStyle w:val="QuoteListletter"/>
        <w:spacing w:after="100"/>
        <w:rPr>
          <w:lang w:val="en-AU" w:eastAsia="en-AU"/>
        </w:rPr>
      </w:pPr>
      <w:r w:rsidRPr="00BA2FA6">
        <w:rPr>
          <w:lang w:val="en-AU" w:eastAsia="en-AU"/>
        </w:rPr>
        <w:t>the principles of ecologically sustainable development mentioned in subsection (5);</w:t>
      </w:r>
    </w:p>
    <w:p w14:paraId="2872F929" w14:textId="77777777" w:rsidR="00B131AF" w:rsidRPr="00BA2FA6" w:rsidRDefault="00B131AF" w:rsidP="00BA2FA6">
      <w:pPr>
        <w:pStyle w:val="QuoteListletter"/>
        <w:spacing w:after="100"/>
        <w:rPr>
          <w:lang w:val="en-AU" w:eastAsia="en-AU"/>
        </w:rPr>
      </w:pPr>
      <w:r w:rsidRPr="00BA2FA6">
        <w:rPr>
          <w:lang w:val="en-AU" w:eastAsia="en-AU"/>
        </w:rPr>
        <w:t xml:space="preserve">the social impacts of the decision; </w:t>
      </w:r>
    </w:p>
    <w:p w14:paraId="5DCD5B75" w14:textId="77777777" w:rsidR="00B131AF" w:rsidRPr="00BA2FA6" w:rsidRDefault="00B131AF" w:rsidP="00BA2FA6">
      <w:pPr>
        <w:pStyle w:val="QuoteListletter"/>
        <w:spacing w:after="100"/>
        <w:rPr>
          <w:lang w:val="en-AU" w:eastAsia="en-AU"/>
        </w:rPr>
      </w:pPr>
      <w:r w:rsidRPr="00BA2FA6">
        <w:rPr>
          <w:lang w:val="en-AU" w:eastAsia="en-AU"/>
        </w:rPr>
        <w:t xml:space="preserve">considerations of demand management and least cost planning; </w:t>
      </w:r>
    </w:p>
    <w:p w14:paraId="2A3A6EDF" w14:textId="77777777" w:rsidR="00B131AF" w:rsidRPr="00BA2FA6" w:rsidRDefault="00B131AF" w:rsidP="00BA2FA6">
      <w:pPr>
        <w:pStyle w:val="QuoteListletter"/>
        <w:spacing w:after="100"/>
        <w:rPr>
          <w:lang w:val="en-AU" w:eastAsia="en-AU"/>
        </w:rPr>
      </w:pPr>
      <w:r w:rsidRPr="00BA2FA6">
        <w:rPr>
          <w:lang w:val="en-AU" w:eastAsia="en-AU"/>
        </w:rPr>
        <w:t>the borrowing, capital and cash flow requirements of people providing regulated services and the need to renew or increase relevant assets in the regulated industry; and</w:t>
      </w:r>
    </w:p>
    <w:p w14:paraId="1EBC32E9" w14:textId="77777777" w:rsidR="00B131AF" w:rsidRPr="00BA2FA6" w:rsidRDefault="00B131AF" w:rsidP="00BA2FA6">
      <w:pPr>
        <w:pStyle w:val="QuoteListletter"/>
      </w:pPr>
      <w:proofErr w:type="gramStart"/>
      <w:r w:rsidRPr="00BA2FA6">
        <w:rPr>
          <w:lang w:val="en-AU" w:eastAsia="en-AU"/>
        </w:rPr>
        <w:t>the</w:t>
      </w:r>
      <w:proofErr w:type="gramEnd"/>
      <w:r w:rsidRPr="00BA2FA6">
        <w:rPr>
          <w:lang w:val="en-AU" w:eastAsia="en-AU"/>
        </w:rPr>
        <w:t xml:space="preserve"> effect on general price inflation over the medium term; and any arrangements that a person providing regulated services has entered into for the exercise of its functions by some other person.</w:t>
      </w:r>
    </w:p>
    <w:p w14:paraId="34F9DC94" w14:textId="739825EF" w:rsidR="00B131AF" w:rsidRDefault="00B131AF" w:rsidP="00B131AF">
      <w:r>
        <w:t xml:space="preserve">At a high </w:t>
      </w:r>
      <w:proofErr w:type="gramStart"/>
      <w:r>
        <w:t>level</w:t>
      </w:r>
      <w:proofErr w:type="gramEnd"/>
      <w:r>
        <w:t xml:space="preserve"> there are essentially three</w:t>
      </w:r>
      <w:r w:rsidR="006723FD">
        <w:t xml:space="preserve"> key</w:t>
      </w:r>
      <w:r>
        <w:t xml:space="preserve"> </w:t>
      </w:r>
      <w:r w:rsidR="00C718E9">
        <w:t>considerations</w:t>
      </w:r>
      <w:r>
        <w:t xml:space="preserve">: economic efficiency, environmental </w:t>
      </w:r>
      <w:r w:rsidR="006723FD">
        <w:t>effects</w:t>
      </w:r>
      <w:r>
        <w:t xml:space="preserve"> and social impacts.</w:t>
      </w:r>
      <w:r w:rsidR="00DC674F">
        <w:t xml:space="preserve"> </w:t>
      </w:r>
      <w:r>
        <w:t>As explained in Chapter 3, economic efficiency encompasses many of the other specific objectives</w:t>
      </w:r>
      <w:r w:rsidR="008A2544">
        <w:t>,</w:t>
      </w:r>
      <w:r>
        <w:t xml:space="preserve"> including financial considerations, monopoly power and certain environmental effects.</w:t>
      </w:r>
      <w:r w:rsidR="00DC674F">
        <w:t xml:space="preserve"> </w:t>
      </w:r>
      <w:r>
        <w:t>There are likely to be trade-offs in balancing the various objectives and further objectives set by government policies.</w:t>
      </w:r>
      <w:r w:rsidR="00DC674F">
        <w:t xml:space="preserve"> </w:t>
      </w:r>
      <w:r>
        <w:t>The Commission</w:t>
      </w:r>
      <w:r w:rsidR="00DC674F">
        <w:t>’</w:t>
      </w:r>
      <w:r>
        <w:t xml:space="preserve">s key considerations in balancing the objectives </w:t>
      </w:r>
      <w:proofErr w:type="gramStart"/>
      <w:r>
        <w:t>are discussed</w:t>
      </w:r>
      <w:proofErr w:type="gramEnd"/>
      <w:r>
        <w:t xml:space="preserve"> later in this </w:t>
      </w:r>
      <w:r w:rsidR="005E559E">
        <w:t>report</w:t>
      </w:r>
      <w:r>
        <w:t xml:space="preserve">. </w:t>
      </w:r>
    </w:p>
    <w:p w14:paraId="708FDBA0" w14:textId="77777777" w:rsidR="00B131AF" w:rsidRDefault="00B131AF" w:rsidP="00B131AF">
      <w:pPr>
        <w:pStyle w:val="Heading2a"/>
      </w:pPr>
      <w:bookmarkStart w:id="131" w:name="_Toc420064864"/>
      <w:bookmarkStart w:id="132" w:name="_Toc468175204"/>
      <w:bookmarkStart w:id="133" w:name="_Toc476753971"/>
      <w:bookmarkStart w:id="134" w:name="_Toc478465448"/>
      <w:r>
        <w:t>2.3</w:t>
      </w:r>
      <w:r>
        <w:tab/>
        <w:t>Government policy context</w:t>
      </w:r>
      <w:bookmarkEnd w:id="131"/>
      <w:bookmarkEnd w:id="132"/>
      <w:bookmarkEnd w:id="133"/>
      <w:bookmarkEnd w:id="134"/>
      <w:r>
        <w:t xml:space="preserve"> </w:t>
      </w:r>
    </w:p>
    <w:p w14:paraId="59E97C5D" w14:textId="77777777" w:rsidR="00B131AF" w:rsidRDefault="00B131AF" w:rsidP="00B131AF">
      <w:proofErr w:type="gramStart"/>
      <w:r>
        <w:t>There are a number of government policies and national agreements that are relevant in considering reform of the tariff structure.</w:t>
      </w:r>
      <w:proofErr w:type="gramEnd"/>
    </w:p>
    <w:p w14:paraId="6D54E3B5" w14:textId="77777777" w:rsidR="00B131AF" w:rsidRDefault="00B131AF" w:rsidP="00B131AF">
      <w:pPr>
        <w:pStyle w:val="Heading3"/>
        <w:numPr>
          <w:ilvl w:val="0"/>
          <w:numId w:val="0"/>
        </w:numPr>
      </w:pPr>
      <w:r>
        <w:t>2.3.1</w:t>
      </w:r>
      <w:r>
        <w:tab/>
        <w:t>The ACT Water Strategy 2014</w:t>
      </w:r>
      <w:r>
        <w:sym w:font="Symbol" w:char="F02D"/>
      </w:r>
      <w:r>
        <w:t>44</w:t>
      </w:r>
    </w:p>
    <w:p w14:paraId="6CB0947B" w14:textId="77777777" w:rsidR="00B131AF" w:rsidRDefault="00B131AF" w:rsidP="00B131AF">
      <w:r>
        <w:t xml:space="preserve">The </w:t>
      </w:r>
      <w:r w:rsidRPr="00A74EE0">
        <w:rPr>
          <w:rStyle w:val="Italic"/>
        </w:rPr>
        <w:t>ACT Water Strategy 2014</w:t>
      </w:r>
      <w:r w:rsidRPr="00A74EE0">
        <w:rPr>
          <w:rStyle w:val="Italic"/>
        </w:rPr>
        <w:sym w:font="Symbol" w:char="F02D"/>
      </w:r>
      <w:r w:rsidRPr="00A74EE0">
        <w:rPr>
          <w:rStyle w:val="Italic"/>
        </w:rPr>
        <w:t xml:space="preserve">44: Striking the </w:t>
      </w:r>
      <w:r w:rsidR="008A3F7E">
        <w:rPr>
          <w:rStyle w:val="Italic"/>
        </w:rPr>
        <w:t>b</w:t>
      </w:r>
      <w:r w:rsidRPr="00A74EE0">
        <w:rPr>
          <w:rStyle w:val="Italic"/>
        </w:rPr>
        <w:t>alance</w:t>
      </w:r>
      <w:r>
        <w:t xml:space="preserve"> sets out the ACT </w:t>
      </w:r>
      <w:proofErr w:type="gramStart"/>
      <w:r>
        <w:t>Government</w:t>
      </w:r>
      <w:r w:rsidR="00DC674F">
        <w:t>’</w:t>
      </w:r>
      <w:r>
        <w:t>s</w:t>
      </w:r>
      <w:proofErr w:type="gramEnd"/>
      <w:r>
        <w:t xml:space="preserve"> overarching </w:t>
      </w:r>
      <w:r w:rsidRPr="00A436F5">
        <w:t>long</w:t>
      </w:r>
      <w:r>
        <w:t>-</w:t>
      </w:r>
      <w:r w:rsidRPr="00A436F5">
        <w:t xml:space="preserve">term water resources </w:t>
      </w:r>
      <w:r>
        <w:t xml:space="preserve">management policy. The strategy </w:t>
      </w:r>
      <w:proofErr w:type="gramStart"/>
      <w:r>
        <w:t>is intended</w:t>
      </w:r>
      <w:proofErr w:type="gramEnd"/>
      <w:r>
        <w:t xml:space="preserve"> to achieve three outcomes</w:t>
      </w:r>
      <w:r w:rsidR="005E559E">
        <w:t>:</w:t>
      </w:r>
      <w:r>
        <w:t xml:space="preserve"> (1) healthy catchments and waterbodies; (2) a sustainable water supply used efficiently; and (3) a community that values and enjoys clean, healthy catchments.</w:t>
      </w:r>
      <w:r>
        <w:rPr>
          <w:rStyle w:val="FootnoteReference"/>
        </w:rPr>
        <w:footnoteReference w:id="21"/>
      </w:r>
      <w:r w:rsidR="00DC674F">
        <w:t xml:space="preserve"> </w:t>
      </w:r>
      <w:r>
        <w:t xml:space="preserve">The second outcome </w:t>
      </w:r>
      <w:r>
        <w:sym w:font="Symbol" w:char="F02D"/>
      </w:r>
      <w:r>
        <w:t xml:space="preserve"> a sustainable water supply used efficiently </w:t>
      </w:r>
      <w:r>
        <w:sym w:font="Symbol" w:char="F02D"/>
      </w:r>
      <w:r>
        <w:t xml:space="preserve"> is of primary interest for the tariff review.</w:t>
      </w:r>
      <w:r w:rsidR="00DC674F">
        <w:t xml:space="preserve"> </w:t>
      </w:r>
      <w:r>
        <w:t xml:space="preserve">Strategy 5, directed to this outcome, is to manage and promote the </w:t>
      </w:r>
      <w:r w:rsidR="009E7A13" w:rsidRPr="009E7A13">
        <w:t>sustainable use of water</w:t>
      </w:r>
      <w:r>
        <w:t>. Action 15 under this strategy is to encourage water users to conserve and use water wisely.</w:t>
      </w:r>
      <w:r w:rsidR="00DC674F">
        <w:t xml:space="preserve"> </w:t>
      </w:r>
      <w:r>
        <w:t xml:space="preserve">The </w:t>
      </w:r>
      <w:r w:rsidR="009E7A13" w:rsidRPr="009E7A13">
        <w:t xml:space="preserve">ACT </w:t>
      </w:r>
      <w:r w:rsidR="005E559E">
        <w:t>w</w:t>
      </w:r>
      <w:r w:rsidR="009E7A13" w:rsidRPr="009E7A13">
        <w:t xml:space="preserve">ater </w:t>
      </w:r>
      <w:r w:rsidR="005E559E">
        <w:t>s</w:t>
      </w:r>
      <w:r w:rsidR="009E7A13" w:rsidRPr="009E7A13">
        <w:t>trategy</w:t>
      </w:r>
      <w:r w:rsidRPr="005E559E">
        <w:t xml:space="preserve"> </w:t>
      </w:r>
      <w:r>
        <w:t xml:space="preserve">also proposes investigating </w:t>
      </w:r>
      <w:r w:rsidRPr="001D115F">
        <w:t xml:space="preserve">the </w:t>
      </w:r>
      <w:r w:rsidR="009E7A13" w:rsidRPr="009E7A13">
        <w:t>use of scarcity pricing</w:t>
      </w:r>
      <w:r w:rsidRPr="001D115F">
        <w:t xml:space="preserve"> </w:t>
      </w:r>
      <w:r w:rsidR="004466BC">
        <w:t>to</w:t>
      </w:r>
      <w:r w:rsidR="004466BC" w:rsidRPr="001D115F">
        <w:t xml:space="preserve"> p</w:t>
      </w:r>
      <w:r w:rsidR="004466BC">
        <w:t xml:space="preserve">romote </w:t>
      </w:r>
      <w:r>
        <w:t>efficient use of water.</w:t>
      </w:r>
      <w:r w:rsidR="00DC674F">
        <w:t xml:space="preserve"> </w:t>
      </w:r>
    </w:p>
    <w:p w14:paraId="4D3D2B18" w14:textId="77777777" w:rsidR="00B131AF" w:rsidRDefault="00B131AF" w:rsidP="00B131AF">
      <w:r>
        <w:t>To help achieve the outcome of a sustainable water supply, the ACT Government has a number of schemes in place</w:t>
      </w:r>
      <w:r w:rsidR="005E559E">
        <w:t>,</w:t>
      </w:r>
      <w:r>
        <w:t xml:space="preserve"> including </w:t>
      </w:r>
      <w:r w:rsidRPr="00AB3928">
        <w:t>permanent water conservation measures and a temporary water restrictions scheme</w:t>
      </w:r>
      <w:r>
        <w:t xml:space="preserve"> that </w:t>
      </w:r>
      <w:proofErr w:type="gramStart"/>
      <w:r>
        <w:t>can be imposed</w:t>
      </w:r>
      <w:proofErr w:type="gramEnd"/>
      <w:r>
        <w:t xml:space="preserve"> in times of significant water shortage</w:t>
      </w:r>
      <w:r w:rsidRPr="00AB3928">
        <w:t>.</w:t>
      </w:r>
      <w:r w:rsidR="00DC674F">
        <w:t xml:space="preserve"> </w:t>
      </w:r>
      <w:r>
        <w:t>The ACT has been under permanent water conservation measures since Stage</w:t>
      </w:r>
      <w:r w:rsidR="003A397B">
        <w:t> </w:t>
      </w:r>
      <w:r>
        <w:t xml:space="preserve">2 temporary restrictions </w:t>
      </w:r>
      <w:proofErr w:type="gramStart"/>
      <w:r>
        <w:t>were revoked</w:t>
      </w:r>
      <w:proofErr w:type="gramEnd"/>
      <w:r>
        <w:t xml:space="preserve"> on 31 October 2010.</w:t>
      </w:r>
    </w:p>
    <w:p w14:paraId="3EAB0DA9" w14:textId="6741432D" w:rsidR="00B131AF" w:rsidRDefault="00B131AF" w:rsidP="00B131AF">
      <w:r>
        <w:lastRenderedPageBreak/>
        <w:t>The ACT Government</w:t>
      </w:r>
      <w:r w:rsidR="00DC674F">
        <w:t>’</w:t>
      </w:r>
      <w:r>
        <w:t>s overarching planning act, the Territory Plan, also places a number of water quality requirements on developers relating to the control of storm</w:t>
      </w:r>
      <w:r w:rsidR="00161C2B">
        <w:t xml:space="preserve"> </w:t>
      </w:r>
      <w:r>
        <w:t>water and run-off.</w:t>
      </w:r>
      <w:r w:rsidR="00DC674F">
        <w:t xml:space="preserve"> </w:t>
      </w:r>
    </w:p>
    <w:p w14:paraId="4337F359" w14:textId="77777777" w:rsidR="00B131AF" w:rsidRDefault="00B131AF" w:rsidP="00B131AF">
      <w:r>
        <w:t xml:space="preserve">These various water conservation actions </w:t>
      </w:r>
      <w:proofErr w:type="gramStart"/>
      <w:r>
        <w:t>are recognised</w:t>
      </w:r>
      <w:proofErr w:type="gramEnd"/>
      <w:r>
        <w:t xml:space="preserve"> in the directions for changing the tariff structure that are being considered by the Commission. </w:t>
      </w:r>
    </w:p>
    <w:p w14:paraId="547F66D6" w14:textId="77777777" w:rsidR="00B131AF" w:rsidRDefault="00B131AF" w:rsidP="00B131AF">
      <w:pPr>
        <w:pStyle w:val="Heading3"/>
        <w:numPr>
          <w:ilvl w:val="0"/>
          <w:numId w:val="0"/>
        </w:numPr>
      </w:pPr>
      <w:r>
        <w:t>2.3.2</w:t>
      </w:r>
      <w:r>
        <w:tab/>
        <w:t xml:space="preserve">National agreements </w:t>
      </w:r>
    </w:p>
    <w:p w14:paraId="369900DA" w14:textId="77777777" w:rsidR="00B131AF" w:rsidRPr="00E80F43" w:rsidRDefault="00B131AF" w:rsidP="00B131AF">
      <w:r w:rsidRPr="00E80F43">
        <w:t xml:space="preserve">The ACT is a signatory to the </w:t>
      </w:r>
      <w:r w:rsidR="009E7A13" w:rsidRPr="009E7A13">
        <w:t>Murray–Darling Basin Agreement</w:t>
      </w:r>
      <w:r w:rsidRPr="00E80F43">
        <w:t>, an intergovernmental agreement between Basin jurisdictions.</w:t>
      </w:r>
      <w:r w:rsidR="00DC674F">
        <w:t xml:space="preserve"> </w:t>
      </w:r>
      <w:r w:rsidRPr="00E80F43">
        <w:t xml:space="preserve">The </w:t>
      </w:r>
      <w:r>
        <w:t>a</w:t>
      </w:r>
      <w:r w:rsidRPr="00E80F43">
        <w:t>greement, among oth</w:t>
      </w:r>
      <w:r>
        <w:t xml:space="preserve">er things, sets a long-term cap – or upper limit – </w:t>
      </w:r>
      <w:r w:rsidRPr="00E80F43">
        <w:t>on surface water diversions</w:t>
      </w:r>
      <w:r>
        <w:t>.</w:t>
      </w:r>
      <w:r w:rsidR="00DC674F">
        <w:t xml:space="preserve"> </w:t>
      </w:r>
      <w:r>
        <w:t xml:space="preserve">This </w:t>
      </w:r>
      <w:r w:rsidRPr="00203866">
        <w:t>allows the ACT to take out of the ACT watercourses (dams and rivers) a long-term average of 40</w:t>
      </w:r>
      <w:r>
        <w:t>.5</w:t>
      </w:r>
      <w:r w:rsidRPr="00203866">
        <w:t xml:space="preserve"> </w:t>
      </w:r>
      <w:r w:rsidR="00F52DAB">
        <w:t>G</w:t>
      </w:r>
      <w:r w:rsidRPr="00203866">
        <w:t>L net per year for consumptive u</w:t>
      </w:r>
      <w:r>
        <w:t>se.</w:t>
      </w:r>
      <w:r w:rsidR="00DC674F">
        <w:t xml:space="preserve"> </w:t>
      </w:r>
      <w:r>
        <w:t xml:space="preserve">The net </w:t>
      </w:r>
      <w:r w:rsidR="00C718E9">
        <w:t>use</w:t>
      </w:r>
      <w:r>
        <w:rPr>
          <w:rStyle w:val="FootnoteReference"/>
        </w:rPr>
        <w:footnoteReference w:id="22"/>
      </w:r>
      <w:r>
        <w:t xml:space="preserve"> in the ACT has fallen significantly in recent years to below or around 20 </w:t>
      </w:r>
      <w:r w:rsidR="00F52DAB">
        <w:t>G</w:t>
      </w:r>
      <w:r>
        <w:t xml:space="preserve">L per year. </w:t>
      </w:r>
    </w:p>
    <w:p w14:paraId="26C26E42" w14:textId="77777777" w:rsidR="00B131AF" w:rsidRDefault="00B131AF" w:rsidP="00B131AF">
      <w:r>
        <w:t xml:space="preserve">The </w:t>
      </w:r>
      <w:r w:rsidR="009E7A13" w:rsidRPr="009E7A13">
        <w:t>2004 National Water Initiative</w:t>
      </w:r>
      <w:r w:rsidRPr="005E559E">
        <w:t xml:space="preserve"> </w:t>
      </w:r>
      <w:r>
        <w:t xml:space="preserve">commits the ACT Government to a number of best practice water pricing and institutional arrangements for water infrastructure and water resources. </w:t>
      </w:r>
    </w:p>
    <w:p w14:paraId="0C0CA343" w14:textId="77777777" w:rsidR="00B131AF" w:rsidRDefault="00B131AF" w:rsidP="00B131AF">
      <w:r w:rsidRPr="0022149B">
        <w:t>In 2010, a set of N</w:t>
      </w:r>
      <w:r>
        <w:t xml:space="preserve">ational </w:t>
      </w:r>
      <w:r w:rsidRPr="0022149B">
        <w:t>W</w:t>
      </w:r>
      <w:r>
        <w:t xml:space="preserve">ater </w:t>
      </w:r>
      <w:r w:rsidRPr="0022149B">
        <w:t>I</w:t>
      </w:r>
      <w:r>
        <w:t>nitiative</w:t>
      </w:r>
      <w:r w:rsidRPr="0022149B">
        <w:t xml:space="preserve"> pricing principles, agreed by all Australian governments and</w:t>
      </w:r>
      <w:r>
        <w:t xml:space="preserve"> endorsed by the </w:t>
      </w:r>
      <w:r w:rsidRPr="00AC1553">
        <w:t>Natural Resource Management Ministerial Council</w:t>
      </w:r>
      <w:r>
        <w:t xml:space="preserve">, was developed </w:t>
      </w:r>
      <w:r w:rsidRPr="00101524">
        <w:t>as the basis for setting water</w:t>
      </w:r>
      <w:r>
        <w:t xml:space="preserve"> </w:t>
      </w:r>
      <w:r w:rsidRPr="00101524">
        <w:t xml:space="preserve">prices in </w:t>
      </w:r>
      <w:r>
        <w:t xml:space="preserve">all </w:t>
      </w:r>
      <w:r w:rsidRPr="00101524">
        <w:t>jurisdictions</w:t>
      </w:r>
      <w:r w:rsidR="004466BC">
        <w:t xml:space="preserve"> (see Appendix 2)</w:t>
      </w:r>
      <w:r w:rsidRPr="00101524">
        <w:t>.</w:t>
      </w:r>
      <w:r w:rsidR="00DC674F">
        <w:t xml:space="preserve"> </w:t>
      </w:r>
      <w:r>
        <w:t>The price-setting principles cover various aspects of economically efficient prices</w:t>
      </w:r>
      <w:r w:rsidR="005E559E">
        <w:t>,</w:t>
      </w:r>
      <w:r>
        <w:t xml:space="preserve"> including application of two-part tariffs unless demonstrated </w:t>
      </w:r>
      <w:proofErr w:type="gramStart"/>
      <w:r>
        <w:t xml:space="preserve">to not </w:t>
      </w:r>
      <w:r w:rsidR="003A397B">
        <w:t>be</w:t>
      </w:r>
      <w:proofErr w:type="gramEnd"/>
      <w:r w:rsidR="003A397B">
        <w:t xml:space="preserve"> </w:t>
      </w:r>
      <w:r>
        <w:t>cost-effective</w:t>
      </w:r>
      <w:r w:rsidR="00C62196">
        <w:t>.</w:t>
      </w:r>
    </w:p>
    <w:p w14:paraId="5BDFE72D" w14:textId="77777777" w:rsidR="00B131AF" w:rsidRDefault="00B131AF" w:rsidP="00B131AF">
      <w:pPr>
        <w:sectPr w:rsidR="00B131AF" w:rsidSect="00B131AF">
          <w:headerReference w:type="default" r:id="rId44"/>
          <w:endnotePr>
            <w:numFmt w:val="decimal"/>
          </w:endnotePr>
          <w:type w:val="continuous"/>
          <w:pgSz w:w="11907" w:h="16840" w:code="9"/>
          <w:pgMar w:top="2268" w:right="2098" w:bottom="1701" w:left="2098" w:header="578" w:footer="578" w:gutter="0"/>
          <w:cols w:space="720"/>
          <w:docGrid w:linePitch="299"/>
        </w:sectPr>
      </w:pPr>
      <w:r>
        <w:t>.</w:t>
      </w:r>
    </w:p>
    <w:p w14:paraId="37B49F23" w14:textId="77777777" w:rsidR="00CA7AFB" w:rsidRDefault="00CA7AFB" w:rsidP="00CA7AFB">
      <w:pPr>
        <w:pStyle w:val="Heading1"/>
        <w:sectPr w:rsidR="00CA7AFB" w:rsidSect="00B131AF">
          <w:headerReference w:type="even" r:id="rId45"/>
          <w:headerReference w:type="default" r:id="rId46"/>
          <w:endnotePr>
            <w:numFmt w:val="decimal"/>
          </w:endnotePr>
          <w:type w:val="oddPage"/>
          <w:pgSz w:w="11907" w:h="16840" w:code="9"/>
          <w:pgMar w:top="2268" w:right="2098" w:bottom="1701" w:left="2098" w:header="578" w:footer="578" w:gutter="0"/>
          <w:cols w:space="720"/>
          <w:docGrid w:linePitch="299"/>
        </w:sectPr>
      </w:pPr>
      <w:bookmarkStart w:id="135" w:name="_Ref468431341"/>
      <w:bookmarkStart w:id="136" w:name="_Ref468431404"/>
      <w:bookmarkStart w:id="137" w:name="_Ref468442824"/>
      <w:bookmarkStart w:id="138" w:name="_Ref468442845"/>
      <w:bookmarkStart w:id="139" w:name="_Toc476753972"/>
      <w:bookmarkStart w:id="140" w:name="_Ref477266814"/>
      <w:bookmarkStart w:id="141" w:name="_Ref477266824"/>
      <w:bookmarkStart w:id="142" w:name="_Ref477266898"/>
      <w:bookmarkStart w:id="143" w:name="_Ref477266906"/>
      <w:bookmarkStart w:id="144" w:name="_Toc478465449"/>
      <w:r w:rsidRPr="00CA7AFB">
        <w:lastRenderedPageBreak/>
        <w:t>Pricing principle</w:t>
      </w:r>
      <w:bookmarkStart w:id="145" w:name="_Toc420064870"/>
      <w:bookmarkStart w:id="146" w:name="_Toc468175206"/>
      <w:bookmarkEnd w:id="135"/>
      <w:bookmarkEnd w:id="136"/>
      <w:bookmarkEnd w:id="137"/>
      <w:bookmarkEnd w:id="138"/>
      <w:r w:rsidRPr="00CA7AFB">
        <w:t>s</w:t>
      </w:r>
      <w:bookmarkEnd w:id="139"/>
      <w:bookmarkEnd w:id="140"/>
      <w:bookmarkEnd w:id="141"/>
      <w:bookmarkEnd w:id="142"/>
      <w:bookmarkEnd w:id="143"/>
      <w:bookmarkEnd w:id="144"/>
      <w:bookmarkEnd w:id="145"/>
      <w:bookmarkEnd w:id="146"/>
    </w:p>
    <w:p w14:paraId="2749C9DF" w14:textId="77777777" w:rsidR="00CA7AFB" w:rsidRDefault="00CA7AFB" w:rsidP="00CA7AFB">
      <w:pPr>
        <w:pStyle w:val="Heading2a"/>
      </w:pPr>
      <w:bookmarkStart w:id="147" w:name="_Toc476753973"/>
      <w:bookmarkStart w:id="148" w:name="_Toc478465450"/>
      <w:r>
        <w:t>3.1</w:t>
      </w:r>
      <w:r>
        <w:tab/>
        <w:t>The need for pricing principles</w:t>
      </w:r>
      <w:bookmarkEnd w:id="147"/>
      <w:bookmarkEnd w:id="148"/>
    </w:p>
    <w:p w14:paraId="54D246C7" w14:textId="77777777" w:rsidR="00CA7AFB" w:rsidRDefault="00CA7AFB" w:rsidP="00CA7AFB">
      <w:r>
        <w:t>To determine whether and how to change the tariff structure</w:t>
      </w:r>
      <w:r w:rsidR="00151E21">
        <w:t>s</w:t>
      </w:r>
      <w:r>
        <w:t xml:space="preserve"> for water and sewerage services in the ACT, it is helpful to establish key pricing principles that take account of both legislative and government policy objectives, as well as generally accepted economic and regulatory governance principles.</w:t>
      </w:r>
      <w:r w:rsidR="00DC674F">
        <w:t xml:space="preserve"> </w:t>
      </w:r>
      <w:r>
        <w:t>The principles provide the basis for the assessment framework that the Commission is using to develop its final recommendations for the tariff structure</w:t>
      </w:r>
      <w:r w:rsidR="00151E21">
        <w:t>s</w:t>
      </w:r>
      <w:r>
        <w:t>.</w:t>
      </w:r>
      <w:r w:rsidR="00DC674F">
        <w:t xml:space="preserve"> </w:t>
      </w:r>
    </w:p>
    <w:p w14:paraId="21F2272C" w14:textId="77777777" w:rsidR="00CA7AFB" w:rsidRDefault="00CA7AFB" w:rsidP="00CA7AFB">
      <w:r>
        <w:t xml:space="preserve">The principles are also consistent with the approach that the Commission intends to apply in its investigation in relation to the price direction for Icon Water for the </w:t>
      </w:r>
      <w:r w:rsidR="003A397B">
        <w:t xml:space="preserve">next </w:t>
      </w:r>
      <w:r>
        <w:t>regulatory period.</w:t>
      </w:r>
    </w:p>
    <w:p w14:paraId="61D58585" w14:textId="6510EFF0" w:rsidR="00CA7AFB" w:rsidRDefault="00CA7AFB" w:rsidP="00CA7AFB">
      <w:r>
        <w:t>The key price</w:t>
      </w:r>
      <w:r w:rsidR="002D3316">
        <w:t>-</w:t>
      </w:r>
      <w:r>
        <w:t xml:space="preserve">setting principles that the Commission considers relevant </w:t>
      </w:r>
      <w:r w:rsidR="003A397B">
        <w:t xml:space="preserve">to </w:t>
      </w:r>
      <w:r>
        <w:t>an assessment of tariff structure</w:t>
      </w:r>
      <w:r w:rsidR="00151E21">
        <w:t>s</w:t>
      </w:r>
      <w:r>
        <w:t xml:space="preserve"> are summarised in </w:t>
      </w:r>
      <w:r w:rsidR="00B26A79">
        <w:fldChar w:fldCharType="begin"/>
      </w:r>
      <w:r w:rsidR="00B26A79">
        <w:instrText xml:space="preserve"> REF _Ref478471637 \h </w:instrText>
      </w:r>
      <w:r w:rsidR="00B26A79">
        <w:fldChar w:fldCharType="separate"/>
      </w:r>
      <w:r w:rsidR="00B26A79">
        <w:t xml:space="preserve">Table </w:t>
      </w:r>
      <w:r w:rsidR="00B26A79">
        <w:rPr>
          <w:noProof/>
        </w:rPr>
        <w:t>3</w:t>
      </w:r>
      <w:r w:rsidR="00B26A79">
        <w:t>.</w:t>
      </w:r>
      <w:r w:rsidR="00B26A79">
        <w:rPr>
          <w:noProof/>
        </w:rPr>
        <w:t>1</w:t>
      </w:r>
      <w:r w:rsidR="00B26A79">
        <w:fldChar w:fldCharType="end"/>
      </w:r>
      <w:r>
        <w:t>.</w:t>
      </w:r>
      <w:r w:rsidR="00DC674F">
        <w:t xml:space="preserve"> </w:t>
      </w:r>
      <w:r>
        <w:t>The principles reflect the Commission</w:t>
      </w:r>
      <w:r w:rsidR="00DC674F">
        <w:t>’</w:t>
      </w:r>
      <w:r>
        <w:t xml:space="preserve">s interpretation of the legislative objectives, government policies and national agreements that prescribe and guide its decisions </w:t>
      </w:r>
      <w:r w:rsidR="003A397B">
        <w:t>on</w:t>
      </w:r>
      <w:r>
        <w:t xml:space="preserve"> water and sewerage</w:t>
      </w:r>
      <w:r w:rsidR="00C718E9">
        <w:t xml:space="preserve"> service</w:t>
      </w:r>
      <w:r>
        <w:t xml:space="preserve"> prices.</w:t>
      </w:r>
      <w:r w:rsidR="00DC674F">
        <w:t xml:space="preserve"> </w:t>
      </w:r>
    </w:p>
    <w:p w14:paraId="5770248B" w14:textId="7F893345" w:rsidR="00CA7AFB" w:rsidRDefault="00CA7AFB" w:rsidP="00CA7AFB">
      <w:r>
        <w:t xml:space="preserve">The Commission presented proposed principles in the </w:t>
      </w:r>
      <w:r w:rsidR="00151E21">
        <w:t>i</w:t>
      </w:r>
      <w:r>
        <w:t xml:space="preserve">ssues </w:t>
      </w:r>
      <w:r w:rsidR="00151E21">
        <w:t>p</w:t>
      </w:r>
      <w:r>
        <w:t>aper released in November 2015</w:t>
      </w:r>
      <w:r w:rsidR="00151E21">
        <w:t xml:space="preserve"> that were broadly consistent with those shown in </w:t>
      </w:r>
      <w:r w:rsidR="00B26A79">
        <w:fldChar w:fldCharType="begin"/>
      </w:r>
      <w:r w:rsidR="00B26A79">
        <w:instrText xml:space="preserve"> REF _Ref478471637 \h </w:instrText>
      </w:r>
      <w:r w:rsidR="00B26A79">
        <w:fldChar w:fldCharType="separate"/>
      </w:r>
      <w:r w:rsidR="00B26A79">
        <w:t xml:space="preserve">Table </w:t>
      </w:r>
      <w:r w:rsidR="00B26A79">
        <w:rPr>
          <w:noProof/>
        </w:rPr>
        <w:t>3</w:t>
      </w:r>
      <w:r w:rsidR="00B26A79">
        <w:t>.</w:t>
      </w:r>
      <w:r w:rsidR="00B26A79">
        <w:rPr>
          <w:noProof/>
        </w:rPr>
        <w:t>1</w:t>
      </w:r>
      <w:r w:rsidR="00B26A79">
        <w:fldChar w:fldCharType="end"/>
      </w:r>
      <w:r>
        <w:t>.</w:t>
      </w:r>
      <w:r w:rsidR="00DC674F">
        <w:t xml:space="preserve"> </w:t>
      </w:r>
      <w:r>
        <w:t xml:space="preserve">The principles </w:t>
      </w:r>
      <w:proofErr w:type="gramStart"/>
      <w:r>
        <w:t>were amended</w:t>
      </w:r>
      <w:proofErr w:type="gramEnd"/>
      <w:r>
        <w:t xml:space="preserve"> in the </w:t>
      </w:r>
      <w:r w:rsidR="00151E21">
        <w:t>d</w:t>
      </w:r>
      <w:r>
        <w:t xml:space="preserve">raft </w:t>
      </w:r>
      <w:r w:rsidR="00151E21">
        <w:t>r</w:t>
      </w:r>
      <w:r>
        <w:t>eport released in September 2016</w:t>
      </w:r>
      <w:r w:rsidRPr="003A397B">
        <w:t>.</w:t>
      </w:r>
      <w:r w:rsidR="00DC674F" w:rsidRPr="003A397B">
        <w:t xml:space="preserve"> </w:t>
      </w:r>
      <w:r w:rsidR="003A397B">
        <w:t xml:space="preserve">Further changes </w:t>
      </w:r>
      <w:proofErr w:type="gramStart"/>
      <w:r w:rsidR="003A397B">
        <w:t>were made</w:t>
      </w:r>
      <w:proofErr w:type="gramEnd"/>
      <w:r w:rsidR="003A397B">
        <w:t xml:space="preserve"> to the principles</w:t>
      </w:r>
      <w:r w:rsidR="003A397B" w:rsidRPr="003A397B">
        <w:t xml:space="preserve"> </w:t>
      </w:r>
      <w:r w:rsidR="00EA1F09">
        <w:t>in response to</w:t>
      </w:r>
      <w:r w:rsidR="00EA1F09" w:rsidRPr="003A397B">
        <w:t xml:space="preserve"> </w:t>
      </w:r>
      <w:r w:rsidRPr="003A397B">
        <w:t>submissions expressing concerns about the need for more clarity in</w:t>
      </w:r>
      <w:r>
        <w:t xml:space="preserve"> how the Commission </w:t>
      </w:r>
      <w:r w:rsidR="00EA1F09">
        <w:t xml:space="preserve">would </w:t>
      </w:r>
      <w:r>
        <w:t>address and balance economic, environmental and social issues.</w:t>
      </w:r>
      <w:r w:rsidR="00DC674F">
        <w:t xml:space="preserve"> </w:t>
      </w:r>
      <w:r>
        <w:t xml:space="preserve">The </w:t>
      </w:r>
      <w:r w:rsidR="00EA1F09">
        <w:t>revised</w:t>
      </w:r>
      <w:r>
        <w:t xml:space="preserve"> principles highlight how social and environmental concerns from any rebalancing of the tariffs </w:t>
      </w:r>
      <w:proofErr w:type="gramStart"/>
      <w:r>
        <w:t>would be addressed</w:t>
      </w:r>
      <w:proofErr w:type="gramEnd"/>
      <w:r>
        <w:t xml:space="preserve">. </w:t>
      </w:r>
    </w:p>
    <w:p w14:paraId="0436D18D" w14:textId="77777777" w:rsidR="00CA7AFB" w:rsidRDefault="00CA7AFB" w:rsidP="00CA7AFB">
      <w:r>
        <w:t>A problem the Commission and other regulators face is in setting priorities.</w:t>
      </w:r>
      <w:r w:rsidR="00DC674F">
        <w:t xml:space="preserve"> </w:t>
      </w:r>
      <w:r>
        <w:t>There are multiple and sometimes potentially conflicting objectives and limited mechanisms for implementing regulatory objectives that are under the Commission</w:t>
      </w:r>
      <w:r w:rsidR="00DC674F">
        <w:t>’</w:t>
      </w:r>
      <w:r>
        <w:t>s authority.</w:t>
      </w:r>
      <w:r w:rsidR="00DC674F">
        <w:t xml:space="preserve"> </w:t>
      </w:r>
      <w:r>
        <w:t>In this respect</w:t>
      </w:r>
      <w:r w:rsidR="006A6E1E">
        <w:t>,</w:t>
      </w:r>
      <w:r>
        <w:t xml:space="preserve"> it </w:t>
      </w:r>
      <w:proofErr w:type="gramStart"/>
      <w:r>
        <w:t>is noted</w:t>
      </w:r>
      <w:proofErr w:type="gramEnd"/>
      <w:r>
        <w:t xml:space="preserve"> that there is a long</w:t>
      </w:r>
      <w:r w:rsidR="00E176D6">
        <w:t>-</w:t>
      </w:r>
      <w:r>
        <w:t>established economic and public policy principle that if one wants to be effective in achieving multiple, potentially conflicting objectives there needs to be at least as many separate and well-designed mechanisms for implementing policies (i.e. instruments, tools or actions to implement specific policies) as there are objectives.</w:t>
      </w:r>
      <w:r w:rsidR="00DC674F">
        <w:t xml:space="preserve"> </w:t>
      </w:r>
      <w:r w:rsidR="007953D9">
        <w:t>Furthermore,</w:t>
      </w:r>
      <w:r>
        <w:t xml:space="preserve"> a single policy mechanism needs to </w:t>
      </w:r>
      <w:proofErr w:type="gramStart"/>
      <w:r>
        <w:t>be assigned</w:t>
      </w:r>
      <w:proofErr w:type="gramEnd"/>
      <w:r>
        <w:t xml:space="preserve"> exclusively to each specific objective.</w:t>
      </w:r>
      <w:r w:rsidR="00DC674F">
        <w:t xml:space="preserve"> </w:t>
      </w:r>
    </w:p>
    <w:p w14:paraId="4611B4A9" w14:textId="48C97624" w:rsidR="00CA7AFB" w:rsidRDefault="001D26B8" w:rsidP="00E176D6">
      <w:pPr>
        <w:pStyle w:val="TableName0"/>
      </w:pPr>
      <w:bookmarkStart w:id="149" w:name="_Ref476559056"/>
      <w:bookmarkStart w:id="150" w:name="_Ref478471637"/>
      <w:bookmarkStart w:id="151" w:name="_Toc476559521"/>
      <w:bookmarkStart w:id="152" w:name="_Toc478480706"/>
      <w:r>
        <w:lastRenderedPageBreak/>
        <w:t xml:space="preserve">Table </w:t>
      </w:r>
      <w:r w:rsidR="00702C16">
        <w:fldChar w:fldCharType="begin"/>
      </w:r>
      <w:r w:rsidR="00702C16">
        <w:instrText xml:space="preserve"> STYLEREF 1 \s </w:instrText>
      </w:r>
      <w:r w:rsidR="00702C16">
        <w:fldChar w:fldCharType="separate"/>
      </w:r>
      <w:r w:rsidR="00702C16">
        <w:rPr>
          <w:noProof/>
        </w:rPr>
        <w:t>3</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149"/>
      <w:bookmarkEnd w:id="150"/>
      <w:r w:rsidR="00CA7AFB">
        <w:tab/>
        <w:t>Regulatory objectives and pricing principles for the water and sewerage</w:t>
      </w:r>
      <w:r w:rsidR="00980AB5">
        <w:t xml:space="preserve"> services</w:t>
      </w:r>
      <w:r w:rsidR="00CA7AFB">
        <w:t xml:space="preserve"> tariffs</w:t>
      </w:r>
      <w:bookmarkEnd w:id="151"/>
      <w:bookmarkEnd w:id="152"/>
    </w:p>
    <w:tbl>
      <w:tblPr>
        <w:tblW w:w="5000"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295"/>
        <w:gridCol w:w="1817"/>
        <w:gridCol w:w="4599"/>
      </w:tblGrid>
      <w:tr w:rsidR="00E176D6" w:rsidRPr="00144F8C" w14:paraId="505014A1" w14:textId="77777777" w:rsidTr="006A6E1E">
        <w:trPr>
          <w:cantSplit/>
          <w:trHeight w:val="385"/>
        </w:trPr>
        <w:tc>
          <w:tcPr>
            <w:tcW w:w="840" w:type="pct"/>
            <w:tcBorders>
              <w:top w:val="single" w:sz="12" w:space="0" w:color="44546A"/>
              <w:left w:val="nil"/>
              <w:bottom w:val="single" w:sz="8" w:space="0" w:color="44546A"/>
              <w:right w:val="nil"/>
            </w:tcBorders>
            <w:shd w:val="clear" w:color="auto" w:fill="DEEAF6"/>
            <w:vAlign w:val="bottom"/>
          </w:tcPr>
          <w:p w14:paraId="304C9834" w14:textId="77777777" w:rsidR="00E176D6" w:rsidRPr="00B40AA3" w:rsidRDefault="00E176D6" w:rsidP="00E176D6">
            <w:pPr>
              <w:pStyle w:val="TableHeadingLeft"/>
              <w:keepNext/>
            </w:pPr>
            <w:r>
              <w:t>Category</w:t>
            </w:r>
          </w:p>
        </w:tc>
        <w:tc>
          <w:tcPr>
            <w:tcW w:w="1178" w:type="pct"/>
            <w:tcBorders>
              <w:top w:val="single" w:sz="12" w:space="0" w:color="44546A"/>
              <w:left w:val="nil"/>
              <w:bottom w:val="single" w:sz="8" w:space="0" w:color="44546A"/>
              <w:right w:val="nil"/>
            </w:tcBorders>
            <w:shd w:val="clear" w:color="auto" w:fill="DEEAF6"/>
            <w:vAlign w:val="bottom"/>
          </w:tcPr>
          <w:p w14:paraId="0577D072" w14:textId="77777777" w:rsidR="00E176D6" w:rsidRPr="00B40AA3" w:rsidRDefault="00E176D6" w:rsidP="00E176D6">
            <w:pPr>
              <w:pStyle w:val="TableHeadingLeft"/>
              <w:keepNext/>
            </w:pPr>
            <w:r>
              <w:t>Aspect</w:t>
            </w:r>
          </w:p>
        </w:tc>
        <w:tc>
          <w:tcPr>
            <w:tcW w:w="2982" w:type="pct"/>
            <w:tcBorders>
              <w:top w:val="single" w:sz="12" w:space="0" w:color="44546A"/>
              <w:left w:val="nil"/>
              <w:bottom w:val="single" w:sz="8" w:space="0" w:color="44546A"/>
              <w:right w:val="nil"/>
            </w:tcBorders>
            <w:shd w:val="clear" w:color="auto" w:fill="DEEAF6"/>
            <w:vAlign w:val="bottom"/>
          </w:tcPr>
          <w:p w14:paraId="608458D0" w14:textId="77777777" w:rsidR="00E176D6" w:rsidRPr="00B40AA3" w:rsidRDefault="00E176D6" w:rsidP="00E176D6">
            <w:pPr>
              <w:pStyle w:val="TableHeadingLeft"/>
              <w:keepNext/>
            </w:pPr>
            <w:r w:rsidRPr="00EA1F09">
              <w:t>Detail</w:t>
            </w:r>
          </w:p>
        </w:tc>
      </w:tr>
      <w:tr w:rsidR="00E176D6" w:rsidRPr="00144F8C" w14:paraId="372E2605" w14:textId="77777777" w:rsidTr="006A6E1E">
        <w:trPr>
          <w:cantSplit/>
          <w:trHeight w:val="2199"/>
        </w:trPr>
        <w:tc>
          <w:tcPr>
            <w:tcW w:w="840" w:type="pct"/>
            <w:tcBorders>
              <w:top w:val="nil"/>
              <w:left w:val="nil"/>
              <w:bottom w:val="nil"/>
              <w:right w:val="nil"/>
            </w:tcBorders>
            <w:shd w:val="clear" w:color="auto" w:fill="F2F2F2"/>
          </w:tcPr>
          <w:p w14:paraId="2B344200" w14:textId="77777777" w:rsidR="00E176D6" w:rsidRPr="00A658D0" w:rsidRDefault="00E176D6" w:rsidP="003A7D85">
            <w:pPr>
              <w:pStyle w:val="TableTextLeft"/>
              <w:rPr>
                <w:b/>
              </w:rPr>
            </w:pPr>
            <w:r w:rsidRPr="00A658D0">
              <w:rPr>
                <w:b/>
              </w:rPr>
              <w:t>Objective</w:t>
            </w:r>
          </w:p>
        </w:tc>
        <w:tc>
          <w:tcPr>
            <w:tcW w:w="1178" w:type="pct"/>
            <w:tcBorders>
              <w:top w:val="nil"/>
              <w:left w:val="nil"/>
              <w:bottom w:val="nil"/>
              <w:right w:val="nil"/>
            </w:tcBorders>
            <w:shd w:val="clear" w:color="auto" w:fill="F2F2F2"/>
          </w:tcPr>
          <w:p w14:paraId="0ED4C7DB" w14:textId="77777777" w:rsidR="00E176D6" w:rsidRDefault="00E176D6" w:rsidP="003A7D85">
            <w:pPr>
              <w:pStyle w:val="TableTextLeft"/>
              <w:rPr>
                <w:b/>
              </w:rPr>
            </w:pPr>
            <w:r w:rsidRPr="00D370E6">
              <w:rPr>
                <w:b/>
              </w:rPr>
              <w:t>Overarching</w:t>
            </w:r>
            <w:r>
              <w:rPr>
                <w:b/>
              </w:rPr>
              <w:br/>
            </w:r>
            <w:r w:rsidR="006A6E1E">
              <w:rPr>
                <w:b/>
              </w:rPr>
              <w:br/>
            </w:r>
            <w:r>
              <w:rPr>
                <w:b/>
              </w:rPr>
              <w:br/>
            </w:r>
          </w:p>
          <w:p w14:paraId="1403C579" w14:textId="77777777" w:rsidR="00E176D6" w:rsidRPr="00D370E6" w:rsidRDefault="00E176D6" w:rsidP="003A7D85">
            <w:pPr>
              <w:pStyle w:val="TableTextLeft"/>
              <w:rPr>
                <w:b/>
              </w:rPr>
            </w:pPr>
            <w:r w:rsidRPr="00D370E6">
              <w:rPr>
                <w:b/>
              </w:rPr>
              <w:t>Interpretation</w:t>
            </w:r>
          </w:p>
        </w:tc>
        <w:tc>
          <w:tcPr>
            <w:tcW w:w="2982" w:type="pct"/>
            <w:tcBorders>
              <w:top w:val="nil"/>
              <w:left w:val="nil"/>
              <w:bottom w:val="nil"/>
              <w:right w:val="nil"/>
            </w:tcBorders>
            <w:shd w:val="clear" w:color="auto" w:fill="F2F2F2"/>
          </w:tcPr>
          <w:p w14:paraId="6FBB6D2C" w14:textId="77777777" w:rsidR="00E176D6" w:rsidRDefault="00E176D6" w:rsidP="003A7D85">
            <w:pPr>
              <w:pStyle w:val="TableTextLeft"/>
            </w:pPr>
            <w:r w:rsidRPr="00A658D0">
              <w:t>To promote efficient investment in, and efficient operation and use of</w:t>
            </w:r>
            <w:r>
              <w:t>,</w:t>
            </w:r>
            <w:r w:rsidRPr="00A658D0">
              <w:t xml:space="preserve"> regulated services for the long</w:t>
            </w:r>
            <w:r>
              <w:t>-</w:t>
            </w:r>
            <w:r w:rsidRPr="00A658D0">
              <w:t>term interests of consumers in relation to the price, quality, safety, reliability and security of the service.</w:t>
            </w:r>
          </w:p>
          <w:p w14:paraId="0458365C" w14:textId="77777777" w:rsidR="00E176D6" w:rsidRDefault="00E176D6" w:rsidP="003A7D85">
            <w:pPr>
              <w:pStyle w:val="TableTextLeft"/>
            </w:pPr>
            <w:r>
              <w:t xml:space="preserve">The various aspects of economic efficiency are given emphasis, but with the ultimate objective being the long-term interests of consumers. Economic efficiency when properly defined encompasses environmental objectives. Consumer interests must take account of equity and other social impacts as required by the ICRC Act. </w:t>
            </w:r>
          </w:p>
          <w:p w14:paraId="472A2730" w14:textId="77777777" w:rsidR="00E176D6" w:rsidRPr="00EC68F3" w:rsidRDefault="00E176D6" w:rsidP="003A7D85">
            <w:pPr>
              <w:pStyle w:val="TableTextLeft"/>
            </w:pPr>
            <w:r>
              <w:t xml:space="preserve">Economic efficiency considerations related to pricing are a starting point but need to </w:t>
            </w:r>
            <w:proofErr w:type="gramStart"/>
            <w:r>
              <w:t>be balanced</w:t>
            </w:r>
            <w:proofErr w:type="gramEnd"/>
            <w:r>
              <w:t xml:space="preserve"> with environmental and social considerations. </w:t>
            </w:r>
          </w:p>
        </w:tc>
      </w:tr>
      <w:tr w:rsidR="00E176D6" w:rsidRPr="00144F8C" w14:paraId="2CF331F2" w14:textId="77777777" w:rsidTr="006A6E1E">
        <w:trPr>
          <w:cantSplit/>
          <w:trHeight w:val="1001"/>
        </w:trPr>
        <w:tc>
          <w:tcPr>
            <w:tcW w:w="840" w:type="pct"/>
            <w:tcBorders>
              <w:top w:val="nil"/>
              <w:left w:val="nil"/>
              <w:bottom w:val="nil"/>
              <w:right w:val="nil"/>
            </w:tcBorders>
            <w:shd w:val="clear" w:color="auto" w:fill="D0CECE"/>
          </w:tcPr>
          <w:p w14:paraId="00754F88" w14:textId="21EE8CC9" w:rsidR="00E176D6" w:rsidRPr="000B08E5" w:rsidRDefault="00E176D6" w:rsidP="00E176D6">
            <w:pPr>
              <w:pStyle w:val="TableTextLeft"/>
              <w:tabs>
                <w:tab w:val="left" w:pos="993"/>
              </w:tabs>
              <w:rPr>
                <w:b/>
              </w:rPr>
            </w:pPr>
            <w:r>
              <w:rPr>
                <w:b/>
              </w:rPr>
              <w:t>Pricing</w:t>
            </w:r>
            <w:r w:rsidR="0044114B">
              <w:rPr>
                <w:b/>
              </w:rPr>
              <w:t xml:space="preserve">           1 principle</w:t>
            </w:r>
            <w:r w:rsidR="0044114B">
              <w:rPr>
                <w:b/>
              </w:rPr>
              <w:tab/>
            </w:r>
          </w:p>
        </w:tc>
        <w:tc>
          <w:tcPr>
            <w:tcW w:w="1178" w:type="pct"/>
            <w:tcBorders>
              <w:top w:val="nil"/>
              <w:left w:val="nil"/>
              <w:bottom w:val="nil"/>
              <w:right w:val="nil"/>
            </w:tcBorders>
            <w:shd w:val="clear" w:color="auto" w:fill="D0CECE"/>
          </w:tcPr>
          <w:p w14:paraId="2F78D359" w14:textId="77777777" w:rsidR="00E176D6" w:rsidRPr="001E56D3" w:rsidRDefault="00E176D6" w:rsidP="003A7D85">
            <w:pPr>
              <w:pStyle w:val="TableTextLeft"/>
              <w:rPr>
                <w:b/>
              </w:rPr>
            </w:pPr>
            <w:r w:rsidRPr="001E56D3">
              <w:rPr>
                <w:b/>
              </w:rPr>
              <w:t>Economic efficiency</w:t>
            </w:r>
            <w:r>
              <w:rPr>
                <w:b/>
              </w:rPr>
              <w:t xml:space="preserve"> in use</w:t>
            </w:r>
          </w:p>
          <w:p w14:paraId="4950C6FD" w14:textId="77777777" w:rsidR="00E176D6" w:rsidRPr="0051604C" w:rsidRDefault="00E176D6" w:rsidP="003A7D85">
            <w:pPr>
              <w:pStyle w:val="TableTextLeft"/>
            </w:pPr>
          </w:p>
        </w:tc>
        <w:tc>
          <w:tcPr>
            <w:tcW w:w="2982" w:type="pct"/>
            <w:tcBorders>
              <w:top w:val="nil"/>
              <w:left w:val="nil"/>
              <w:bottom w:val="nil"/>
              <w:right w:val="nil"/>
            </w:tcBorders>
            <w:shd w:val="clear" w:color="auto" w:fill="D0CECE"/>
          </w:tcPr>
          <w:p w14:paraId="3AEEAC18" w14:textId="77777777" w:rsidR="00E176D6" w:rsidRDefault="00E176D6" w:rsidP="003A7D85">
            <w:pPr>
              <w:pStyle w:val="TableTextLeft"/>
            </w:pPr>
            <w:r w:rsidRPr="0051604C">
              <w:t>Tariff structures and prices should promote the economically efficient use of Icon Water</w:t>
            </w:r>
            <w:r>
              <w:t>’</w:t>
            </w:r>
            <w:r w:rsidRPr="0051604C">
              <w:t xml:space="preserve">s water and sewerage services infrastructure, and </w:t>
            </w:r>
            <w:proofErr w:type="gramStart"/>
            <w:r w:rsidRPr="0051604C">
              <w:t>should also</w:t>
            </w:r>
            <w:proofErr w:type="gramEnd"/>
            <w:r w:rsidRPr="0051604C">
              <w:t xml:space="preserve"> encourage economically efficient use of the water resource</w:t>
            </w:r>
            <w:r>
              <w:t xml:space="preserve"> itself</w:t>
            </w:r>
            <w:r w:rsidRPr="0051604C">
              <w:t xml:space="preserve">. </w:t>
            </w:r>
          </w:p>
          <w:p w14:paraId="714CDE25" w14:textId="77777777" w:rsidR="00E176D6" w:rsidRPr="00B40AA3" w:rsidRDefault="00E176D6" w:rsidP="003A7D85">
            <w:pPr>
              <w:pStyle w:val="TableTextLeft"/>
            </w:pPr>
            <w:r>
              <w:t xml:space="preserve">An inappropriate tariff structure may also create incentives for uneconomic bypass where water supply </w:t>
            </w:r>
            <w:proofErr w:type="gramStart"/>
            <w:r>
              <w:t>is sourced</w:t>
            </w:r>
            <w:proofErr w:type="gramEnd"/>
            <w:r>
              <w:t xml:space="preserve"> from a higher cost alternative.</w:t>
            </w:r>
          </w:p>
        </w:tc>
      </w:tr>
      <w:tr w:rsidR="00E176D6" w:rsidRPr="00144F8C" w14:paraId="5E55F9C0" w14:textId="77777777" w:rsidTr="006A6E1E">
        <w:trPr>
          <w:cantSplit/>
          <w:trHeight w:val="1232"/>
        </w:trPr>
        <w:tc>
          <w:tcPr>
            <w:tcW w:w="840" w:type="pct"/>
            <w:tcBorders>
              <w:top w:val="nil"/>
              <w:left w:val="nil"/>
              <w:bottom w:val="nil"/>
              <w:right w:val="nil"/>
            </w:tcBorders>
            <w:shd w:val="clear" w:color="auto" w:fill="D0CECE"/>
          </w:tcPr>
          <w:p w14:paraId="08CFD82D" w14:textId="77777777" w:rsidR="00E176D6" w:rsidRPr="000B2173" w:rsidRDefault="00E176D6" w:rsidP="003A7D85">
            <w:pPr>
              <w:pStyle w:val="TableTextLeft"/>
              <w:jc w:val="right"/>
              <w:rPr>
                <w:b/>
              </w:rPr>
            </w:pPr>
            <w:r w:rsidRPr="000B2173">
              <w:rPr>
                <w:b/>
              </w:rPr>
              <w:t>2</w:t>
            </w:r>
          </w:p>
        </w:tc>
        <w:tc>
          <w:tcPr>
            <w:tcW w:w="1178" w:type="pct"/>
            <w:tcBorders>
              <w:top w:val="nil"/>
              <w:left w:val="nil"/>
              <w:bottom w:val="nil"/>
              <w:right w:val="nil"/>
            </w:tcBorders>
            <w:shd w:val="clear" w:color="auto" w:fill="D0CECE"/>
          </w:tcPr>
          <w:p w14:paraId="28A4DFDC" w14:textId="77777777" w:rsidR="00E176D6" w:rsidRPr="001E56D3" w:rsidRDefault="00E176D6" w:rsidP="003A7D85">
            <w:pPr>
              <w:pStyle w:val="TableTextLeft"/>
              <w:rPr>
                <w:b/>
              </w:rPr>
            </w:pPr>
            <w:r>
              <w:rPr>
                <w:b/>
              </w:rPr>
              <w:t>Economic efficiency for investment and operation</w:t>
            </w:r>
          </w:p>
        </w:tc>
        <w:tc>
          <w:tcPr>
            <w:tcW w:w="2982" w:type="pct"/>
            <w:tcBorders>
              <w:top w:val="nil"/>
              <w:left w:val="nil"/>
              <w:bottom w:val="nil"/>
              <w:right w:val="nil"/>
            </w:tcBorders>
            <w:shd w:val="clear" w:color="auto" w:fill="D0CECE"/>
          </w:tcPr>
          <w:p w14:paraId="582CC686" w14:textId="77777777" w:rsidR="00E176D6" w:rsidRDefault="00E176D6" w:rsidP="003A7D85">
            <w:pPr>
              <w:pStyle w:val="TableTextLeft"/>
            </w:pPr>
            <w:r>
              <w:t xml:space="preserve">Tariff structures should facilitate the efficient recovery of the prudent and efficient costs of investment and operation. The finance recovery aspect of this principle </w:t>
            </w:r>
            <w:proofErr w:type="gramStart"/>
            <w:r>
              <w:t>is often described</w:t>
            </w:r>
            <w:proofErr w:type="gramEnd"/>
            <w:r>
              <w:t xml:space="preserve"> as revenue adequacy or ensuing financial viability. </w:t>
            </w:r>
          </w:p>
          <w:p w14:paraId="48C8E715" w14:textId="54B13423" w:rsidR="00E176D6" w:rsidRPr="0051604C" w:rsidRDefault="00E176D6" w:rsidP="007563EE">
            <w:pPr>
              <w:pStyle w:val="TableTextLeft"/>
            </w:pPr>
            <w:r>
              <w:t>Costs also need to be efficient</w:t>
            </w:r>
            <w:r w:rsidR="00902B24">
              <w:t>,</w:t>
            </w:r>
            <w:r>
              <w:t xml:space="preserve"> which </w:t>
            </w:r>
            <w:proofErr w:type="gramStart"/>
            <w:r>
              <w:t>is primarily addressed</w:t>
            </w:r>
            <w:proofErr w:type="gramEnd"/>
            <w:r>
              <w:t xml:space="preserve"> by auditing and incentive</w:t>
            </w:r>
            <w:r w:rsidR="007D605C">
              <w:t xml:space="preserve"> </w:t>
            </w:r>
            <w:r>
              <w:t>mechanisms</w:t>
            </w:r>
            <w:r w:rsidR="007563EE">
              <w:t xml:space="preserve"> to ensure costs are </w:t>
            </w:r>
            <w:r w:rsidR="00161C2B">
              <w:t>efficient.</w:t>
            </w:r>
          </w:p>
        </w:tc>
      </w:tr>
      <w:tr w:rsidR="00E176D6" w:rsidRPr="00144F8C" w14:paraId="48FAA1F1" w14:textId="77777777" w:rsidTr="006A6E1E">
        <w:trPr>
          <w:cantSplit/>
          <w:trHeight w:val="429"/>
        </w:trPr>
        <w:tc>
          <w:tcPr>
            <w:tcW w:w="840" w:type="pct"/>
            <w:tcBorders>
              <w:top w:val="nil"/>
              <w:left w:val="nil"/>
              <w:bottom w:val="nil"/>
              <w:right w:val="nil"/>
            </w:tcBorders>
            <w:shd w:val="clear" w:color="auto" w:fill="FBE4D5"/>
          </w:tcPr>
          <w:p w14:paraId="235B34E3" w14:textId="77777777" w:rsidR="00E176D6" w:rsidRPr="000B2173" w:rsidRDefault="00E176D6" w:rsidP="003A7D85">
            <w:pPr>
              <w:pStyle w:val="TableTextLeft"/>
              <w:jc w:val="right"/>
              <w:rPr>
                <w:b/>
              </w:rPr>
            </w:pPr>
            <w:r>
              <w:rPr>
                <w:b/>
              </w:rPr>
              <w:t>3</w:t>
            </w:r>
          </w:p>
        </w:tc>
        <w:tc>
          <w:tcPr>
            <w:tcW w:w="1178" w:type="pct"/>
            <w:tcBorders>
              <w:top w:val="nil"/>
              <w:left w:val="nil"/>
              <w:bottom w:val="nil"/>
              <w:right w:val="nil"/>
            </w:tcBorders>
            <w:shd w:val="clear" w:color="auto" w:fill="FBE4D5"/>
          </w:tcPr>
          <w:p w14:paraId="7D089EC9" w14:textId="77777777" w:rsidR="00E176D6" w:rsidRPr="001E56D3" w:rsidRDefault="00E176D6" w:rsidP="003A7D85">
            <w:pPr>
              <w:pStyle w:val="TableTextLeft"/>
              <w:rPr>
                <w:b/>
              </w:rPr>
            </w:pPr>
            <w:r>
              <w:rPr>
                <w:b/>
              </w:rPr>
              <w:t>Environmental considerations</w:t>
            </w:r>
          </w:p>
        </w:tc>
        <w:tc>
          <w:tcPr>
            <w:tcW w:w="2982" w:type="pct"/>
            <w:tcBorders>
              <w:top w:val="nil"/>
              <w:left w:val="nil"/>
              <w:bottom w:val="nil"/>
              <w:right w:val="nil"/>
            </w:tcBorders>
            <w:shd w:val="clear" w:color="auto" w:fill="FBE4D5"/>
          </w:tcPr>
          <w:p w14:paraId="4EC0794F" w14:textId="77777777" w:rsidR="00E176D6" w:rsidRPr="00B40AA3" w:rsidRDefault="00E176D6" w:rsidP="003A7D85">
            <w:pPr>
              <w:pStyle w:val="TableTextLeft"/>
            </w:pPr>
            <w:r w:rsidRPr="00C159FF">
              <w:t>Tariff structures</w:t>
            </w:r>
            <w:r>
              <w:t>,</w:t>
            </w:r>
            <w:r w:rsidRPr="00C159FF">
              <w:t xml:space="preserve"> prices </w:t>
            </w:r>
            <w:r>
              <w:t xml:space="preserve">and complementary mechanisms should ensure </w:t>
            </w:r>
            <w:r w:rsidR="00902B24">
              <w:t xml:space="preserve">that </w:t>
            </w:r>
            <w:r>
              <w:t xml:space="preserve">environmental objectives </w:t>
            </w:r>
            <w:proofErr w:type="gramStart"/>
            <w:r>
              <w:t>are effectively addressed</w:t>
            </w:r>
            <w:proofErr w:type="gramEnd"/>
            <w:r>
              <w:t xml:space="preserve">. </w:t>
            </w:r>
          </w:p>
        </w:tc>
      </w:tr>
      <w:tr w:rsidR="00E176D6" w:rsidRPr="00144F8C" w14:paraId="35A798A7" w14:textId="77777777" w:rsidTr="006A6E1E">
        <w:trPr>
          <w:cantSplit/>
          <w:trHeight w:val="507"/>
        </w:trPr>
        <w:tc>
          <w:tcPr>
            <w:tcW w:w="840" w:type="pct"/>
            <w:tcBorders>
              <w:top w:val="nil"/>
              <w:left w:val="nil"/>
              <w:bottom w:val="nil"/>
              <w:right w:val="nil"/>
            </w:tcBorders>
            <w:shd w:val="clear" w:color="auto" w:fill="D9E2F3"/>
          </w:tcPr>
          <w:p w14:paraId="52237703" w14:textId="77777777" w:rsidR="00E176D6" w:rsidRPr="000B2173" w:rsidRDefault="00E176D6" w:rsidP="003A7D85">
            <w:pPr>
              <w:pStyle w:val="TableTextLeft"/>
              <w:jc w:val="right"/>
              <w:rPr>
                <w:b/>
              </w:rPr>
            </w:pPr>
            <w:r>
              <w:rPr>
                <w:b/>
              </w:rPr>
              <w:t>4</w:t>
            </w:r>
          </w:p>
        </w:tc>
        <w:tc>
          <w:tcPr>
            <w:tcW w:w="1178" w:type="pct"/>
            <w:tcBorders>
              <w:top w:val="nil"/>
              <w:left w:val="nil"/>
              <w:bottom w:val="nil"/>
              <w:right w:val="nil"/>
            </w:tcBorders>
            <w:shd w:val="clear" w:color="auto" w:fill="D9E2F3"/>
          </w:tcPr>
          <w:p w14:paraId="35998D79" w14:textId="77777777" w:rsidR="00E176D6" w:rsidRPr="00D255AE" w:rsidRDefault="00E176D6" w:rsidP="003A7D85">
            <w:pPr>
              <w:pStyle w:val="TableTextLeft"/>
              <w:rPr>
                <w:b/>
              </w:rPr>
            </w:pPr>
            <w:r w:rsidRPr="00D255AE">
              <w:rPr>
                <w:b/>
              </w:rPr>
              <w:t xml:space="preserve">Community impact </w:t>
            </w:r>
            <w:r>
              <w:rPr>
                <w:b/>
              </w:rPr>
              <w:t>–</w:t>
            </w:r>
            <w:r w:rsidRPr="00D255AE">
              <w:rPr>
                <w:b/>
              </w:rPr>
              <w:t xml:space="preserve"> </w:t>
            </w:r>
            <w:r>
              <w:rPr>
                <w:b/>
              </w:rPr>
              <w:t xml:space="preserve">gradual adjustment </w:t>
            </w:r>
          </w:p>
        </w:tc>
        <w:tc>
          <w:tcPr>
            <w:tcW w:w="2982" w:type="pct"/>
            <w:tcBorders>
              <w:top w:val="nil"/>
              <w:left w:val="nil"/>
              <w:bottom w:val="nil"/>
              <w:right w:val="nil"/>
            </w:tcBorders>
            <w:shd w:val="clear" w:color="auto" w:fill="D9E2F3"/>
          </w:tcPr>
          <w:p w14:paraId="5ED53D90" w14:textId="77777777" w:rsidR="00E176D6" w:rsidRPr="00B40AA3" w:rsidRDefault="00E176D6" w:rsidP="003A7D85">
            <w:pPr>
              <w:pStyle w:val="TableTextLeft"/>
            </w:pPr>
            <w:r>
              <w:t xml:space="preserve">Any change to the structure of tariffs and prices that will have substantial customer impacts </w:t>
            </w:r>
            <w:proofErr w:type="gramStart"/>
            <w:r>
              <w:t>should be phased in</w:t>
            </w:r>
            <w:proofErr w:type="gramEnd"/>
            <w:r>
              <w:t xml:space="preserve"> over a transition period to allow reasonable time for customers to adjust to the change.</w:t>
            </w:r>
          </w:p>
        </w:tc>
      </w:tr>
      <w:tr w:rsidR="00E176D6" w:rsidRPr="00144F8C" w14:paraId="00EB19CB" w14:textId="77777777" w:rsidTr="006A6E1E">
        <w:trPr>
          <w:cantSplit/>
          <w:trHeight w:val="564"/>
        </w:trPr>
        <w:tc>
          <w:tcPr>
            <w:tcW w:w="840" w:type="pct"/>
            <w:tcBorders>
              <w:top w:val="nil"/>
              <w:left w:val="nil"/>
              <w:bottom w:val="nil"/>
              <w:right w:val="nil"/>
            </w:tcBorders>
            <w:shd w:val="clear" w:color="auto" w:fill="D9E2F3"/>
          </w:tcPr>
          <w:p w14:paraId="79980240" w14:textId="77777777" w:rsidR="00E176D6" w:rsidRPr="000B2173" w:rsidRDefault="00E176D6" w:rsidP="003A7D85">
            <w:pPr>
              <w:pStyle w:val="TableTextLeft"/>
              <w:jc w:val="right"/>
              <w:rPr>
                <w:b/>
              </w:rPr>
            </w:pPr>
            <w:r>
              <w:rPr>
                <w:b/>
              </w:rPr>
              <w:t>5</w:t>
            </w:r>
          </w:p>
        </w:tc>
        <w:tc>
          <w:tcPr>
            <w:tcW w:w="1178" w:type="pct"/>
            <w:tcBorders>
              <w:top w:val="nil"/>
              <w:left w:val="nil"/>
              <w:bottom w:val="nil"/>
              <w:right w:val="nil"/>
            </w:tcBorders>
            <w:shd w:val="clear" w:color="auto" w:fill="D9E2F3"/>
          </w:tcPr>
          <w:p w14:paraId="579B4B4F" w14:textId="77777777" w:rsidR="00E176D6" w:rsidRPr="00D255AE" w:rsidRDefault="00E176D6" w:rsidP="003A7D85">
            <w:pPr>
              <w:pStyle w:val="TableTextLeft"/>
              <w:rPr>
                <w:b/>
              </w:rPr>
            </w:pPr>
            <w:r w:rsidRPr="00D255AE">
              <w:rPr>
                <w:b/>
              </w:rPr>
              <w:t xml:space="preserve">Community impact </w:t>
            </w:r>
            <w:r>
              <w:rPr>
                <w:b/>
              </w:rPr>
              <w:t>–</w:t>
            </w:r>
            <w:r w:rsidRPr="00D255AE">
              <w:rPr>
                <w:b/>
              </w:rPr>
              <w:t xml:space="preserve"> </w:t>
            </w:r>
            <w:r>
              <w:rPr>
                <w:b/>
              </w:rPr>
              <w:t>fair outcomes for low</w:t>
            </w:r>
            <w:r w:rsidR="006A6E1E">
              <w:rPr>
                <w:b/>
              </w:rPr>
              <w:t>-</w:t>
            </w:r>
            <w:r>
              <w:rPr>
                <w:b/>
              </w:rPr>
              <w:t>income households</w:t>
            </w:r>
          </w:p>
        </w:tc>
        <w:tc>
          <w:tcPr>
            <w:tcW w:w="2982" w:type="pct"/>
            <w:tcBorders>
              <w:top w:val="nil"/>
              <w:left w:val="nil"/>
              <w:bottom w:val="nil"/>
              <w:right w:val="nil"/>
            </w:tcBorders>
            <w:shd w:val="clear" w:color="auto" w:fill="D9E2F3"/>
          </w:tcPr>
          <w:p w14:paraId="7BA4EB7D" w14:textId="77777777" w:rsidR="00E176D6" w:rsidRPr="00B40AA3" w:rsidRDefault="00E176D6" w:rsidP="003A7D85">
            <w:pPr>
              <w:pStyle w:val="TableTextLeft"/>
            </w:pPr>
            <w:r>
              <w:t xml:space="preserve">Adverse impacts on households with low incomes need to be </w:t>
            </w:r>
            <w:proofErr w:type="gramStart"/>
            <w:r>
              <w:t>limited</w:t>
            </w:r>
            <w:proofErr w:type="gramEnd"/>
            <w:r>
              <w:t xml:space="preserve"> or moderated by phasing and other compensating mechanisms or limits on changes to the tariff structure.</w:t>
            </w:r>
          </w:p>
        </w:tc>
      </w:tr>
      <w:tr w:rsidR="00E176D6" w:rsidRPr="00144F8C" w14:paraId="0AE8BF08" w14:textId="77777777" w:rsidTr="006A6E1E">
        <w:trPr>
          <w:cantSplit/>
          <w:trHeight w:val="405"/>
        </w:trPr>
        <w:tc>
          <w:tcPr>
            <w:tcW w:w="840" w:type="pct"/>
            <w:tcBorders>
              <w:top w:val="nil"/>
              <w:left w:val="nil"/>
              <w:bottom w:val="nil"/>
              <w:right w:val="nil"/>
            </w:tcBorders>
            <w:shd w:val="clear" w:color="auto" w:fill="E2EFD9"/>
          </w:tcPr>
          <w:p w14:paraId="56492C21" w14:textId="77777777" w:rsidR="00E176D6" w:rsidRPr="000B2173" w:rsidRDefault="00E176D6" w:rsidP="003A7D85">
            <w:pPr>
              <w:pStyle w:val="TableTextLeft"/>
              <w:jc w:val="right"/>
              <w:rPr>
                <w:b/>
              </w:rPr>
            </w:pPr>
            <w:r>
              <w:rPr>
                <w:b/>
              </w:rPr>
              <w:t>6</w:t>
            </w:r>
          </w:p>
        </w:tc>
        <w:tc>
          <w:tcPr>
            <w:tcW w:w="1178" w:type="pct"/>
            <w:tcBorders>
              <w:top w:val="nil"/>
              <w:left w:val="nil"/>
              <w:bottom w:val="nil"/>
              <w:right w:val="nil"/>
            </w:tcBorders>
            <w:shd w:val="clear" w:color="auto" w:fill="E2EFD9"/>
          </w:tcPr>
          <w:p w14:paraId="502ECE59" w14:textId="77777777" w:rsidR="00E176D6" w:rsidRPr="00912C28" w:rsidRDefault="007D605C" w:rsidP="007D605C">
            <w:pPr>
              <w:pStyle w:val="TableTextLeft"/>
              <w:rPr>
                <w:b/>
              </w:rPr>
            </w:pPr>
            <w:r>
              <w:rPr>
                <w:b/>
              </w:rPr>
              <w:t>Regulatory governance – s</w:t>
            </w:r>
            <w:r w:rsidR="00E176D6">
              <w:rPr>
                <w:b/>
              </w:rPr>
              <w:t xml:space="preserve">implicity </w:t>
            </w:r>
          </w:p>
        </w:tc>
        <w:tc>
          <w:tcPr>
            <w:tcW w:w="2982" w:type="pct"/>
            <w:tcBorders>
              <w:top w:val="nil"/>
              <w:left w:val="nil"/>
              <w:bottom w:val="nil"/>
              <w:right w:val="nil"/>
            </w:tcBorders>
            <w:shd w:val="clear" w:color="auto" w:fill="E2EFD9"/>
          </w:tcPr>
          <w:p w14:paraId="2EAF01E7" w14:textId="77777777" w:rsidR="00E176D6" w:rsidRPr="00B40AA3" w:rsidRDefault="00E176D6" w:rsidP="003A7D85">
            <w:pPr>
              <w:pStyle w:val="TableTextLeft"/>
            </w:pPr>
            <w:r>
              <w:t>Tariff structures should be simple for customers to understand and straightforward for the utility to implement.</w:t>
            </w:r>
          </w:p>
        </w:tc>
      </w:tr>
      <w:tr w:rsidR="00E176D6" w:rsidRPr="00144F8C" w14:paraId="5D101612" w14:textId="77777777" w:rsidTr="006A6E1E">
        <w:trPr>
          <w:cantSplit/>
          <w:trHeight w:val="469"/>
        </w:trPr>
        <w:tc>
          <w:tcPr>
            <w:tcW w:w="840" w:type="pct"/>
            <w:tcBorders>
              <w:top w:val="nil"/>
              <w:left w:val="nil"/>
              <w:bottom w:val="single" w:sz="12" w:space="0" w:color="44546A"/>
              <w:right w:val="nil"/>
            </w:tcBorders>
            <w:shd w:val="clear" w:color="auto" w:fill="E2EFD9"/>
          </w:tcPr>
          <w:p w14:paraId="1DF54DA8" w14:textId="77777777" w:rsidR="00E176D6" w:rsidRPr="000B2173" w:rsidRDefault="00E176D6" w:rsidP="003A7D85">
            <w:pPr>
              <w:pStyle w:val="TableTextLeft"/>
              <w:jc w:val="right"/>
              <w:rPr>
                <w:b/>
              </w:rPr>
            </w:pPr>
            <w:r>
              <w:rPr>
                <w:b/>
              </w:rPr>
              <w:t>7</w:t>
            </w:r>
          </w:p>
        </w:tc>
        <w:tc>
          <w:tcPr>
            <w:tcW w:w="1178" w:type="pct"/>
            <w:tcBorders>
              <w:top w:val="nil"/>
              <w:left w:val="nil"/>
              <w:bottom w:val="single" w:sz="12" w:space="0" w:color="44546A"/>
              <w:right w:val="nil"/>
            </w:tcBorders>
            <w:shd w:val="clear" w:color="auto" w:fill="E2EFD9"/>
          </w:tcPr>
          <w:p w14:paraId="66B0DEE6" w14:textId="77777777" w:rsidR="00E176D6" w:rsidRPr="00D255AE" w:rsidRDefault="007D605C" w:rsidP="007D605C">
            <w:pPr>
              <w:pStyle w:val="TableTextLeft"/>
              <w:rPr>
                <w:b/>
              </w:rPr>
            </w:pPr>
            <w:r>
              <w:rPr>
                <w:b/>
              </w:rPr>
              <w:t>Regulatory governance – t</w:t>
            </w:r>
            <w:r w:rsidR="00E176D6" w:rsidRPr="00D255AE">
              <w:rPr>
                <w:b/>
              </w:rPr>
              <w:t>ransparency</w:t>
            </w:r>
          </w:p>
        </w:tc>
        <w:tc>
          <w:tcPr>
            <w:tcW w:w="2982" w:type="pct"/>
            <w:tcBorders>
              <w:top w:val="nil"/>
              <w:left w:val="nil"/>
              <w:bottom w:val="single" w:sz="12" w:space="0" w:color="44546A"/>
              <w:right w:val="nil"/>
            </w:tcBorders>
            <w:shd w:val="clear" w:color="auto" w:fill="E2EFD9"/>
          </w:tcPr>
          <w:p w14:paraId="2A641897" w14:textId="77777777" w:rsidR="00E176D6" w:rsidRPr="00B40AA3" w:rsidRDefault="00E176D6" w:rsidP="003A7D85">
            <w:pPr>
              <w:pStyle w:val="TableTextLeft"/>
            </w:pPr>
            <w:r>
              <w:t>Tariff structures should be set using a transparent methodology and subject to public consultation and scrutiny.</w:t>
            </w:r>
          </w:p>
        </w:tc>
      </w:tr>
    </w:tbl>
    <w:p w14:paraId="4D2B99BD" w14:textId="77777777" w:rsidR="00CA7AFB" w:rsidRDefault="00CA7AFB" w:rsidP="00E176D6">
      <w:pPr>
        <w:spacing w:before="240"/>
      </w:pPr>
      <w:bookmarkStart w:id="153" w:name="_Toc468175207"/>
      <w:r>
        <w:t xml:space="preserve">The main challenge that the Commission and other regulators face in relation to matching mechanisms for implementing policy with objectives is that social objectives, which the regulator must consider, tend to be </w:t>
      </w:r>
      <w:proofErr w:type="gramStart"/>
      <w:r>
        <w:t>fairly broad</w:t>
      </w:r>
      <w:proofErr w:type="gramEnd"/>
      <w:r>
        <w:t>.</w:t>
      </w:r>
      <w:r w:rsidR="00DC674F">
        <w:t xml:space="preserve"> </w:t>
      </w:r>
      <w:r>
        <w:t>Other arms of government have primary responsibility for achieving social goals such as protecting low</w:t>
      </w:r>
      <w:r w:rsidR="00902B24">
        <w:t>-</w:t>
      </w:r>
      <w:r>
        <w:t xml:space="preserve">income </w:t>
      </w:r>
      <w:r w:rsidR="00D163DB">
        <w:t>households</w:t>
      </w:r>
      <w:r>
        <w:t>.</w:t>
      </w:r>
      <w:r w:rsidR="00DC674F">
        <w:t xml:space="preserve"> </w:t>
      </w:r>
      <w:r w:rsidR="007953D9">
        <w:t>Nevertheless,</w:t>
      </w:r>
      <w:r>
        <w:t xml:space="preserve"> the Commission is required to and does have regard </w:t>
      </w:r>
      <w:r w:rsidR="00902B24">
        <w:t xml:space="preserve">to </w:t>
      </w:r>
      <w:r>
        <w:t>the social and distributional impacts of its decisions.</w:t>
      </w:r>
      <w:r w:rsidR="00DC674F">
        <w:t xml:space="preserve"> </w:t>
      </w:r>
      <w:r>
        <w:t xml:space="preserve">This inevitably requires </w:t>
      </w:r>
      <w:r w:rsidR="006A6E1E">
        <w:t xml:space="preserve">some </w:t>
      </w:r>
      <w:r>
        <w:t xml:space="preserve">compromise and consultation with affected parties in arriving at conclusions that will effectively balance the various objectives. </w:t>
      </w:r>
    </w:p>
    <w:p w14:paraId="1CB5C267" w14:textId="53935919" w:rsidR="00CA7AFB" w:rsidRDefault="00CA7AFB" w:rsidP="00CA7AFB">
      <w:r>
        <w:lastRenderedPageBreak/>
        <w:t>The Commission</w:t>
      </w:r>
      <w:r w:rsidR="00DC674F">
        <w:t>’</w:t>
      </w:r>
      <w:r>
        <w:t xml:space="preserve">s view is that the principles set out </w:t>
      </w:r>
      <w:r w:rsidR="00EA1F09">
        <w:t xml:space="preserve">in Table 3.1 </w:t>
      </w:r>
      <w:r>
        <w:t>are consistent with how economic regulators in similar jurisdictions consider and assess the various objectives.</w:t>
      </w:r>
      <w:r w:rsidR="00DC674F">
        <w:t xml:space="preserve"> </w:t>
      </w:r>
      <w:r>
        <w:t>In balancing competing objectives, the Commission will consider economic efficiency aspects as a starting point</w:t>
      </w:r>
      <w:r w:rsidR="00902B24">
        <w:t>,</w:t>
      </w:r>
      <w:r>
        <w:t xml:space="preserve"> but </w:t>
      </w:r>
      <w:r w:rsidR="007563EE">
        <w:t xml:space="preserve">then balance efficiency perspectives with a </w:t>
      </w:r>
      <w:r>
        <w:t xml:space="preserve">careful and transparent consideration of social and environmental impacts. </w:t>
      </w:r>
    </w:p>
    <w:p w14:paraId="03EF9BA0" w14:textId="77777777" w:rsidR="00CA7AFB" w:rsidRDefault="00CA7AFB" w:rsidP="00CA7AFB">
      <w:pPr>
        <w:pStyle w:val="Heading2a"/>
      </w:pPr>
      <w:bookmarkStart w:id="154" w:name="_Toc476753974"/>
      <w:bookmarkStart w:id="155" w:name="_Toc478465451"/>
      <w:r>
        <w:t>3.2</w:t>
      </w:r>
      <w:r>
        <w:tab/>
        <w:t>Explanation of the principles</w:t>
      </w:r>
      <w:bookmarkEnd w:id="153"/>
      <w:bookmarkEnd w:id="154"/>
      <w:bookmarkEnd w:id="155"/>
    </w:p>
    <w:p w14:paraId="1A31F110" w14:textId="12EA6F88" w:rsidR="00CA7AFB" w:rsidRDefault="00CA7AFB" w:rsidP="00CA7AFB">
      <w:r>
        <w:t>As already noted, the Commission is required to set prices that address a number of potentially conflicting objectives.</w:t>
      </w:r>
      <w:r w:rsidR="00DC674F">
        <w:t xml:space="preserve"> </w:t>
      </w:r>
      <w:r>
        <w:t xml:space="preserve">The recent inclusion of </w:t>
      </w:r>
      <w:r w:rsidR="00902B24">
        <w:t>s</w:t>
      </w:r>
      <w:r>
        <w:t>ection 19L in the ICRC Act assists in clarifying objectives and priorities.</w:t>
      </w:r>
      <w:r w:rsidR="00DC674F">
        <w:t xml:space="preserve"> </w:t>
      </w:r>
      <w:r>
        <w:t>It highlights the importance of all the main aspects of economic efficiency in</w:t>
      </w:r>
      <w:r w:rsidR="00307DD5">
        <w:t xml:space="preserve"> </w:t>
      </w:r>
      <w:r>
        <w:t>the long</w:t>
      </w:r>
      <w:r w:rsidR="00154EE4">
        <w:t>-</w:t>
      </w:r>
      <w:r>
        <w:t>term interests of consumers.</w:t>
      </w:r>
      <w:r w:rsidR="00DC674F">
        <w:t xml:space="preserve"> </w:t>
      </w:r>
      <w:r>
        <w:t>However, there is still a need for regulatory judgement in interpreting and balancing economic, social and environmental objectives.</w:t>
      </w:r>
    </w:p>
    <w:p w14:paraId="08F9C589" w14:textId="77777777" w:rsidR="00CA7AFB" w:rsidRDefault="00CA7AFB" w:rsidP="00CA7AFB">
      <w:r>
        <w:t>The focus on economic efficiency is consistent with the starting point for economics in evaluating virtually all government policies and regulatory decisions.</w:t>
      </w:r>
      <w:r w:rsidR="00DC674F">
        <w:t xml:space="preserve"> </w:t>
      </w:r>
      <w:r>
        <w:t xml:space="preserve">It is consistent with how decisions </w:t>
      </w:r>
      <w:proofErr w:type="gramStart"/>
      <w:r>
        <w:t>are made</w:t>
      </w:r>
      <w:proofErr w:type="gramEnd"/>
      <w:r>
        <w:t xml:space="preserve"> </w:t>
      </w:r>
      <w:r w:rsidR="00EA1F09">
        <w:t>about</w:t>
      </w:r>
      <w:r>
        <w:t xml:space="preserve"> economic regulation in other sectors and other jurisdictions.</w:t>
      </w:r>
      <w:r w:rsidR="00DC674F">
        <w:t xml:space="preserve"> </w:t>
      </w:r>
      <w:r>
        <w:t xml:space="preserve">However, the approach of the Commission (and many other regulators) is to seek economic efficiency </w:t>
      </w:r>
      <w:r w:rsidR="00EA1F09">
        <w:t>while also giving</w:t>
      </w:r>
      <w:r w:rsidR="00154EE4">
        <w:t xml:space="preserve"> </w:t>
      </w:r>
      <w:r>
        <w:t>due consideration to social, environmental and other specific objectives.</w:t>
      </w:r>
      <w:r w:rsidR="00DC674F">
        <w:t xml:space="preserve"> </w:t>
      </w:r>
    </w:p>
    <w:p w14:paraId="711BE0A0" w14:textId="77777777" w:rsidR="00CA7AFB" w:rsidRDefault="00CA7AFB" w:rsidP="00CA7AFB">
      <w:r>
        <w:t>Social objectives can cover a wide range of matters</w:t>
      </w:r>
      <w:r w:rsidR="00154EE4">
        <w:t>,</w:t>
      </w:r>
      <w:r>
        <w:t xml:space="preserve"> but the main issues usually relate to the community</w:t>
      </w:r>
      <w:r w:rsidR="00DC674F">
        <w:t>’</w:t>
      </w:r>
      <w:r>
        <w:t xml:space="preserve">s concerns about </w:t>
      </w:r>
      <w:r w:rsidR="00DC674F">
        <w:t>‘</w:t>
      </w:r>
      <w:r>
        <w:t>fairness</w:t>
      </w:r>
      <w:r w:rsidR="00DC674F">
        <w:t>’</w:t>
      </w:r>
      <w:r>
        <w:t xml:space="preserve"> or </w:t>
      </w:r>
      <w:r w:rsidR="00DC674F">
        <w:t>‘</w:t>
      </w:r>
      <w:r>
        <w:t>equitable outcomes</w:t>
      </w:r>
      <w:r w:rsidR="00DC674F">
        <w:t>’</w:t>
      </w:r>
      <w:r>
        <w:t xml:space="preserve"> with respect to changes in policy or regulated prices.</w:t>
      </w:r>
      <w:r w:rsidR="00DC674F">
        <w:t xml:space="preserve"> </w:t>
      </w:r>
      <w:r>
        <w:t xml:space="preserve">The concept of </w:t>
      </w:r>
      <w:r w:rsidR="00DC674F">
        <w:t>‘</w:t>
      </w:r>
      <w:r>
        <w:t>fairness</w:t>
      </w:r>
      <w:r w:rsidR="00DC674F">
        <w:t>’</w:t>
      </w:r>
      <w:r>
        <w:t xml:space="preserve"> is not well defined</w:t>
      </w:r>
      <w:r w:rsidR="00154EE4">
        <w:t>,</w:t>
      </w:r>
      <w:r>
        <w:t xml:space="preserve"> but the Commission sees two types of fairness or equity impacts that are relevant in changing the tariff structure.</w:t>
      </w:r>
      <w:r w:rsidR="00DC674F">
        <w:t xml:space="preserve"> </w:t>
      </w:r>
      <w:r>
        <w:t xml:space="preserve">The first relates to the impact on households and businesses </w:t>
      </w:r>
      <w:r w:rsidR="00154EE4">
        <w:t xml:space="preserve">that </w:t>
      </w:r>
      <w:r>
        <w:t>have made investments in water</w:t>
      </w:r>
      <w:r w:rsidR="00154EE4">
        <w:t>-</w:t>
      </w:r>
      <w:r>
        <w:t>saving measures.</w:t>
      </w:r>
      <w:r w:rsidR="00DC674F">
        <w:t xml:space="preserve"> </w:t>
      </w:r>
      <w:r>
        <w:t>If usage charges decline, the</w:t>
      </w:r>
      <w:r w:rsidR="00EA1F09">
        <w:t xml:space="preserve">se customers would </w:t>
      </w:r>
      <w:r w:rsidR="000D252B">
        <w:t>realise lower</w:t>
      </w:r>
      <w:r>
        <w:t xml:space="preserve"> benefits </w:t>
      </w:r>
      <w:r w:rsidR="000D252B">
        <w:t>from their</w:t>
      </w:r>
      <w:r>
        <w:t xml:space="preserve"> investments.</w:t>
      </w:r>
      <w:r w:rsidR="00DC674F">
        <w:t xml:space="preserve"> </w:t>
      </w:r>
      <w:r>
        <w:t xml:space="preserve">This effect is likely to </w:t>
      </w:r>
      <w:proofErr w:type="gramStart"/>
      <w:r>
        <w:t>be interpreted</w:t>
      </w:r>
      <w:proofErr w:type="gramEnd"/>
      <w:r>
        <w:t xml:space="preserve"> as unfair.</w:t>
      </w:r>
      <w:r w:rsidR="00DC674F">
        <w:t xml:space="preserve"> </w:t>
      </w:r>
      <w:r>
        <w:t>The second relates to adverse impacts on low</w:t>
      </w:r>
      <w:r w:rsidR="00154EE4">
        <w:t>-</w:t>
      </w:r>
      <w:r>
        <w:t>income households.</w:t>
      </w:r>
      <w:r w:rsidR="00DC674F">
        <w:t xml:space="preserve"> </w:t>
      </w:r>
      <w:r>
        <w:t xml:space="preserve">The fairness or equity impacts of a higher fixed charge and lower usage charges need to </w:t>
      </w:r>
      <w:proofErr w:type="gramStart"/>
      <w:r>
        <w:t>be effectively recognised</w:t>
      </w:r>
      <w:proofErr w:type="gramEnd"/>
      <w:r>
        <w:t xml:space="preserve"> in deciding on the extent of any changes to the tariff structure and the timeframe over which changes are introduced.</w:t>
      </w:r>
    </w:p>
    <w:p w14:paraId="55853B62" w14:textId="77777777" w:rsidR="00CA7AFB" w:rsidRDefault="00CA7AFB" w:rsidP="00CA7AFB">
      <w:r>
        <w:t xml:space="preserve">To help ensure that the </w:t>
      </w:r>
      <w:proofErr w:type="gramStart"/>
      <w:r>
        <w:t>final outcome</w:t>
      </w:r>
      <w:proofErr w:type="gramEnd"/>
      <w:r>
        <w:t xml:space="preserve"> is well understood and broadly accepted by the community, the Commission endeavours to consult thoroughly and make its recommendations as simple as possible and the reasoning for those recommendations as transparent as pos</w:t>
      </w:r>
      <w:r w:rsidRPr="000D252B">
        <w:t>sible.</w:t>
      </w:r>
      <w:r w:rsidR="00DC674F" w:rsidRPr="000D252B">
        <w:t xml:space="preserve"> </w:t>
      </w:r>
      <w:r w:rsidRPr="000D252B">
        <w:t>In this respect</w:t>
      </w:r>
      <w:r w:rsidR="00154EE4" w:rsidRPr="000D252B">
        <w:t>,</w:t>
      </w:r>
      <w:r w:rsidRPr="00DB0CAC">
        <w:t xml:space="preserve"> t</w:t>
      </w:r>
      <w:r w:rsidRPr="000D252B">
        <w:t>wo of</w:t>
      </w:r>
      <w:r>
        <w:t xml:space="preserve"> the pricing principles relate to simplicity and transparency.</w:t>
      </w:r>
    </w:p>
    <w:p w14:paraId="7343EFBF" w14:textId="77777777" w:rsidR="00CA7AFB" w:rsidRPr="00707C55" w:rsidRDefault="00CA7AFB" w:rsidP="00CA7AFB">
      <w:pPr>
        <w:pStyle w:val="Heading4"/>
      </w:pPr>
      <w:r w:rsidRPr="00707C55">
        <w:t>Pricing principle 1</w:t>
      </w:r>
      <w:r w:rsidR="008004FB">
        <w:t>:</w:t>
      </w:r>
      <w:r w:rsidRPr="00707C55">
        <w:t xml:space="preserve"> Economic efficiency in use</w:t>
      </w:r>
    </w:p>
    <w:p w14:paraId="105167BA" w14:textId="77777777" w:rsidR="00CA7AFB" w:rsidRDefault="00CA7AFB" w:rsidP="00CA7AFB">
      <w:r w:rsidRPr="00F86C49">
        <w:rPr>
          <w:i/>
        </w:rPr>
        <w:t>The overarching efficiency objective leads to the first proposed pricing principle that tariff structures and prices should promote the economically efficient use of Icon Water</w:t>
      </w:r>
      <w:r w:rsidR="00DC674F">
        <w:rPr>
          <w:i/>
        </w:rPr>
        <w:t>’</w:t>
      </w:r>
      <w:r w:rsidRPr="00F86C49">
        <w:rPr>
          <w:i/>
        </w:rPr>
        <w:t xml:space="preserve">s water and sewerage services infrastructure, and </w:t>
      </w:r>
      <w:proofErr w:type="gramStart"/>
      <w:r w:rsidRPr="00F86C49">
        <w:rPr>
          <w:i/>
        </w:rPr>
        <w:t>should also</w:t>
      </w:r>
      <w:proofErr w:type="gramEnd"/>
      <w:r w:rsidRPr="00F86C49">
        <w:rPr>
          <w:i/>
        </w:rPr>
        <w:t xml:space="preserve"> encourage economically efficient use of the water resource itself.</w:t>
      </w:r>
      <w:r w:rsidR="00DC674F">
        <w:t xml:space="preserve"> </w:t>
      </w:r>
    </w:p>
    <w:p w14:paraId="1E050F6F" w14:textId="77777777" w:rsidR="00CA7AFB" w:rsidRDefault="00CA7AFB" w:rsidP="00CA7AFB">
      <w:r>
        <w:lastRenderedPageBreak/>
        <w:t xml:space="preserve">This principle reflects the fundamental economic proposition that the community as a whole will benefit if the usage component of a tariff is based on the additional social costs that are incurred </w:t>
      </w:r>
      <w:proofErr w:type="gramStart"/>
      <w:r>
        <w:t>as a result</w:t>
      </w:r>
      <w:proofErr w:type="gramEnd"/>
      <w:r>
        <w:t xml:space="preserve"> of using an additional unit of water.</w:t>
      </w:r>
      <w:r w:rsidR="00DC674F">
        <w:t xml:space="preserve"> </w:t>
      </w:r>
      <w:r>
        <w:t xml:space="preserve">The social costs in this case need to </w:t>
      </w:r>
      <w:proofErr w:type="gramStart"/>
      <w:r>
        <w:t>be defined</w:t>
      </w:r>
      <w:proofErr w:type="gramEnd"/>
      <w:r>
        <w:t xml:space="preserve"> to include the value of additional water use</w:t>
      </w:r>
      <w:r w:rsidR="00154EE4">
        <w:t>,</w:t>
      </w:r>
      <w:r>
        <w:t xml:space="preserve"> including the impact if less water is available for future use. </w:t>
      </w:r>
    </w:p>
    <w:p w14:paraId="432DC607" w14:textId="77777777" w:rsidR="00CA7AFB" w:rsidRPr="0095488C" w:rsidRDefault="00CA7AFB" w:rsidP="00CA7AFB">
      <w:r>
        <w:t>In addition, the tariff structure and tariff levels may create a risk of uneconomic bypass</w:t>
      </w:r>
      <w:r w:rsidR="000D252B">
        <w:t>,</w:t>
      </w:r>
      <w:r>
        <w:t xml:space="preserve"> where a large user is able to </w:t>
      </w:r>
      <w:r w:rsidR="00D02170">
        <w:t xml:space="preserve">access </w:t>
      </w:r>
      <w:r>
        <w:t>a lower priced alternative source of supply</w:t>
      </w:r>
      <w:r w:rsidR="00154EE4">
        <w:t>,</w:t>
      </w:r>
      <w:r>
        <w:t xml:space="preserve"> but one which is of higher cost than the efficient costs of the regulated natural monopoly.</w:t>
      </w:r>
      <w:r w:rsidR="00DC674F">
        <w:t xml:space="preserve"> </w:t>
      </w:r>
      <w:r>
        <w:t>This effect means both inefficient use and higher cost of supply</w:t>
      </w:r>
      <w:r w:rsidR="00154EE4">
        <w:t>,</w:t>
      </w:r>
      <w:r>
        <w:t xml:space="preserve"> which is an aspect of principle 2.</w:t>
      </w:r>
    </w:p>
    <w:p w14:paraId="4E12D6EE" w14:textId="77777777" w:rsidR="00CA7AFB" w:rsidRDefault="00CA7AFB" w:rsidP="00CA7AFB">
      <w:pPr>
        <w:pStyle w:val="Heading4"/>
      </w:pPr>
      <w:r w:rsidRPr="0095488C">
        <w:t>Pricing principle 2</w:t>
      </w:r>
      <w:r w:rsidR="008004FB">
        <w:t>:</w:t>
      </w:r>
      <w:r w:rsidRPr="0095488C">
        <w:t xml:space="preserve"> Economic efficiency for investment and operation</w:t>
      </w:r>
    </w:p>
    <w:p w14:paraId="43CC40E0" w14:textId="77777777" w:rsidR="00CA7AFB" w:rsidRDefault="00CA7AFB" w:rsidP="00CA7AFB">
      <w:r w:rsidRPr="00F86C49">
        <w:rPr>
          <w:i/>
        </w:rPr>
        <w:t>The second pricing principle is that tariff structures should facilitate the efficient recovery of the prudent and efficient costs of investment and operation.</w:t>
      </w:r>
      <w:r>
        <w:t xml:space="preserve"> </w:t>
      </w:r>
    </w:p>
    <w:p w14:paraId="0DE1B81B" w14:textId="77777777" w:rsidR="00CA7AFB" w:rsidRDefault="00CA7AFB" w:rsidP="00CA7AFB">
      <w:r>
        <w:t xml:space="preserve">This principle </w:t>
      </w:r>
      <w:proofErr w:type="gramStart"/>
      <w:r>
        <w:t>is often described</w:t>
      </w:r>
      <w:proofErr w:type="gramEnd"/>
      <w:r>
        <w:t xml:space="preserve"> as ensuring revenue adequacy </w:t>
      </w:r>
      <w:r w:rsidR="007953D9">
        <w:t>or financial</w:t>
      </w:r>
      <w:r>
        <w:t xml:space="preserve"> viability.</w:t>
      </w:r>
      <w:r w:rsidR="00DC674F">
        <w:t xml:space="preserve"> </w:t>
      </w:r>
      <w:proofErr w:type="gramStart"/>
      <w:r>
        <w:t>And</w:t>
      </w:r>
      <w:proofErr w:type="gramEnd"/>
      <w:r>
        <w:t>, as it has an intertemporal dimension, it is an aspect of dynamic economic efficiency.</w:t>
      </w:r>
      <w:r w:rsidR="00DC674F">
        <w:t xml:space="preserve"> </w:t>
      </w:r>
      <w:r>
        <w:t xml:space="preserve">It </w:t>
      </w:r>
      <w:proofErr w:type="gramStart"/>
      <w:r>
        <w:t xml:space="preserve">is typically </w:t>
      </w:r>
      <w:r w:rsidR="000D252B">
        <w:t>accorded</w:t>
      </w:r>
      <w:proofErr w:type="gramEnd"/>
      <w:r w:rsidR="000D252B">
        <w:t xml:space="preserve"> </w:t>
      </w:r>
      <w:r>
        <w:t>priority in economic regulation, given the consequences if efficient investment does not occur or the financial viability of the regulated entity is jeopardised.</w:t>
      </w:r>
      <w:r w:rsidR="00DC674F">
        <w:t xml:space="preserve"> </w:t>
      </w:r>
    </w:p>
    <w:p w14:paraId="27609869" w14:textId="77777777" w:rsidR="00CA7AFB" w:rsidRDefault="00CA7AFB" w:rsidP="00CA7AFB">
      <w:r>
        <w:t>The</w:t>
      </w:r>
      <w:r w:rsidR="000D252B">
        <w:t xml:space="preserve"> principle covers</w:t>
      </w:r>
      <w:r w:rsidRPr="00AC7501">
        <w:t xml:space="preserve"> two asp</w:t>
      </w:r>
      <w:r>
        <w:t>ects of economic efficiency</w:t>
      </w:r>
      <w:r w:rsidRPr="000D252B">
        <w:t>.</w:t>
      </w:r>
      <w:r w:rsidR="00DC674F" w:rsidRPr="000D252B">
        <w:t xml:space="preserve"> </w:t>
      </w:r>
      <w:r w:rsidRPr="000D252B">
        <w:t>Fir</w:t>
      </w:r>
      <w:r>
        <w:t>st, overall revenue needs to be sufficient to finance the costs of operation and investment.</w:t>
      </w:r>
      <w:r w:rsidR="00DC674F">
        <w:t xml:space="preserve"> </w:t>
      </w:r>
      <w:r>
        <w:t>If this is not the case</w:t>
      </w:r>
      <w:r w:rsidR="008004FB">
        <w:t>,</w:t>
      </w:r>
      <w:r>
        <w:t xml:space="preserve"> efficient investment may not occur</w:t>
      </w:r>
      <w:r w:rsidR="008004FB">
        <w:t>,</w:t>
      </w:r>
      <w:r>
        <w:t xml:space="preserve"> which could have a major adverse impact on services.</w:t>
      </w:r>
      <w:r w:rsidR="00DC674F">
        <w:t xml:space="preserve"> </w:t>
      </w:r>
    </w:p>
    <w:p w14:paraId="3FC3BB40" w14:textId="14866A04" w:rsidR="00CA7AFB" w:rsidRDefault="00CA7AFB" w:rsidP="00CA7AFB">
      <w:r>
        <w:t>Second, the cost of investment and operations need</w:t>
      </w:r>
      <w:r w:rsidR="008004FB">
        <w:t>s</w:t>
      </w:r>
      <w:r>
        <w:t xml:space="preserve"> to be efficient </w:t>
      </w:r>
      <w:r w:rsidR="008004FB">
        <w:t>– that is,</w:t>
      </w:r>
      <w:r>
        <w:t xml:space="preserve"> investment and operations should occur at the lowest cost possible to provide the defined desirable services.</w:t>
      </w:r>
      <w:r w:rsidR="00DC674F">
        <w:t xml:space="preserve"> </w:t>
      </w:r>
      <w:r>
        <w:t>Other regulatory mechanisms (auditing and incentive</w:t>
      </w:r>
      <w:r w:rsidR="007563EE">
        <w:t xml:space="preserve"> arrangements to ensure costs are efficient</w:t>
      </w:r>
      <w:r>
        <w:t>) are the major means of addressing this objective</w:t>
      </w:r>
      <w:r w:rsidR="008004FB">
        <w:t>;</w:t>
      </w:r>
      <w:r>
        <w:t xml:space="preserve"> however, the structure of the tariff and</w:t>
      </w:r>
      <w:r w:rsidR="008004FB">
        <w:t>,</w:t>
      </w:r>
      <w:r>
        <w:t xml:space="preserve"> in particular</w:t>
      </w:r>
      <w:r w:rsidR="008004FB">
        <w:t>,</w:t>
      </w:r>
      <w:r>
        <w:t xml:space="preserve"> the extent to which revenues </w:t>
      </w:r>
      <w:proofErr w:type="gramStart"/>
      <w:r>
        <w:t>are guaranteed</w:t>
      </w:r>
      <w:proofErr w:type="gramEnd"/>
      <w:r>
        <w:t xml:space="preserve"> may </w:t>
      </w:r>
      <w:r w:rsidR="008004FB">
        <w:t>affect</w:t>
      </w:r>
      <w:r>
        <w:t xml:space="preserve"> this aspect of economic efficiency.</w:t>
      </w:r>
      <w:r w:rsidR="00DC674F">
        <w:t xml:space="preserve"> </w:t>
      </w:r>
    </w:p>
    <w:p w14:paraId="52F36E8D" w14:textId="77777777" w:rsidR="00CA7AFB" w:rsidRDefault="00CA7AFB" w:rsidP="00CA7AFB">
      <w:pPr>
        <w:pStyle w:val="Heading4"/>
      </w:pPr>
      <w:r w:rsidRPr="0095488C">
        <w:t xml:space="preserve">Pricing principle </w:t>
      </w:r>
      <w:r>
        <w:t>3</w:t>
      </w:r>
      <w:r w:rsidR="008004FB">
        <w:t>:</w:t>
      </w:r>
      <w:r w:rsidRPr="0095488C">
        <w:t xml:space="preserve"> E</w:t>
      </w:r>
      <w:r>
        <w:t>nvironmental considerations</w:t>
      </w:r>
    </w:p>
    <w:p w14:paraId="5FE4EB11" w14:textId="77777777" w:rsidR="00CA7AFB" w:rsidRDefault="00CA7AFB" w:rsidP="00CA7AFB">
      <w:r w:rsidRPr="005E7986">
        <w:rPr>
          <w:i/>
        </w:rPr>
        <w:t xml:space="preserve">Tariff structures, prices and complementary mechanisms should ensure </w:t>
      </w:r>
      <w:r w:rsidR="008004FB">
        <w:rPr>
          <w:i/>
        </w:rPr>
        <w:t xml:space="preserve">that </w:t>
      </w:r>
      <w:r w:rsidRPr="005E7986">
        <w:rPr>
          <w:i/>
        </w:rPr>
        <w:t xml:space="preserve">environmental objectives </w:t>
      </w:r>
      <w:proofErr w:type="gramStart"/>
      <w:r w:rsidRPr="005E7986">
        <w:rPr>
          <w:i/>
        </w:rPr>
        <w:t>are effectively addressed</w:t>
      </w:r>
      <w:proofErr w:type="gramEnd"/>
      <w:r w:rsidRPr="005E7986">
        <w:rPr>
          <w:i/>
        </w:rPr>
        <w:t>.</w:t>
      </w:r>
      <w:r w:rsidR="008013DA">
        <w:t xml:space="preserve"> </w:t>
      </w:r>
    </w:p>
    <w:p w14:paraId="6C1ACED4" w14:textId="77777777" w:rsidR="00CA7AFB" w:rsidRDefault="00CA7AFB" w:rsidP="00CA7AFB">
      <w:r>
        <w:t>Some environmental impacts can be reflected in prices</w:t>
      </w:r>
      <w:r w:rsidR="008004FB">
        <w:t>,</w:t>
      </w:r>
      <w:r>
        <w:t xml:space="preserve"> but </w:t>
      </w:r>
      <w:proofErr w:type="gramStart"/>
      <w:r>
        <w:t>typically</w:t>
      </w:r>
      <w:proofErr w:type="gramEnd"/>
      <w:r>
        <w:t xml:space="preserve"> environmental objectives are primarily addressed by specific legislated and government policy requirements.</w:t>
      </w:r>
      <w:r w:rsidR="008013DA">
        <w:t xml:space="preserve"> </w:t>
      </w:r>
      <w:r>
        <w:t>This includes giving priority to minimum environmental flows of water and various permanent and temporary water conservation measures or restrictions.</w:t>
      </w:r>
    </w:p>
    <w:p w14:paraId="5B7D8B2F" w14:textId="77777777" w:rsidR="00CA7AFB" w:rsidRDefault="00CA7AFB" w:rsidP="00CA7AFB">
      <w:pPr>
        <w:pStyle w:val="Heading4"/>
      </w:pPr>
      <w:r w:rsidRPr="0095488C">
        <w:lastRenderedPageBreak/>
        <w:t xml:space="preserve">Pricing principle </w:t>
      </w:r>
      <w:r>
        <w:t>4</w:t>
      </w:r>
      <w:r w:rsidR="008004FB">
        <w:t>:</w:t>
      </w:r>
      <w:r w:rsidRPr="0095488C">
        <w:t xml:space="preserve"> </w:t>
      </w:r>
      <w:r>
        <w:t>Community impact – gradual adjustment</w:t>
      </w:r>
    </w:p>
    <w:p w14:paraId="7A5160C3" w14:textId="77777777" w:rsidR="00CA7AFB" w:rsidRDefault="00CA7AFB" w:rsidP="00CA7AFB">
      <w:r w:rsidRPr="005E7986">
        <w:rPr>
          <w:i/>
        </w:rPr>
        <w:t xml:space="preserve">Any change to the structure of tariffs and prices that will have substantial customer impacts </w:t>
      </w:r>
      <w:proofErr w:type="gramStart"/>
      <w:r w:rsidRPr="005E7986">
        <w:rPr>
          <w:i/>
        </w:rPr>
        <w:t>should be phased in</w:t>
      </w:r>
      <w:proofErr w:type="gramEnd"/>
      <w:r w:rsidRPr="005E7986">
        <w:rPr>
          <w:i/>
        </w:rPr>
        <w:t xml:space="preserve"> over a transition period to allow reasonable time for customers to adjust to the change.</w:t>
      </w:r>
      <w:r>
        <w:t xml:space="preserve"> </w:t>
      </w:r>
    </w:p>
    <w:p w14:paraId="1EFA1F1D" w14:textId="77777777" w:rsidR="00CA7AFB" w:rsidRDefault="00CA7AFB" w:rsidP="00CA7AFB">
      <w:r>
        <w:t xml:space="preserve">Customers prefer price stability </w:t>
      </w:r>
      <w:r w:rsidR="00DB0CAC">
        <w:t>in</w:t>
      </w:r>
      <w:r>
        <w:t xml:space="preserve"> the overall bill</w:t>
      </w:r>
      <w:r w:rsidR="00DB0CAC">
        <w:t>s</w:t>
      </w:r>
      <w:r>
        <w:t xml:space="preserve"> they face.</w:t>
      </w:r>
      <w:r w:rsidR="008013DA">
        <w:t xml:space="preserve"> </w:t>
      </w:r>
      <w:r>
        <w:t>In addition, as tariff structure changes are likely to entail a rebalancing of charges, there is an equity or fairness issue for customers who have invested in water</w:t>
      </w:r>
      <w:r w:rsidR="00925AC7">
        <w:t>-</w:t>
      </w:r>
      <w:r>
        <w:t>saving technologies.</w:t>
      </w:r>
      <w:r w:rsidR="008013DA">
        <w:t xml:space="preserve"> </w:t>
      </w:r>
      <w:r>
        <w:t>An appropriate transition period</w:t>
      </w:r>
      <w:r w:rsidR="00925AC7">
        <w:t xml:space="preserve"> for</w:t>
      </w:r>
      <w:r>
        <w:t xml:space="preserve"> tariff structure changes can ease adjustment costs and </w:t>
      </w:r>
      <w:r w:rsidR="00DB0CAC">
        <w:t>enable</w:t>
      </w:r>
      <w:r>
        <w:t xml:space="preserve"> customers who invested in water</w:t>
      </w:r>
      <w:r w:rsidR="00925AC7">
        <w:t>-</w:t>
      </w:r>
      <w:r>
        <w:t xml:space="preserve">saving technologies to realise </w:t>
      </w:r>
      <w:r w:rsidR="00DB0CAC">
        <w:t xml:space="preserve">more </w:t>
      </w:r>
      <w:r>
        <w:t>benefits</w:t>
      </w:r>
      <w:r w:rsidR="00DB0CAC">
        <w:t xml:space="preserve"> from their investments</w:t>
      </w:r>
      <w:r>
        <w:t xml:space="preserve">. </w:t>
      </w:r>
    </w:p>
    <w:p w14:paraId="7C886230" w14:textId="77777777" w:rsidR="00CA7AFB" w:rsidRDefault="00CA7AFB" w:rsidP="00CA7AFB">
      <w:pPr>
        <w:pStyle w:val="Heading4"/>
      </w:pPr>
      <w:r w:rsidRPr="0095488C">
        <w:t xml:space="preserve">Pricing principle </w:t>
      </w:r>
      <w:r>
        <w:t>5</w:t>
      </w:r>
      <w:r w:rsidR="008004FB">
        <w:t>:</w:t>
      </w:r>
      <w:r w:rsidRPr="0095488C">
        <w:t xml:space="preserve"> </w:t>
      </w:r>
      <w:r>
        <w:t>Community impact – fair outcomes for low</w:t>
      </w:r>
      <w:r w:rsidR="00925AC7">
        <w:t>-</w:t>
      </w:r>
      <w:r>
        <w:t>income households</w:t>
      </w:r>
    </w:p>
    <w:p w14:paraId="172BD6A8" w14:textId="77777777" w:rsidR="00CA7AFB" w:rsidRPr="005E7986" w:rsidRDefault="00CA7AFB" w:rsidP="00CA7AFB">
      <w:pPr>
        <w:rPr>
          <w:i/>
        </w:rPr>
      </w:pPr>
      <w:r w:rsidRPr="005E7986">
        <w:rPr>
          <w:i/>
        </w:rPr>
        <w:t xml:space="preserve">Adverse impacts on households with low incomes need to be </w:t>
      </w:r>
      <w:proofErr w:type="gramStart"/>
      <w:r w:rsidRPr="005E7986">
        <w:rPr>
          <w:i/>
        </w:rPr>
        <w:t>limited</w:t>
      </w:r>
      <w:proofErr w:type="gramEnd"/>
      <w:r w:rsidRPr="005E7986">
        <w:rPr>
          <w:i/>
        </w:rPr>
        <w:t xml:space="preserve"> or moderated by phasing and other compensating mechanisms or limits on changes to the tariff structure.</w:t>
      </w:r>
    </w:p>
    <w:p w14:paraId="07D6B165" w14:textId="77777777" w:rsidR="00CA7AFB" w:rsidRDefault="00DB0CAC" w:rsidP="00CA7AFB">
      <w:r>
        <w:t>E</w:t>
      </w:r>
      <w:r w:rsidR="00CA7AFB" w:rsidRPr="00183CD8">
        <w:t xml:space="preserve">ffectively </w:t>
      </w:r>
      <w:r w:rsidRPr="00183CD8">
        <w:t>address</w:t>
      </w:r>
      <w:r>
        <w:t>ing</w:t>
      </w:r>
      <w:r w:rsidRPr="00183CD8">
        <w:t xml:space="preserve"> </w:t>
      </w:r>
      <w:r w:rsidR="00CA7AFB" w:rsidRPr="00183CD8">
        <w:t>concerns about increases in water bills for households with l</w:t>
      </w:r>
      <w:r w:rsidR="00CA7AFB">
        <w:t xml:space="preserve">ow </w:t>
      </w:r>
      <w:r w:rsidR="00CA7AFB" w:rsidRPr="00183CD8">
        <w:t xml:space="preserve">incomes is </w:t>
      </w:r>
      <w:r w:rsidR="00CA7AFB">
        <w:t xml:space="preserve">probably the most </w:t>
      </w:r>
      <w:r w:rsidR="00CA7AFB" w:rsidRPr="00183CD8">
        <w:t>difficult</w:t>
      </w:r>
      <w:r w:rsidR="00CA7AFB">
        <w:t xml:space="preserve"> issue in developing a set of pricing principles.</w:t>
      </w:r>
      <w:r w:rsidR="008013DA">
        <w:t xml:space="preserve"> </w:t>
      </w:r>
      <w:r w:rsidR="00CA7AFB">
        <w:t xml:space="preserve">It is </w:t>
      </w:r>
      <w:r w:rsidR="00CA7AFB" w:rsidRPr="00183CD8">
        <w:t xml:space="preserve">difficult to identify the impacts on all </w:t>
      </w:r>
      <w:r w:rsidR="00CA7AFB">
        <w:t>households with low incomes and make a decision about the value of equity impacts.</w:t>
      </w:r>
      <w:r w:rsidR="008013DA">
        <w:t xml:space="preserve"> </w:t>
      </w:r>
      <w:r w:rsidR="00CA7AFB">
        <w:t xml:space="preserve">The Commission may also </w:t>
      </w:r>
      <w:r w:rsidR="00CA7AFB" w:rsidRPr="00DB0CAC">
        <w:t xml:space="preserve">need to draw some of these implications to </w:t>
      </w:r>
      <w:r w:rsidR="003979A5">
        <w:t xml:space="preserve">the attention of </w:t>
      </w:r>
      <w:r w:rsidR="00CA7AFB" w:rsidRPr="00DB0CAC">
        <w:t>ot</w:t>
      </w:r>
      <w:r w:rsidR="00CA7AFB">
        <w:t xml:space="preserve">her arms of </w:t>
      </w:r>
      <w:r w:rsidR="00925AC7">
        <w:t>g</w:t>
      </w:r>
      <w:r w:rsidR="00CA7AFB">
        <w:t xml:space="preserve">overnment that deal with the impacts on households with low incomes such as </w:t>
      </w:r>
      <w:r w:rsidR="007953D9">
        <w:t>the Community</w:t>
      </w:r>
      <w:r w:rsidR="00CA7AFB">
        <w:t xml:space="preserve"> Services Directorate. </w:t>
      </w:r>
    </w:p>
    <w:p w14:paraId="5260124F" w14:textId="77777777" w:rsidR="00CA7AFB" w:rsidRPr="00183CD8" w:rsidRDefault="00CA7AFB" w:rsidP="00CA7AFB">
      <w:pPr>
        <w:rPr>
          <w:b/>
        </w:rPr>
      </w:pPr>
      <w:r>
        <w:t xml:space="preserve">The Commission will carefully consider the likely impact </w:t>
      </w:r>
      <w:r w:rsidR="008E3DB4">
        <w:t xml:space="preserve">of any tariff structure changes </w:t>
      </w:r>
      <w:r>
        <w:t>on households with low incomes and suggest mechanisms to address or moderate any adverse impacts.</w:t>
      </w:r>
      <w:r w:rsidR="008013DA">
        <w:t xml:space="preserve"> </w:t>
      </w:r>
      <w:r>
        <w:t xml:space="preserve">Where such measures </w:t>
      </w:r>
      <w:proofErr w:type="gramStart"/>
      <w:r>
        <w:t>cannot be implemented</w:t>
      </w:r>
      <w:proofErr w:type="gramEnd"/>
      <w:r>
        <w:t xml:space="preserve"> in a reasonable period of time, the Commission will make a decision about an acceptable cap for price increases for low and moderate levels of water usage.</w:t>
      </w:r>
      <w:r w:rsidR="008013DA">
        <w:t xml:space="preserve"> </w:t>
      </w:r>
      <w:r>
        <w:t xml:space="preserve">However, it </w:t>
      </w:r>
      <w:proofErr w:type="gramStart"/>
      <w:r>
        <w:t>is noted</w:t>
      </w:r>
      <w:proofErr w:type="gramEnd"/>
      <w:r>
        <w:t xml:space="preserve"> that this is a broad measure for dealing with impacts on households with low incomes as some or many of these households may have large families with high water usage. </w:t>
      </w:r>
    </w:p>
    <w:p w14:paraId="4AAB3764" w14:textId="77777777" w:rsidR="00CA7AFB" w:rsidRDefault="00CA7AFB" w:rsidP="00CA7AFB">
      <w:pPr>
        <w:pStyle w:val="Heading4"/>
      </w:pPr>
      <w:r w:rsidRPr="0095488C">
        <w:t xml:space="preserve">Pricing principle </w:t>
      </w:r>
      <w:r>
        <w:t>6</w:t>
      </w:r>
      <w:r w:rsidR="008004FB">
        <w:t>:</w:t>
      </w:r>
      <w:r w:rsidRPr="0095488C">
        <w:t xml:space="preserve"> </w:t>
      </w:r>
      <w:r>
        <w:t>Regulatory governance – simplicity</w:t>
      </w:r>
    </w:p>
    <w:p w14:paraId="2578D73D" w14:textId="77777777" w:rsidR="00CA7AFB" w:rsidRDefault="00CA7AFB" w:rsidP="00CA7AFB">
      <w:r w:rsidRPr="005E7986">
        <w:rPr>
          <w:i/>
        </w:rPr>
        <w:t>Tariff structures should be simple for customers to understand and straightforward for the utility to implement</w:t>
      </w:r>
      <w:r w:rsidRPr="00150211">
        <w:t>.</w:t>
      </w:r>
      <w:r w:rsidR="008013DA">
        <w:t xml:space="preserve"> </w:t>
      </w:r>
    </w:p>
    <w:p w14:paraId="27E605D2" w14:textId="77777777" w:rsidR="00CA7AFB" w:rsidRDefault="00CA7AFB" w:rsidP="00CA7AFB">
      <w:r w:rsidRPr="00150211">
        <w:t xml:space="preserve">Most consumers of water </w:t>
      </w:r>
      <w:proofErr w:type="gramStart"/>
      <w:r w:rsidRPr="00150211">
        <w:t>are considered</w:t>
      </w:r>
      <w:proofErr w:type="gramEnd"/>
      <w:r w:rsidRPr="00150211">
        <w:t xml:space="preserve"> likely to prefer a tariff structure that is readily understood and that provides clear signals </w:t>
      </w:r>
      <w:r w:rsidR="000A0C5D">
        <w:t>about</w:t>
      </w:r>
      <w:r w:rsidRPr="00150211">
        <w:t xml:space="preserve"> the impact of consuming additional water.</w:t>
      </w:r>
      <w:r w:rsidR="008013DA">
        <w:t xml:space="preserve"> </w:t>
      </w:r>
      <w:r w:rsidRPr="00150211">
        <w:t>Readily understood tariff structures have the added benefit of being easier and cheaper for the utility to implement</w:t>
      </w:r>
      <w:r w:rsidR="000A0C5D">
        <w:t>, which</w:t>
      </w:r>
      <w:r w:rsidRPr="00150211">
        <w:t xml:space="preserve"> also contributes to economic efficiency. </w:t>
      </w:r>
    </w:p>
    <w:p w14:paraId="3E7A07C8" w14:textId="77777777" w:rsidR="00CA7AFB" w:rsidRDefault="00CA7AFB" w:rsidP="00CA7AFB">
      <w:pPr>
        <w:pStyle w:val="Heading4"/>
      </w:pPr>
      <w:r w:rsidRPr="0095488C">
        <w:lastRenderedPageBreak/>
        <w:t xml:space="preserve">Pricing principle </w:t>
      </w:r>
      <w:r>
        <w:t>7</w:t>
      </w:r>
      <w:r w:rsidR="00925AC7">
        <w:t>:</w:t>
      </w:r>
      <w:r w:rsidRPr="0095488C">
        <w:t xml:space="preserve"> </w:t>
      </w:r>
      <w:r>
        <w:t>Regulatory governance – transparency</w:t>
      </w:r>
    </w:p>
    <w:p w14:paraId="6A8949DD" w14:textId="77777777" w:rsidR="00CA7AFB" w:rsidRDefault="00CA7AFB" w:rsidP="00CA7AFB">
      <w:r w:rsidRPr="005E7986">
        <w:rPr>
          <w:i/>
        </w:rPr>
        <w:t>Tariffs should be set using a transparent methodology and subject to public consultation and scrutiny.</w:t>
      </w:r>
      <w:r>
        <w:t xml:space="preserve"> </w:t>
      </w:r>
    </w:p>
    <w:p w14:paraId="2FE384B1" w14:textId="77777777" w:rsidR="00CA7AFB" w:rsidRDefault="00CA7AFB" w:rsidP="00CA7AFB">
      <w:pPr>
        <w:sectPr w:rsidR="00CA7AFB" w:rsidSect="00CA7AFB">
          <w:headerReference w:type="even" r:id="rId47"/>
          <w:headerReference w:type="default" r:id="rId48"/>
          <w:endnotePr>
            <w:numFmt w:val="decimal"/>
          </w:endnotePr>
          <w:type w:val="continuous"/>
          <w:pgSz w:w="11907" w:h="16840" w:code="9"/>
          <w:pgMar w:top="2268" w:right="2098" w:bottom="1701" w:left="2098" w:header="578" w:footer="578" w:gutter="0"/>
          <w:cols w:space="720"/>
          <w:docGrid w:linePitch="299"/>
        </w:sectPr>
      </w:pPr>
      <w:r>
        <w:t xml:space="preserve">This principle relates to process and is an important aspect </w:t>
      </w:r>
      <w:r w:rsidR="000A0C5D">
        <w:t xml:space="preserve">of </w:t>
      </w:r>
      <w:r>
        <w:t>achieving good governance with respect to regulatory actions.</w:t>
      </w:r>
      <w:r w:rsidR="008013DA">
        <w:t xml:space="preserve"> </w:t>
      </w:r>
      <w:r>
        <w:t>The community as a whole needs to have confidence in the regulatory arrangements</w:t>
      </w:r>
      <w:r w:rsidR="000A0C5D">
        <w:t>,</w:t>
      </w:r>
      <w:r>
        <w:t xml:space="preserve"> and this requires </w:t>
      </w:r>
      <w:r w:rsidR="000A0C5D">
        <w:t>a</w:t>
      </w:r>
      <w:r>
        <w:t xml:space="preserve"> generally good understanding across the community of how tariff structures and levels are determined</w:t>
      </w:r>
      <w:r w:rsidR="000A0C5D">
        <w:t>.</w:t>
      </w:r>
    </w:p>
    <w:p w14:paraId="4666593C" w14:textId="77777777" w:rsidR="00CA7AFB" w:rsidRDefault="00CA7AFB" w:rsidP="003A7D85">
      <w:pPr>
        <w:pStyle w:val="Heading1"/>
        <w:sectPr w:rsidR="00CA7AFB" w:rsidSect="00CA7AFB">
          <w:headerReference w:type="default" r:id="rId49"/>
          <w:endnotePr>
            <w:numFmt w:val="decimal"/>
          </w:endnotePr>
          <w:type w:val="oddPage"/>
          <w:pgSz w:w="11907" w:h="16840" w:code="9"/>
          <w:pgMar w:top="2268" w:right="2098" w:bottom="1701" w:left="2098" w:header="578" w:footer="578" w:gutter="0"/>
          <w:cols w:space="720"/>
          <w:docGrid w:linePitch="299"/>
        </w:sectPr>
      </w:pPr>
      <w:bookmarkStart w:id="156" w:name="_Ref468431864"/>
      <w:bookmarkStart w:id="157" w:name="_Ref468431891"/>
      <w:bookmarkStart w:id="158" w:name="_Ref468431937"/>
      <w:bookmarkStart w:id="159" w:name="_Ref468431945"/>
      <w:bookmarkStart w:id="160" w:name="_Ref468431973"/>
      <w:bookmarkStart w:id="161" w:name="_Ref468453118"/>
      <w:bookmarkStart w:id="162" w:name="_Ref468453127"/>
      <w:bookmarkStart w:id="163" w:name="_Ref468456255"/>
      <w:bookmarkStart w:id="164" w:name="_Ref468456270"/>
      <w:bookmarkStart w:id="165" w:name="_Ref468456335"/>
      <w:bookmarkStart w:id="166" w:name="_Ref468456347"/>
      <w:bookmarkStart w:id="167" w:name="_Ref468456666"/>
      <w:bookmarkStart w:id="168" w:name="_Ref468456839"/>
      <w:bookmarkStart w:id="169" w:name="_Ref468456851"/>
      <w:bookmarkStart w:id="170" w:name="_Ref468456874"/>
      <w:bookmarkStart w:id="171" w:name="_Ref468456892"/>
      <w:bookmarkStart w:id="172" w:name="_Ref468456942"/>
      <w:bookmarkStart w:id="173" w:name="_Ref468456959"/>
      <w:bookmarkStart w:id="174" w:name="_Ref468457065"/>
      <w:bookmarkStart w:id="175" w:name="_Ref468457082"/>
      <w:bookmarkStart w:id="176" w:name="_Ref468457589"/>
      <w:bookmarkStart w:id="177" w:name="_Ref468457605"/>
      <w:bookmarkStart w:id="178" w:name="_Ref468457742"/>
      <w:bookmarkStart w:id="179" w:name="_Ref468457756"/>
      <w:bookmarkStart w:id="180" w:name="_Ref468890459"/>
      <w:bookmarkStart w:id="181" w:name="_Ref468890471"/>
      <w:bookmarkStart w:id="182" w:name="_Ref468891138"/>
      <w:bookmarkStart w:id="183" w:name="_Ref468891159"/>
      <w:bookmarkStart w:id="184" w:name="_Toc476753975"/>
      <w:bookmarkStart w:id="185" w:name="_Toc478465452"/>
      <w:r>
        <w:lastRenderedPageBreak/>
        <w:t>Assessment of t</w:t>
      </w:r>
      <w:r w:rsidRPr="00B735F2">
        <w:t>he current water</w:t>
      </w:r>
      <w:r>
        <w:t xml:space="preserve"> services</w:t>
      </w:r>
      <w:r w:rsidRPr="00B735F2">
        <w:t xml:space="preserve"> tariff structure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F7A31F4" w14:textId="77777777" w:rsidR="00CA7AFB" w:rsidRDefault="00CA7AFB" w:rsidP="00CA7AFB">
      <w:pPr>
        <w:pStyle w:val="Heading2a"/>
      </w:pPr>
      <w:bookmarkStart w:id="186" w:name="_Toc476753976"/>
      <w:bookmarkStart w:id="187" w:name="_Toc478465453"/>
      <w:r>
        <w:t>4.1</w:t>
      </w:r>
      <w:r>
        <w:tab/>
        <w:t>Introduction</w:t>
      </w:r>
      <w:bookmarkEnd w:id="186"/>
      <w:bookmarkEnd w:id="187"/>
    </w:p>
    <w:p w14:paraId="6DDB51B4" w14:textId="77777777" w:rsidR="00CA7AFB" w:rsidRDefault="00CA7AFB" w:rsidP="00CA7AFB">
      <w:r>
        <w:t xml:space="preserve">This chapter applies the pricing principles described in the previous chapter to identify </w:t>
      </w:r>
      <w:r w:rsidRPr="008E3DB4">
        <w:t>any pro</w:t>
      </w:r>
      <w:r>
        <w:t>blems with Icon Water</w:t>
      </w:r>
      <w:r w:rsidR="00DC674F">
        <w:t>’</w:t>
      </w:r>
      <w:r>
        <w:t>s current water services tariff structure and potential directions for changing the tariff structure in the long</w:t>
      </w:r>
      <w:r w:rsidR="000A0C5D">
        <w:t>-</w:t>
      </w:r>
      <w:r>
        <w:t xml:space="preserve">term interests of consumers in the ACT as a whole. </w:t>
      </w:r>
    </w:p>
    <w:p w14:paraId="11DA4E18" w14:textId="77777777" w:rsidR="00CA7AFB" w:rsidRDefault="00CA7AFB" w:rsidP="00CA7AFB">
      <w:pPr>
        <w:pStyle w:val="Heading2a"/>
      </w:pPr>
      <w:bookmarkStart w:id="188" w:name="_Toc476753977"/>
      <w:bookmarkStart w:id="189" w:name="_Toc478465454"/>
      <w:r>
        <w:t>4.2</w:t>
      </w:r>
      <w:r>
        <w:tab/>
      </w:r>
      <w:r w:rsidRPr="003611E2">
        <w:t>Two</w:t>
      </w:r>
      <w:r w:rsidR="000A0C5D">
        <w:t>-</w:t>
      </w:r>
      <w:r w:rsidRPr="003611E2">
        <w:t xml:space="preserve">part and inclining block </w:t>
      </w:r>
      <w:r>
        <w:t xml:space="preserve">tariff </w:t>
      </w:r>
      <w:r w:rsidRPr="003611E2">
        <w:t>structures</w:t>
      </w:r>
      <w:bookmarkEnd w:id="188"/>
      <w:bookmarkEnd w:id="189"/>
    </w:p>
    <w:p w14:paraId="7EF2B12D" w14:textId="77777777" w:rsidR="00CA7AFB" w:rsidRPr="0046027F" w:rsidRDefault="00CA7AFB" w:rsidP="000A0C5D">
      <w:r w:rsidRPr="0046027F">
        <w:t>A two</w:t>
      </w:r>
      <w:r w:rsidR="000A0C5D">
        <w:t>-</w:t>
      </w:r>
      <w:r w:rsidRPr="0046027F">
        <w:t xml:space="preserve">part tariff structure has a fixed </w:t>
      </w:r>
      <w:r w:rsidR="008E3DB4">
        <w:t xml:space="preserve">supply </w:t>
      </w:r>
      <w:r w:rsidRPr="0046027F">
        <w:t xml:space="preserve">component and a </w:t>
      </w:r>
      <w:r w:rsidR="008E3DB4">
        <w:t xml:space="preserve">variable </w:t>
      </w:r>
      <w:r w:rsidRPr="0046027F">
        <w:t xml:space="preserve">usage component </w:t>
      </w:r>
      <w:r w:rsidR="008E3DB4">
        <w:t xml:space="preserve">that </w:t>
      </w:r>
      <w:proofErr w:type="gramStart"/>
      <w:r w:rsidR="008E3DB4">
        <w:t xml:space="preserve">is </w:t>
      </w:r>
      <w:r w:rsidRPr="0046027F">
        <w:t>based</w:t>
      </w:r>
      <w:proofErr w:type="gramEnd"/>
      <w:r w:rsidRPr="0046027F">
        <w:t xml:space="preserve"> on the volume of water used</w:t>
      </w:r>
      <w:r>
        <w:t>.</w:t>
      </w:r>
      <w:r w:rsidR="008013DA">
        <w:t xml:space="preserve"> </w:t>
      </w:r>
      <w:r w:rsidRPr="0046027F">
        <w:t>The two</w:t>
      </w:r>
      <w:r w:rsidR="000A0C5D">
        <w:t>-</w:t>
      </w:r>
      <w:r w:rsidRPr="0046027F">
        <w:t>part structure can be helpful in achieving two a</w:t>
      </w:r>
      <w:r>
        <w:t>spects of economic efficiency.</w:t>
      </w:r>
      <w:r w:rsidR="008013DA">
        <w:t xml:space="preserve"> </w:t>
      </w:r>
      <w:r w:rsidRPr="0046027F">
        <w:t xml:space="preserve">The usage part can be set at a level that reflects </w:t>
      </w:r>
      <w:r w:rsidR="008E3DB4">
        <w:t xml:space="preserve">the </w:t>
      </w:r>
      <w:r w:rsidRPr="0046027F">
        <w:t>marginal social cost (the additional cost to society when additional water usage occurs) and the fixed part can be set to ensure that revenue is sufficient to finance the overall cost of supply.</w:t>
      </w:r>
      <w:r w:rsidR="008013DA">
        <w:t xml:space="preserve"> </w:t>
      </w:r>
      <w:r w:rsidRPr="0046027F">
        <w:t xml:space="preserve">It is important to ensure </w:t>
      </w:r>
      <w:r w:rsidR="000A0C5D">
        <w:t xml:space="preserve">that </w:t>
      </w:r>
      <w:r w:rsidRPr="0046027F">
        <w:t>the fixed component does not affect usage</w:t>
      </w:r>
      <w:r w:rsidR="000A0C5D">
        <w:t>,</w:t>
      </w:r>
      <w:r w:rsidRPr="0046027F">
        <w:t xml:space="preserve"> but the fixed component can differ by type of use</w:t>
      </w:r>
      <w:r w:rsidR="000A0C5D">
        <w:t xml:space="preserve"> (</w:t>
      </w:r>
      <w:r w:rsidRPr="0046027F">
        <w:t>for example, business or household</w:t>
      </w:r>
      <w:r w:rsidR="000A0C5D">
        <w:t>). It</w:t>
      </w:r>
      <w:r w:rsidRPr="0046027F">
        <w:t xml:space="preserve"> </w:t>
      </w:r>
      <w:r w:rsidRPr="00493675">
        <w:t xml:space="preserve">could </w:t>
      </w:r>
      <w:r w:rsidR="000A0C5D">
        <w:t xml:space="preserve">also </w:t>
      </w:r>
      <w:r w:rsidRPr="00493675">
        <w:t xml:space="preserve">vary </w:t>
      </w:r>
      <w:r w:rsidR="000A0C5D">
        <w:t>based on</w:t>
      </w:r>
      <w:r w:rsidRPr="00493675">
        <w:t xml:space="preserve"> other characteristics of customers</w:t>
      </w:r>
      <w:r w:rsidR="000A0C5D">
        <w:t xml:space="preserve"> in order</w:t>
      </w:r>
      <w:r w:rsidRPr="00493675">
        <w:t xml:space="preserve"> to raise revenue in a way that helps to minimise adverse impacts on low</w:t>
      </w:r>
      <w:r w:rsidR="000A0C5D">
        <w:t>-</w:t>
      </w:r>
      <w:r w:rsidRPr="00493675">
        <w:t>income users.</w:t>
      </w:r>
      <w:r w:rsidR="008013DA">
        <w:t xml:space="preserve"> </w:t>
      </w:r>
      <w:r w:rsidRPr="0046027F">
        <w:t>A two</w:t>
      </w:r>
      <w:r w:rsidR="000A0C5D">
        <w:t>-</w:t>
      </w:r>
      <w:r w:rsidRPr="0046027F">
        <w:t xml:space="preserve">part tariff can ensure that the efficient level of output </w:t>
      </w:r>
      <w:proofErr w:type="gramStart"/>
      <w:r w:rsidRPr="0046027F">
        <w:t>is provided</w:t>
      </w:r>
      <w:proofErr w:type="gramEnd"/>
      <w:r w:rsidRPr="0046027F">
        <w:t xml:space="preserve"> as well as </w:t>
      </w:r>
      <w:r w:rsidR="00F62A77" w:rsidRPr="0046027F">
        <w:t>ensur</w:t>
      </w:r>
      <w:r w:rsidR="00F62A77">
        <w:t>e</w:t>
      </w:r>
      <w:r w:rsidR="00F62A77" w:rsidRPr="0046027F">
        <w:t xml:space="preserve"> </w:t>
      </w:r>
      <w:r w:rsidRPr="0046027F">
        <w:t xml:space="preserve">that fixed costs are recovered, </w:t>
      </w:r>
      <w:r w:rsidR="00F62A77">
        <w:t>as long as</w:t>
      </w:r>
      <w:r w:rsidR="00F62A77" w:rsidRPr="0046027F">
        <w:t xml:space="preserve"> </w:t>
      </w:r>
      <w:r w:rsidRPr="0046027F">
        <w:t xml:space="preserve">the fixed charge does not mean that some users opt out of the service. </w:t>
      </w:r>
    </w:p>
    <w:p w14:paraId="3F840FF9" w14:textId="77777777" w:rsidR="00CA7AFB" w:rsidRPr="00A66075" w:rsidRDefault="00CA7AFB" w:rsidP="00CA7AFB">
      <w:r w:rsidRPr="00A66075">
        <w:t xml:space="preserve">An inclining block tariff </w:t>
      </w:r>
      <w:r>
        <w:t xml:space="preserve">has a fixed component and more than one usage component, with the usage components increasing as </w:t>
      </w:r>
      <w:r w:rsidRPr="00A66075">
        <w:t xml:space="preserve">successively higher blocks of water </w:t>
      </w:r>
      <w:proofErr w:type="gramStart"/>
      <w:r w:rsidRPr="00A66075">
        <w:t xml:space="preserve">are </w:t>
      </w:r>
      <w:r>
        <w:t>consumed</w:t>
      </w:r>
      <w:proofErr w:type="gramEnd"/>
      <w:r w:rsidRPr="00A66075">
        <w:t>.</w:t>
      </w:r>
      <w:r w:rsidR="008013DA">
        <w:t xml:space="preserve"> </w:t>
      </w:r>
      <w:r>
        <w:t>The Productivity Commission</w:t>
      </w:r>
      <w:r w:rsidRPr="00683970">
        <w:rPr>
          <w:vertAlign w:val="superscript"/>
        </w:rPr>
        <w:t xml:space="preserve"> </w:t>
      </w:r>
      <w:r>
        <w:t>has noted that t</w:t>
      </w:r>
      <w:r w:rsidRPr="00A66075">
        <w:t xml:space="preserve">he first block </w:t>
      </w:r>
      <w:r>
        <w:t>te</w:t>
      </w:r>
      <w:r w:rsidRPr="00A66075">
        <w:t>nds to be set at or be</w:t>
      </w:r>
      <w:r w:rsidRPr="008E3DB4">
        <w:t xml:space="preserve">low </w:t>
      </w:r>
      <w:r w:rsidR="008E3DB4">
        <w:t xml:space="preserve">the </w:t>
      </w:r>
      <w:r w:rsidRPr="008E3DB4">
        <w:t>lon</w:t>
      </w:r>
      <w:r>
        <w:t>g</w:t>
      </w:r>
      <w:r w:rsidR="00F62A77">
        <w:t>-</w:t>
      </w:r>
      <w:r>
        <w:t>run marginal cost</w:t>
      </w:r>
      <w:r w:rsidRPr="00A66075">
        <w:t xml:space="preserve"> to provide an amount of essential water at low cost to assist low-income households</w:t>
      </w:r>
      <w:r>
        <w:t>, while s</w:t>
      </w:r>
      <w:r w:rsidRPr="00A66075">
        <w:t xml:space="preserve">ubsequent blocks are set at </w:t>
      </w:r>
      <w:r w:rsidRPr="008E3DB4">
        <w:t xml:space="preserve">or above </w:t>
      </w:r>
      <w:r w:rsidR="008E3DB4">
        <w:t xml:space="preserve">the </w:t>
      </w:r>
      <w:r w:rsidRPr="008E3DB4">
        <w:t>long</w:t>
      </w:r>
      <w:r w:rsidR="00F62A77">
        <w:t>-</w:t>
      </w:r>
      <w:r>
        <w:t>run marginal cost</w:t>
      </w:r>
      <w:r w:rsidRPr="00A66075">
        <w:t xml:space="preserve"> to provide incentives f</w:t>
      </w:r>
      <w:r>
        <w:t>or water conservation</w:t>
      </w:r>
      <w:r w:rsidRPr="00A66075">
        <w:t>.</w:t>
      </w:r>
      <w:r w:rsidR="00F62A77" w:rsidRPr="00683970">
        <w:rPr>
          <w:vertAlign w:val="superscript"/>
        </w:rPr>
        <w:footnoteReference w:id="23"/>
      </w:r>
      <w:r w:rsidRPr="00A66075">
        <w:t xml:space="preserve"> Sometimes, t</w:t>
      </w:r>
      <w:r>
        <w:t>he price of each block reflect</w:t>
      </w:r>
      <w:r w:rsidR="00F62A77">
        <w:t>s</w:t>
      </w:r>
      <w:r w:rsidRPr="00A66075">
        <w:t xml:space="preserve"> the range of estimates of </w:t>
      </w:r>
      <w:r>
        <w:t>long</w:t>
      </w:r>
      <w:r w:rsidR="00F62A77">
        <w:t>-</w:t>
      </w:r>
      <w:r>
        <w:t>run marginal cost.</w:t>
      </w:r>
    </w:p>
    <w:p w14:paraId="48658A6A" w14:textId="77777777" w:rsidR="00CA7AFB" w:rsidRPr="0046027F" w:rsidRDefault="00CA7AFB" w:rsidP="00CA7AFB">
      <w:r w:rsidRPr="0046027F">
        <w:t>In the past, many jurisdictions in Australia charged a fixed fee for water supply based on property values.</w:t>
      </w:r>
      <w:r w:rsidRPr="003F14DB">
        <w:rPr>
          <w:vertAlign w:val="superscript"/>
        </w:rPr>
        <w:footnoteReference w:id="24"/>
      </w:r>
      <w:r w:rsidR="008013DA">
        <w:t xml:space="preserve"> </w:t>
      </w:r>
      <w:r w:rsidRPr="0046027F">
        <w:t>However, as part of the National Competition Policy reforms</w:t>
      </w:r>
      <w:r w:rsidR="00F62A77">
        <w:t xml:space="preserve"> in the 1990s</w:t>
      </w:r>
      <w:r w:rsidRPr="0046027F">
        <w:t xml:space="preserve">, </w:t>
      </w:r>
      <w:proofErr w:type="gramStart"/>
      <w:r w:rsidRPr="0046027F">
        <w:t>water pricing</w:t>
      </w:r>
      <w:proofErr w:type="gramEnd"/>
      <w:r w:rsidRPr="0046027F">
        <w:t xml:space="preserve"> policies were adjusted in a number of Australian jurisdictions.</w:t>
      </w:r>
      <w:r w:rsidR="008013DA">
        <w:t xml:space="preserve"> </w:t>
      </w:r>
      <w:r w:rsidRPr="0046027F">
        <w:t>Several jurisdictions adopted two</w:t>
      </w:r>
      <w:r w:rsidR="00F62A77">
        <w:t>-</w:t>
      </w:r>
      <w:r w:rsidRPr="0046027F">
        <w:t xml:space="preserve">part tariffs with a fixed component and a single </w:t>
      </w:r>
      <w:r>
        <w:t>usage</w:t>
      </w:r>
      <w:r w:rsidRPr="0046027F">
        <w:t xml:space="preserve"> (volumetric-based) rate that often reflected </w:t>
      </w:r>
      <w:r>
        <w:t>long</w:t>
      </w:r>
      <w:r w:rsidR="00F62A77">
        <w:t>-</w:t>
      </w:r>
      <w:r>
        <w:t>run marginal cost</w:t>
      </w:r>
      <w:r w:rsidRPr="0046027F">
        <w:t>, motivated by a perceived need to move towards consumption</w:t>
      </w:r>
      <w:r w:rsidR="00F62A77">
        <w:t>-</w:t>
      </w:r>
      <w:r w:rsidRPr="0046027F">
        <w:t xml:space="preserve">based pricing and send price signals </w:t>
      </w:r>
      <w:r w:rsidRPr="0046027F">
        <w:lastRenderedPageBreak/>
        <w:t>about the costs of future supply augmentation.</w:t>
      </w:r>
      <w:r w:rsidR="008013DA">
        <w:t xml:space="preserve"> </w:t>
      </w:r>
      <w:r w:rsidRPr="0046027F">
        <w:t>Later, concerns about how to accommodate increased water scarcity while also address</w:t>
      </w:r>
      <w:r>
        <w:t>ing</w:t>
      </w:r>
      <w:r w:rsidRPr="0046027F">
        <w:t xml:space="preserve"> basic needs and fairness concerns led to the development of </w:t>
      </w:r>
      <w:r>
        <w:t xml:space="preserve">usage </w:t>
      </w:r>
      <w:r w:rsidRPr="0046027F">
        <w:t>components with the increasing tier structure that characterises the inclining block tariff.</w:t>
      </w:r>
      <w:r w:rsidR="008013DA">
        <w:t xml:space="preserve"> </w:t>
      </w:r>
      <w:r w:rsidRPr="0046027F">
        <w:t xml:space="preserve">In 2008, Sydney moved from an </w:t>
      </w:r>
      <w:r w:rsidR="008C1AEA">
        <w:t>incl</w:t>
      </w:r>
      <w:r w:rsidR="00564CEF">
        <w:t>ining block</w:t>
      </w:r>
      <w:r w:rsidR="008C1AEA" w:rsidRPr="0046027F">
        <w:t xml:space="preserve"> </w:t>
      </w:r>
      <w:r w:rsidR="008E3DB4">
        <w:t xml:space="preserve">structure </w:t>
      </w:r>
      <w:r w:rsidRPr="0046027F">
        <w:t>to a single volumetric rate</w:t>
      </w:r>
      <w:r w:rsidR="00F62A77">
        <w:t>. T</w:t>
      </w:r>
      <w:r w:rsidRPr="0046027F">
        <w:t xml:space="preserve">he requirement for non-metropolitan utilities in New South Wales to use </w:t>
      </w:r>
      <w:r w:rsidR="00564CEF">
        <w:t xml:space="preserve">inclining block </w:t>
      </w:r>
      <w:r w:rsidR="008E3DB4">
        <w:t>structures</w:t>
      </w:r>
      <w:r w:rsidR="00564CEF" w:rsidRPr="0046027F">
        <w:t xml:space="preserve"> </w:t>
      </w:r>
      <w:proofErr w:type="gramStart"/>
      <w:r w:rsidRPr="0046027F">
        <w:t>was removed</w:t>
      </w:r>
      <w:proofErr w:type="gramEnd"/>
      <w:r w:rsidRPr="0046027F">
        <w:t xml:space="preserve"> in 2011, and utilities</w:t>
      </w:r>
      <w:r>
        <w:t xml:space="preserve"> in New South Wales</w:t>
      </w:r>
      <w:r w:rsidRPr="0046027F">
        <w:t xml:space="preserve"> are now encouraged to use a flat volumetric pricing structure.</w:t>
      </w:r>
      <w:r w:rsidR="008013DA">
        <w:t xml:space="preserve"> </w:t>
      </w:r>
      <w:r w:rsidRPr="0046027F">
        <w:t xml:space="preserve">However, several other jurisdictions continue to have inclining block tariffs. </w:t>
      </w:r>
    </w:p>
    <w:p w14:paraId="7A7BDEDE" w14:textId="77777777" w:rsidR="00CA7AFB" w:rsidRDefault="00CA7AFB" w:rsidP="00CA7AFB">
      <w:pPr>
        <w:pStyle w:val="Heading2a"/>
      </w:pPr>
      <w:bookmarkStart w:id="190" w:name="_Toc476753978"/>
      <w:bookmarkStart w:id="191" w:name="_Toc478465455"/>
      <w:r>
        <w:t>4.3</w:t>
      </w:r>
      <w:r>
        <w:tab/>
        <w:t>Current tariff structure: two-part inclining block</w:t>
      </w:r>
      <w:bookmarkEnd w:id="190"/>
      <w:bookmarkEnd w:id="191"/>
    </w:p>
    <w:p w14:paraId="7D21ED18" w14:textId="77777777" w:rsidR="00CA7AFB" w:rsidRDefault="00CA7AFB" w:rsidP="00CA7AFB">
      <w:r>
        <w:t>As explained in Chapter 1, the current ACT water tariff structure comprises an annual fixed supply charge and a two-tier usage charge.</w:t>
      </w:r>
      <w:r w:rsidR="008013DA">
        <w:t xml:space="preserve"> </w:t>
      </w:r>
      <w:r>
        <w:t>The per unit usage charge depends on the volume used, with a lower price for the first 200 kL of water use</w:t>
      </w:r>
      <w:r w:rsidR="00F47F69">
        <w:t>d</w:t>
      </w:r>
      <w:r>
        <w:t xml:space="preserve"> per annum and a higher water price, double that of the first</w:t>
      </w:r>
      <w:r w:rsidR="00F47F69">
        <w:t>-</w:t>
      </w:r>
      <w:r>
        <w:t xml:space="preserve">tier price, for water used above that level. This </w:t>
      </w:r>
      <w:proofErr w:type="gramStart"/>
      <w:r>
        <w:t>is known</w:t>
      </w:r>
      <w:proofErr w:type="gramEnd"/>
      <w:r>
        <w:t xml:space="preserve"> as a two-part inclining block tariff. </w:t>
      </w:r>
    </w:p>
    <w:p w14:paraId="1991BB11" w14:textId="62B6A6E6" w:rsidR="00CA7AFB" w:rsidRDefault="00CA7AFB" w:rsidP="00CA7AFB">
      <w:r>
        <w:t>The current water tariff structure means that Icon Water is heavily reliant on usage charges to raise revenue to cover its costs.</w:t>
      </w:r>
      <w:r w:rsidR="008013DA">
        <w:t xml:space="preserve"> </w:t>
      </w:r>
      <w:r>
        <w:t>With the current tariff structure, Icon Water recovers about 10 per cent of its water revenue from the fixed charge</w:t>
      </w:r>
      <w:r w:rsidR="00F47F69">
        <w:t xml:space="preserve"> and</w:t>
      </w:r>
      <w:r>
        <w:t xml:space="preserve"> the remaining 90 per cent from usage charges.</w:t>
      </w:r>
      <w:r w:rsidR="008013DA">
        <w:t xml:space="preserve"> </w:t>
      </w:r>
      <w:r>
        <w:t>Comparisons with eight other urban water utilities show that Icon Water</w:t>
      </w:r>
      <w:r w:rsidR="00DC674F">
        <w:t>’</w:t>
      </w:r>
      <w:r>
        <w:t>s Tier 2 usage charge is the highest and its fixed charge is among the lowest</w:t>
      </w:r>
      <w:r w:rsidR="00AC11FD">
        <w:t xml:space="preserve"> (see</w:t>
      </w:r>
      <w:r w:rsidR="007D3C54">
        <w:t xml:space="preserve"> </w:t>
      </w:r>
      <w:r w:rsidR="007D3C54">
        <w:fldChar w:fldCharType="begin"/>
      </w:r>
      <w:r w:rsidR="007D3C54">
        <w:instrText xml:space="preserve"> REF _Ref474142592 \h </w:instrText>
      </w:r>
      <w:r w:rsidR="007D3C54">
        <w:fldChar w:fldCharType="separate"/>
      </w:r>
      <w:r w:rsidR="007D3C54" w:rsidRPr="00E33D9E">
        <w:t xml:space="preserve">Figure </w:t>
      </w:r>
      <w:r w:rsidR="007D3C54">
        <w:rPr>
          <w:noProof/>
        </w:rPr>
        <w:t>4</w:t>
      </w:r>
      <w:r w:rsidR="007D3C54">
        <w:t>.</w:t>
      </w:r>
      <w:r w:rsidR="007D3C54">
        <w:rPr>
          <w:noProof/>
        </w:rPr>
        <w:t>1</w:t>
      </w:r>
      <w:r w:rsidR="007D3C54">
        <w:fldChar w:fldCharType="end"/>
      </w:r>
      <w:r w:rsidR="00AC11FD">
        <w:t>)</w:t>
      </w:r>
      <w:r>
        <w:t>.</w:t>
      </w:r>
    </w:p>
    <w:p w14:paraId="06C22CB5" w14:textId="77777777" w:rsidR="00CA7AFB" w:rsidRDefault="00CA7AFB" w:rsidP="00CA7AFB">
      <w:pPr>
        <w:pStyle w:val="Heading2a"/>
      </w:pPr>
      <w:bookmarkStart w:id="192" w:name="_Toc468175210"/>
      <w:bookmarkStart w:id="193" w:name="_Toc476753979"/>
      <w:bookmarkStart w:id="194" w:name="_Toc478465456"/>
      <w:bookmarkStart w:id="195" w:name="_Toc420064874"/>
      <w:r>
        <w:t>4.4</w:t>
      </w:r>
      <w:r>
        <w:tab/>
        <w:t>Efficient use</w:t>
      </w:r>
      <w:bookmarkEnd w:id="192"/>
      <w:bookmarkEnd w:id="193"/>
      <w:bookmarkEnd w:id="194"/>
    </w:p>
    <w:p w14:paraId="6239D1B3" w14:textId="77777777" w:rsidR="00CA7AFB" w:rsidRDefault="00CA7AFB" w:rsidP="00CA7AFB">
      <w:r>
        <w:t>The first aspect of economic efficiency relates to setting a usage charge that reflects relevant margin</w:t>
      </w:r>
      <w:r w:rsidRPr="002269CE">
        <w:t>al costs</w:t>
      </w:r>
      <w:r w:rsidR="00F47F69" w:rsidRPr="002269CE">
        <w:t>,</w:t>
      </w:r>
      <w:r w:rsidRPr="002269CE">
        <w:t xml:space="preserve"> i</w:t>
      </w:r>
      <w:r>
        <w:t>ncluding the cost of using the water resource itself.</w:t>
      </w:r>
      <w:r w:rsidR="008013DA">
        <w:t xml:space="preserve"> </w:t>
      </w:r>
      <w:r>
        <w:t xml:space="preserve">This aspect of economic efficiency </w:t>
      </w:r>
      <w:proofErr w:type="gramStart"/>
      <w:r>
        <w:t>is known</w:t>
      </w:r>
      <w:proofErr w:type="gramEnd"/>
      <w:r>
        <w:t xml:space="preserve"> as allocative efficiency.</w:t>
      </w:r>
      <w:r w:rsidR="008013DA">
        <w:t xml:space="preserve"> </w:t>
      </w:r>
    </w:p>
    <w:p w14:paraId="5F2EB7D6" w14:textId="77777777" w:rsidR="00CA7AFB" w:rsidRDefault="00CA7AFB" w:rsidP="00CA7AFB">
      <w:r>
        <w:t>The use of an appropriate measure of marginal cost for setting a usage price is in the interests of the community since it should reflect the true cost to society as a whole of using an additional marginal amount of water.</w:t>
      </w:r>
      <w:r w:rsidR="008013DA">
        <w:t xml:space="preserve"> </w:t>
      </w:r>
      <w:r>
        <w:t>The marginal costs should include efficient operational costs as well as a component that reflects the value of water and any other externality</w:t>
      </w:r>
      <w:r w:rsidR="00F47F69">
        <w:t>-</w:t>
      </w:r>
      <w:r>
        <w:t>type costs not reflected in prices or other measures such as water restrictions.</w:t>
      </w:r>
      <w:r w:rsidR="008013DA">
        <w:t xml:space="preserve"> </w:t>
      </w:r>
      <w:r>
        <w:t xml:space="preserve">This definition of marginal cost </w:t>
      </w:r>
      <w:proofErr w:type="gramStart"/>
      <w:r>
        <w:t>is known</w:t>
      </w:r>
      <w:proofErr w:type="gramEnd"/>
      <w:r>
        <w:t xml:space="preserve"> as </w:t>
      </w:r>
      <w:r w:rsidR="00DC674F">
        <w:t>‘</w:t>
      </w:r>
      <w:r>
        <w:t>marginal social cost</w:t>
      </w:r>
      <w:r w:rsidR="00DC674F">
        <w:t>’</w:t>
      </w:r>
      <w:r>
        <w:t>.</w:t>
      </w:r>
    </w:p>
    <w:p w14:paraId="1E4F7798" w14:textId="77777777" w:rsidR="00CA7AFB" w:rsidRDefault="00CA7AFB" w:rsidP="00CA7AFB">
      <w:r>
        <w:t xml:space="preserve">The fixed component of the tariff </w:t>
      </w:r>
      <w:proofErr w:type="gramStart"/>
      <w:r>
        <w:t>is not related</w:t>
      </w:r>
      <w:proofErr w:type="gramEnd"/>
      <w:r>
        <w:t xml:space="preserve"> to usage and should contribute as much as possible to the recovery of fixed costs</w:t>
      </w:r>
      <w:r w:rsidR="002269CE">
        <w:t>,</w:t>
      </w:r>
      <w:r>
        <w:t xml:space="preserve"> but without creating incentives to incur additional fixed costs.</w:t>
      </w:r>
      <w:r w:rsidR="008013DA">
        <w:t xml:space="preserve"> </w:t>
      </w:r>
    </w:p>
    <w:p w14:paraId="69ABB671" w14:textId="77777777" w:rsidR="00CA7AFB" w:rsidRDefault="00CA7AFB" w:rsidP="00CA7AFB">
      <w:r>
        <w:t xml:space="preserve">The usage component of the tariff ideally needs to </w:t>
      </w:r>
      <w:proofErr w:type="gramStart"/>
      <w:r>
        <w:t>be defined</w:t>
      </w:r>
      <w:proofErr w:type="gramEnd"/>
      <w:r>
        <w:t xml:space="preserve"> to include all the costs that the community incurs when an additional unit of consumption of water occurs </w:t>
      </w:r>
      <w:r w:rsidR="00A73943">
        <w:t xml:space="preserve">– </w:t>
      </w:r>
      <w:r w:rsidR="000D252B">
        <w:t>that is,</w:t>
      </w:r>
      <w:r>
        <w:t xml:space="preserve"> the relevant measure of marginal social co</w:t>
      </w:r>
      <w:r w:rsidRPr="002269CE">
        <w:t>st.</w:t>
      </w:r>
      <w:r w:rsidR="008013DA" w:rsidRPr="002269CE">
        <w:t xml:space="preserve"> </w:t>
      </w:r>
      <w:proofErr w:type="gramStart"/>
      <w:r w:rsidR="002269CE">
        <w:t>I</w:t>
      </w:r>
      <w:r w:rsidRPr="002269CE">
        <w:t>d</w:t>
      </w:r>
      <w:r>
        <w:t>eally</w:t>
      </w:r>
      <w:proofErr w:type="gramEnd"/>
      <w:r>
        <w:t xml:space="preserve"> these costs should reflect:</w:t>
      </w:r>
    </w:p>
    <w:p w14:paraId="7B82FE0A" w14:textId="77777777" w:rsidR="00CA7AFB" w:rsidRDefault="00CA7AFB" w:rsidP="00CA7AFB">
      <w:pPr>
        <w:pStyle w:val="ColorfulList-Accent110"/>
        <w:numPr>
          <w:ilvl w:val="0"/>
          <w:numId w:val="16"/>
        </w:numPr>
      </w:pPr>
      <w:r>
        <w:lastRenderedPageBreak/>
        <w:t>the direct costs of supplying an additional unit of water (pumping and other operational costs);</w:t>
      </w:r>
    </w:p>
    <w:p w14:paraId="6B58C289" w14:textId="77777777" w:rsidR="00CA7AFB" w:rsidRDefault="00CA7AFB" w:rsidP="00CA7AFB">
      <w:pPr>
        <w:pStyle w:val="ColorfulList-Accent110"/>
        <w:numPr>
          <w:ilvl w:val="0"/>
          <w:numId w:val="16"/>
        </w:numPr>
      </w:pPr>
      <w:r>
        <w:t>the costs on the environment from using more water if such costs are not already reflected in supply arrangements; and</w:t>
      </w:r>
    </w:p>
    <w:p w14:paraId="472BFA2E" w14:textId="77777777" w:rsidR="00CA7AFB" w:rsidRDefault="00CA7AFB" w:rsidP="00CA7AFB">
      <w:pPr>
        <w:pStyle w:val="ColorfulList-Accent110"/>
        <w:numPr>
          <w:ilvl w:val="0"/>
          <w:numId w:val="16"/>
        </w:numPr>
      </w:pPr>
      <w:r>
        <w:t xml:space="preserve">the cost of using the water resource itself </w:t>
      </w:r>
      <w:r w:rsidR="00A73943">
        <w:t xml:space="preserve">– </w:t>
      </w:r>
      <w:r w:rsidR="002269CE">
        <w:t xml:space="preserve">and </w:t>
      </w:r>
      <w:r>
        <w:t>if the consumption of water reduces the availability of water to others, including other consumers in the future, the loss of the value of water should be included in the measure of marginal cost.</w:t>
      </w:r>
      <w:r w:rsidR="008013DA">
        <w:t xml:space="preserve"> </w:t>
      </w:r>
    </w:p>
    <w:p w14:paraId="7D298CA6" w14:textId="26C4098A" w:rsidR="00CA7AFB" w:rsidRDefault="00CA7AFB" w:rsidP="00CA7AFB">
      <w:r>
        <w:t xml:space="preserve">First in the </w:t>
      </w:r>
      <w:r w:rsidR="00A73943">
        <w:t>i</w:t>
      </w:r>
      <w:r>
        <w:t xml:space="preserve">ssues </w:t>
      </w:r>
      <w:r w:rsidR="00A73943">
        <w:t>p</w:t>
      </w:r>
      <w:r>
        <w:t xml:space="preserve">aper, and then in more detail in the </w:t>
      </w:r>
      <w:r w:rsidR="00A73943">
        <w:t>t</w:t>
      </w:r>
      <w:r>
        <w:t xml:space="preserve">echnical </w:t>
      </w:r>
      <w:r w:rsidR="00A73943">
        <w:t>p</w:t>
      </w:r>
      <w:r>
        <w:t>aper on marginal cost pricing, the Commission demonstrated the link between pricing at marginal cost and economic efficiency in the use of water and water infrastructure services.</w:t>
      </w:r>
      <w:r w:rsidR="008013DA">
        <w:t xml:space="preserve"> </w:t>
      </w:r>
      <w:r>
        <w:t xml:space="preserve">The </w:t>
      </w:r>
      <w:r w:rsidR="002269CE">
        <w:t>technical</w:t>
      </w:r>
      <w:r>
        <w:t xml:space="preserve"> paper also </w:t>
      </w:r>
      <w:r w:rsidR="00A73943">
        <w:t xml:space="preserve">gave </w:t>
      </w:r>
      <w:r>
        <w:t>current estimates of the marginal cost of providing regulated water services in the ACT, using a range of measurement methods. These included textbook marginal cost (TMC), average incremental cost (AIC) and marginal incremental cost (MIC).</w:t>
      </w:r>
      <w:r w:rsidR="00A73943">
        <w:t xml:space="preserve"> </w:t>
      </w:r>
      <w:r>
        <w:t xml:space="preserve">A summary of the short- and long-run marginal cost estimates </w:t>
      </w:r>
      <w:proofErr w:type="gramStart"/>
      <w:r>
        <w:t>is shown</w:t>
      </w:r>
      <w:proofErr w:type="gramEnd"/>
      <w:r>
        <w:t xml:space="preserve"> in </w:t>
      </w:r>
      <w:r w:rsidR="00E62F0C">
        <w:fldChar w:fldCharType="begin"/>
      </w:r>
      <w:r>
        <w:instrText xml:space="preserve"> REF _Ref448912231 \h </w:instrText>
      </w:r>
      <w:r w:rsidR="00E62F0C">
        <w:fldChar w:fldCharType="separate"/>
      </w:r>
      <w:r w:rsidR="00766A7B" w:rsidRPr="00E33D9E">
        <w:t xml:space="preserve">Figure </w:t>
      </w:r>
      <w:r w:rsidR="00766A7B">
        <w:rPr>
          <w:noProof/>
        </w:rPr>
        <w:t>4</w:t>
      </w:r>
      <w:r w:rsidR="00766A7B">
        <w:t>.</w:t>
      </w:r>
      <w:r w:rsidR="00766A7B">
        <w:rPr>
          <w:noProof/>
        </w:rPr>
        <w:t>1</w:t>
      </w:r>
      <w:r w:rsidR="00E62F0C">
        <w:fldChar w:fldCharType="end"/>
      </w:r>
      <w:r>
        <w:t>.</w:t>
      </w:r>
    </w:p>
    <w:p w14:paraId="5ABC561D" w14:textId="662A1DF2" w:rsidR="00FA718F" w:rsidRDefault="00CA7AFB" w:rsidP="00CA7AFB">
      <w:pPr>
        <w:pStyle w:val="FigureName0"/>
      </w:pPr>
      <w:bookmarkStart w:id="196" w:name="_Ref474142592"/>
      <w:bookmarkStart w:id="197" w:name="_Ref448912231"/>
      <w:bookmarkStart w:id="198" w:name="_Toc453920915"/>
      <w:bookmarkStart w:id="199" w:name="_Toc476556462"/>
      <w:bookmarkStart w:id="200" w:name="_Toc478480750"/>
      <w:r w:rsidRPr="00E33D9E">
        <w:t xml:space="preserve">Figure </w:t>
      </w:r>
      <w:r w:rsidR="00E62F0C">
        <w:fldChar w:fldCharType="begin"/>
      </w:r>
      <w:r>
        <w:instrText xml:space="preserve"> STYLEREF 1 \s </w:instrText>
      </w:r>
      <w:r w:rsidR="00E62F0C">
        <w:fldChar w:fldCharType="separate"/>
      </w:r>
      <w:r w:rsidR="00F157C3">
        <w:rPr>
          <w:noProof/>
        </w:rPr>
        <w:t>4</w:t>
      </w:r>
      <w:r w:rsidR="00E62F0C">
        <w:rPr>
          <w:noProof/>
        </w:rPr>
        <w:fldChar w:fldCharType="end"/>
      </w:r>
      <w:r>
        <w:t>.</w:t>
      </w:r>
      <w:r w:rsidR="00E62F0C">
        <w:fldChar w:fldCharType="begin"/>
      </w:r>
      <w:r>
        <w:instrText xml:space="preserve"> SEQ Figure \* ARABIC \s 1 </w:instrText>
      </w:r>
      <w:r w:rsidR="00E62F0C">
        <w:fldChar w:fldCharType="separate"/>
      </w:r>
      <w:r w:rsidR="00766A7B">
        <w:rPr>
          <w:noProof/>
        </w:rPr>
        <w:t>1</w:t>
      </w:r>
      <w:r w:rsidR="00E62F0C">
        <w:fldChar w:fldCharType="end"/>
      </w:r>
      <w:bookmarkEnd w:id="196"/>
      <w:bookmarkEnd w:id="197"/>
      <w:r>
        <w:tab/>
        <w:t>Marginal cost estimate for water, summary</w:t>
      </w:r>
      <w:bookmarkEnd w:id="198"/>
      <w:bookmarkEnd w:id="199"/>
      <w:bookmarkEnd w:id="200"/>
    </w:p>
    <w:p w14:paraId="3E05C99F" w14:textId="71FE5AB7" w:rsidR="00CA7AFB" w:rsidRDefault="00FA718F" w:rsidP="00CA7AFB">
      <w:pPr>
        <w:pStyle w:val="FigureName0"/>
        <w:rPr>
          <w:lang w:val="en-AU"/>
        </w:rPr>
      </w:pPr>
      <w:r>
        <w:rPr>
          <w:noProof/>
          <w:lang w:val="en-AU" w:eastAsia="en-AU"/>
        </w:rPr>
        <w:drawing>
          <wp:inline distT="0" distB="0" distL="0" distR="0" wp14:anchorId="45EB17F0" wp14:editId="35031B02">
            <wp:extent cx="4896485" cy="2705735"/>
            <wp:effectExtent l="0" t="0" r="18415"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A7AB8D" w14:textId="77777777" w:rsidR="00CA7AFB" w:rsidRDefault="00CA7AFB" w:rsidP="00CA7AFB">
      <w:pPr>
        <w:pStyle w:val="TableNotesLast0"/>
      </w:pPr>
      <w:r>
        <w:t>Source:</w:t>
      </w:r>
      <w:r w:rsidR="00F466DB">
        <w:t xml:space="preserve"> </w:t>
      </w:r>
      <w:r w:rsidR="00E62F0C">
        <w:fldChar w:fldCharType="begin"/>
      </w:r>
      <w: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rsidR="00E62F0C">
        <w:fldChar w:fldCharType="separate"/>
      </w:r>
      <w:hyperlink w:anchor="_ENREF_25" w:tooltip="ICRC, 2016 #727" w:history="1">
        <w:r>
          <w:rPr>
            <w:noProof/>
          </w:rPr>
          <w:t>ICRC (2016b</w:t>
        </w:r>
      </w:hyperlink>
      <w:r>
        <w:rPr>
          <w:noProof/>
        </w:rPr>
        <w:t>)</w:t>
      </w:r>
      <w:r w:rsidR="00E62F0C">
        <w:fldChar w:fldCharType="end"/>
      </w:r>
      <w:r>
        <w:t>: 60.</w:t>
      </w:r>
    </w:p>
    <w:p w14:paraId="1C6D218F" w14:textId="77777777" w:rsidR="00CA7AFB" w:rsidRDefault="00CA7AFB" w:rsidP="00CA7AFB">
      <w:r>
        <w:t>For the long-run methods, estimates range</w:t>
      </w:r>
      <w:r w:rsidR="00177A1B">
        <w:t>d</w:t>
      </w:r>
      <w:r>
        <w:t xml:space="preserve"> from a low of $0.72 per kL for the TMC method</w:t>
      </w:r>
      <w:r w:rsidR="00A73943">
        <w:t xml:space="preserve"> (which is </w:t>
      </w:r>
      <w:r>
        <w:t>the same as the short-run marginal cost estimate</w:t>
      </w:r>
      <w:r w:rsidR="00A73943">
        <w:t>)</w:t>
      </w:r>
      <w:r>
        <w:t xml:space="preserve"> to a high of $1.74 per kL using the MIC method.</w:t>
      </w:r>
      <w:r w:rsidR="008013DA">
        <w:t xml:space="preserve"> </w:t>
      </w:r>
      <w:r>
        <w:t>The two most common long-run measurement methods, AIC and MIC, provide</w:t>
      </w:r>
      <w:r w:rsidR="00177A1B">
        <w:t>d</w:t>
      </w:r>
      <w:r>
        <w:t xml:space="preserve"> estimates of similar magnitude.</w:t>
      </w:r>
      <w:r w:rsidR="008013DA">
        <w:t xml:space="preserve"> </w:t>
      </w:r>
      <w:r>
        <w:t>The measures include</w:t>
      </w:r>
      <w:r w:rsidR="00177A1B">
        <w:t>d</w:t>
      </w:r>
      <w:r>
        <w:t xml:space="preserve"> the abstraction charge</w:t>
      </w:r>
      <w:r w:rsidR="00A73943">
        <w:t>,</w:t>
      </w:r>
      <w:r>
        <w:t xml:space="preserve"> which is an allowance for the value of water.</w:t>
      </w:r>
    </w:p>
    <w:p w14:paraId="21AD1C8E" w14:textId="77777777" w:rsidR="00CA7AFB" w:rsidRDefault="00CA7AFB" w:rsidP="00CA7AFB">
      <w:r>
        <w:t>Icon Water</w:t>
      </w:r>
      <w:r w:rsidR="00DC674F">
        <w:t>’</w:t>
      </w:r>
      <w:r>
        <w:t>s current two-tier usage prices for water are $</w:t>
      </w:r>
      <w:r w:rsidR="00A73943">
        <w:t>2.61 per kL for the first 0.548 </w:t>
      </w:r>
      <w:r>
        <w:t>kL per day and $5.24 per kL thereafter.</w:t>
      </w:r>
      <w:r w:rsidR="008013DA">
        <w:t xml:space="preserve"> </w:t>
      </w:r>
      <w:r>
        <w:t xml:space="preserve">What is clear is that, irrespective of which measure is used, all the marginal cost estimates are well below even the Tier 1 </w:t>
      </w:r>
      <w:r>
        <w:lastRenderedPageBreak/>
        <w:t>price.</w:t>
      </w:r>
      <w:r w:rsidR="008013DA">
        <w:t xml:space="preserve"> </w:t>
      </w:r>
      <w:r>
        <w:t>This conclusion holds in the face of all the sensitivity tests the Commission performed on the various measures.</w:t>
      </w:r>
    </w:p>
    <w:p w14:paraId="092D3082" w14:textId="77777777" w:rsidR="00CA7AFB" w:rsidRDefault="00CA7AFB" w:rsidP="00CA7AFB">
      <w:r>
        <w:t xml:space="preserve">However, the Commission acknowledges that these estimates are imperfect, as they do not include a value for the water resource </w:t>
      </w:r>
      <w:r w:rsidR="007953D9">
        <w:t>itself that</w:t>
      </w:r>
      <w:r>
        <w:t xml:space="preserve"> effectively reflects its value to the community.</w:t>
      </w:r>
      <w:r w:rsidR="008013DA">
        <w:t xml:space="preserve"> </w:t>
      </w:r>
      <w:r>
        <w:t>In addition, the value of the water resource could change significantly in times of drought, complicating the implementation of a measure of marginal cost that includes a current estimate of the value of water.</w:t>
      </w:r>
    </w:p>
    <w:p w14:paraId="25AA9231" w14:textId="77777777" w:rsidR="00CA7AFB" w:rsidRDefault="00CA7AFB" w:rsidP="00CA7AFB">
      <w:r>
        <w:t xml:space="preserve">In times of </w:t>
      </w:r>
      <w:proofErr w:type="gramStart"/>
      <w:r>
        <w:t>drought</w:t>
      </w:r>
      <w:proofErr w:type="gramEnd"/>
      <w:r>
        <w:t xml:space="preserve"> the marginal charge needs to be high to reflect the scarcity value of water</w:t>
      </w:r>
      <w:r w:rsidR="00A73943">
        <w:t>,</w:t>
      </w:r>
      <w:r>
        <w:t xml:space="preserve"> but in times where security of supply is assured the marginal charge should be lower since water is less scarce.</w:t>
      </w:r>
      <w:r w:rsidR="008013DA">
        <w:t xml:space="preserve"> </w:t>
      </w:r>
      <w:r>
        <w:t>Reflecting scarcity value in prices is an essential aspect of outcomes in competitive markets and in markets where economic regulation is justified.</w:t>
      </w:r>
      <w:r w:rsidR="008013DA">
        <w:t xml:space="preserve"> </w:t>
      </w:r>
    </w:p>
    <w:p w14:paraId="1BB726AA" w14:textId="77777777" w:rsidR="00CA7AFB" w:rsidRDefault="00CA7AFB" w:rsidP="00CA7AFB">
      <w:r>
        <w:t>It is also worth noting that the temporary water restrictions that applied in the period of the Millennium Drought primarily targeted outdoor water use by households</w:t>
      </w:r>
      <w:r w:rsidR="00A73943">
        <w:t>,</w:t>
      </w:r>
      <w:r>
        <w:t xml:space="preserve"> whereas greater use of pricing in drought conditions would extend conservation incentives to a broader </w:t>
      </w:r>
      <w:r w:rsidR="00A73943">
        <w:t xml:space="preserve">range </w:t>
      </w:r>
      <w:r>
        <w:t xml:space="preserve">of uses. </w:t>
      </w:r>
    </w:p>
    <w:p w14:paraId="5C52F876" w14:textId="77777777" w:rsidR="00CA7AFB" w:rsidRDefault="00CA7AFB" w:rsidP="00CA7AFB">
      <w:r>
        <w:t xml:space="preserve">If the components of the water tariff were to </w:t>
      </w:r>
      <w:proofErr w:type="gramStart"/>
      <w:r>
        <w:t>be rebalanced</w:t>
      </w:r>
      <w:proofErr w:type="gramEnd"/>
      <w:r>
        <w:t xml:space="preserve"> on economic efficiency grounds, the </w:t>
      </w:r>
      <w:r w:rsidR="002A18D9">
        <w:t xml:space="preserve">current </w:t>
      </w:r>
      <w:r>
        <w:t xml:space="preserve">security of supply conditions may allow some lower usage charges </w:t>
      </w:r>
      <w:r w:rsidR="002A18D9">
        <w:t xml:space="preserve">that </w:t>
      </w:r>
      <w:r>
        <w:t>reflect the availability of water, but</w:t>
      </w:r>
      <w:r w:rsidR="002A18D9">
        <w:t>,</w:t>
      </w:r>
      <w:r>
        <w:t xml:space="preserve"> in </w:t>
      </w:r>
      <w:r w:rsidR="007953D9">
        <w:t>turn,</w:t>
      </w:r>
      <w:r>
        <w:t xml:space="preserve"> usage charges may need to increase if tight supply conditions emerge in the future.</w:t>
      </w:r>
      <w:r w:rsidR="008013DA">
        <w:t xml:space="preserve"> </w:t>
      </w:r>
      <w:r>
        <w:t xml:space="preserve">Given the behavioural changes that have occurred, the empirical evidence for the low responsiveness of demand to price and the </w:t>
      </w:r>
      <w:proofErr w:type="gramStart"/>
      <w:r>
        <w:t>community</w:t>
      </w:r>
      <w:r w:rsidR="00DC674F">
        <w:t>’</w:t>
      </w:r>
      <w:r>
        <w:t>s</w:t>
      </w:r>
      <w:proofErr w:type="gramEnd"/>
      <w:r>
        <w:t xml:space="preserve"> revealed preferences for conserving water, aggregate demand is not expected to increase materially even if marginal usage prices declined materially.</w:t>
      </w:r>
      <w:r w:rsidR="008013DA">
        <w:t xml:space="preserve"> </w:t>
      </w:r>
      <w:r w:rsidR="00D02170">
        <w:t>In short</w:t>
      </w:r>
      <w:r>
        <w:t>, this largely reflects the likely response from most households.</w:t>
      </w:r>
      <w:r w:rsidR="008013DA">
        <w:t xml:space="preserve"> </w:t>
      </w:r>
      <w:proofErr w:type="gramStart"/>
      <w:r>
        <w:t xml:space="preserve">However, there may be some </w:t>
      </w:r>
      <w:r w:rsidR="00D02170">
        <w:t xml:space="preserve">increase in demand from </w:t>
      </w:r>
      <w:r>
        <w:t>water</w:t>
      </w:r>
      <w:r w:rsidR="002A18D9">
        <w:t>-</w:t>
      </w:r>
      <w:r>
        <w:t>dependent businesses and non-residential consumers</w:t>
      </w:r>
      <w:r w:rsidR="002A18D9">
        <w:t>,</w:t>
      </w:r>
      <w:r>
        <w:t xml:space="preserve"> reflecting the additional value they can benefit from if prices are lower.</w:t>
      </w:r>
      <w:proofErr w:type="gramEnd"/>
      <w:r w:rsidR="008013DA">
        <w:t xml:space="preserve"> </w:t>
      </w:r>
      <w:r>
        <w:t xml:space="preserve">For </w:t>
      </w:r>
      <w:r w:rsidR="007953D9">
        <w:t>example,</w:t>
      </w:r>
      <w:r>
        <w:t xml:space="preserve"> the activities and scale of some businesses </w:t>
      </w:r>
      <w:proofErr w:type="gramStart"/>
      <w:r>
        <w:t>may be restricted</w:t>
      </w:r>
      <w:proofErr w:type="gramEnd"/>
      <w:r>
        <w:t xml:space="preserve"> by a high marginal usage price</w:t>
      </w:r>
      <w:r w:rsidR="002A18D9">
        <w:t>,</w:t>
      </w:r>
      <w:r>
        <w:t xml:space="preserve"> and a lower marginal usage price would allow </w:t>
      </w:r>
      <w:r w:rsidR="002A18D9">
        <w:t xml:space="preserve">those businesses </w:t>
      </w:r>
      <w:r>
        <w:t xml:space="preserve">to improve their operations. </w:t>
      </w:r>
    </w:p>
    <w:p w14:paraId="7612A340" w14:textId="77777777" w:rsidR="00CA7AFB" w:rsidRDefault="00CA7AFB" w:rsidP="00CA7AFB">
      <w:r>
        <w:t>More importantly, a very high usage price is likely to create incentives for uneconomic bypass</w:t>
      </w:r>
      <w:r w:rsidR="00D02170">
        <w:t>,</w:t>
      </w:r>
      <w:r>
        <w:t xml:space="preserve"> where large users purchase water from an alternative source that is less costly to them but of higher cost than the true cost to the community.</w:t>
      </w:r>
      <w:r w:rsidR="008013DA">
        <w:t xml:space="preserve"> </w:t>
      </w:r>
      <w:r>
        <w:t>A tariff structure that better reflects the efficient costs of marginal supply can ensure that this bypass</w:t>
      </w:r>
      <w:r w:rsidR="00D02170">
        <w:t>–</w:t>
      </w:r>
      <w:r>
        <w:t xml:space="preserve">related economic inefficiency does not occur. </w:t>
      </w:r>
    </w:p>
    <w:p w14:paraId="440DCD07" w14:textId="77777777" w:rsidR="00CA7AFB" w:rsidRDefault="00CA7AFB" w:rsidP="00CA7AFB">
      <w:r>
        <w:t>The two</w:t>
      </w:r>
      <w:r w:rsidR="002A18D9">
        <w:t>-</w:t>
      </w:r>
      <w:r>
        <w:t>tier structure has been justified based on the argument that the lower tier ensure</w:t>
      </w:r>
      <w:r w:rsidR="00EE19BB">
        <w:t>s</w:t>
      </w:r>
      <w:r>
        <w:t xml:space="preserve"> that essential water requirements are available at a reasonable price and the higher tier deter</w:t>
      </w:r>
      <w:r w:rsidR="00EE19BB">
        <w:t>s</w:t>
      </w:r>
      <w:r>
        <w:t xml:space="preserve"> consumption.</w:t>
      </w:r>
      <w:r w:rsidR="008013DA">
        <w:t xml:space="preserve"> </w:t>
      </w:r>
      <w:r>
        <w:t xml:space="preserve">This approach appears to only deal with the social objectives to a limited extent, related to demand for </w:t>
      </w:r>
      <w:r w:rsidR="00DC674F">
        <w:t>‘</w:t>
      </w:r>
      <w:r>
        <w:t>essential water</w:t>
      </w:r>
      <w:r w:rsidR="00DC674F">
        <w:t>’</w:t>
      </w:r>
      <w:r>
        <w:t xml:space="preserve"> for certain households, and is not economically efficient in the way it affects consumption or contributes to efficient revenue recovery.</w:t>
      </w:r>
      <w:r w:rsidR="008013DA">
        <w:t xml:space="preserve"> </w:t>
      </w:r>
      <w:r>
        <w:t xml:space="preserve">The </w:t>
      </w:r>
      <w:r w:rsidR="002A18D9">
        <w:t xml:space="preserve">main </w:t>
      </w:r>
      <w:r>
        <w:t xml:space="preserve">problems with respect to the inclining block tariff structure are that neither tier charge reflects relevant marginal </w:t>
      </w:r>
      <w:r>
        <w:lastRenderedPageBreak/>
        <w:t>costs and there is too much reliance on usage charges for revenue recovery.</w:t>
      </w:r>
      <w:r w:rsidR="008013DA">
        <w:t xml:space="preserve"> </w:t>
      </w:r>
      <w:r>
        <w:t xml:space="preserve">This latter aspect </w:t>
      </w:r>
      <w:proofErr w:type="gramStart"/>
      <w:r>
        <w:t>is considered</w:t>
      </w:r>
      <w:proofErr w:type="gramEnd"/>
      <w:r>
        <w:t xml:space="preserve"> in more detail in the next section.</w:t>
      </w:r>
      <w:r w:rsidR="008013DA">
        <w:t xml:space="preserve"> </w:t>
      </w:r>
      <w:r>
        <w:t xml:space="preserve">The social objectives </w:t>
      </w:r>
      <w:proofErr w:type="gramStart"/>
      <w:r>
        <w:t>are discussed</w:t>
      </w:r>
      <w:proofErr w:type="gramEnd"/>
      <w:r>
        <w:t xml:space="preserve"> later in this </w:t>
      </w:r>
      <w:r w:rsidR="002A18D9">
        <w:t>c</w:t>
      </w:r>
      <w:r>
        <w:t>hapter.</w:t>
      </w:r>
    </w:p>
    <w:p w14:paraId="607F6C45" w14:textId="77777777" w:rsidR="00CA7AFB" w:rsidRDefault="00CA7AFB" w:rsidP="00CA7AFB">
      <w:pPr>
        <w:pStyle w:val="Heading2a"/>
      </w:pPr>
      <w:bookmarkStart w:id="201" w:name="_Toc476753980"/>
      <w:bookmarkStart w:id="202" w:name="_Toc478465457"/>
      <w:bookmarkStart w:id="203" w:name="_Toc420064872"/>
      <w:bookmarkStart w:id="204" w:name="_Toc468175209"/>
      <w:bookmarkEnd w:id="195"/>
      <w:r>
        <w:t>4.5</w:t>
      </w:r>
      <w:r>
        <w:tab/>
        <w:t>Efficient cost recovery</w:t>
      </w:r>
      <w:bookmarkEnd w:id="201"/>
      <w:bookmarkEnd w:id="202"/>
    </w:p>
    <w:bookmarkEnd w:id="203"/>
    <w:bookmarkEnd w:id="204"/>
    <w:p w14:paraId="13696E08" w14:textId="77777777" w:rsidR="00CA7AFB" w:rsidRDefault="00CA7AFB" w:rsidP="00CA7AFB">
      <w:r>
        <w:t>Another key</w:t>
      </w:r>
      <w:r w:rsidR="00AC11FD">
        <w:t xml:space="preserve"> aim</w:t>
      </w:r>
      <w:r>
        <w:t xml:space="preserve"> of economic efficiency is to help ensure that the costs of efficient supply </w:t>
      </w:r>
      <w:proofErr w:type="gramStart"/>
      <w:r>
        <w:t>are recovered</w:t>
      </w:r>
      <w:proofErr w:type="gramEnd"/>
      <w:r>
        <w:t xml:space="preserve"> over the longer term.</w:t>
      </w:r>
      <w:r w:rsidR="008013DA">
        <w:t xml:space="preserve"> </w:t>
      </w:r>
      <w:r>
        <w:t>If revenue is not sufficient to cover the costs of efficient supply</w:t>
      </w:r>
      <w:r w:rsidR="00A71D1F">
        <w:t>,</w:t>
      </w:r>
      <w:r>
        <w:t xml:space="preserve"> this can discourage efficient investment and put the security of supply at risk.</w:t>
      </w:r>
      <w:r w:rsidR="008013DA">
        <w:t xml:space="preserve"> </w:t>
      </w:r>
      <w:r>
        <w:t xml:space="preserve">This aspect of economic efficiency, referred to as revenue adequacy or financial viability or dynamic </w:t>
      </w:r>
      <w:proofErr w:type="gramStart"/>
      <w:r>
        <w:t>efficiency,</w:t>
      </w:r>
      <w:proofErr w:type="gramEnd"/>
      <w:r>
        <w:t xml:space="preserve"> is typically given considerable priority by economic regulators of utilities across many sectors and jurisdictions.</w:t>
      </w:r>
      <w:r w:rsidR="008013DA">
        <w:t xml:space="preserve"> </w:t>
      </w:r>
      <w:r>
        <w:t>This is because utilities have large sunk costs and regulators need to make a credible commitment that the regulatory arrangements will ensure the recovery of efficient sunk costs</w:t>
      </w:r>
      <w:r w:rsidR="00A71D1F">
        <w:t xml:space="preserve"> –</w:t>
      </w:r>
      <w:r>
        <w:t xml:space="preserve"> otherwise</w:t>
      </w:r>
      <w:r w:rsidR="00A71D1F">
        <w:t>,</w:t>
      </w:r>
      <w:r>
        <w:t xml:space="preserve"> efficient investments </w:t>
      </w:r>
      <w:proofErr w:type="gramStart"/>
      <w:r>
        <w:t>will not be made</w:t>
      </w:r>
      <w:proofErr w:type="gramEnd"/>
      <w:r>
        <w:t xml:space="preserve"> in the first place.</w:t>
      </w:r>
      <w:r w:rsidR="008013DA">
        <w:t xml:space="preserve"> </w:t>
      </w:r>
      <w:r w:rsidR="00A71D1F">
        <w:t>‘</w:t>
      </w:r>
      <w:r>
        <w:t>Sunk costs</w:t>
      </w:r>
      <w:r w:rsidR="00A71D1F">
        <w:t>’</w:t>
      </w:r>
      <w:r>
        <w:t xml:space="preserve"> refer</w:t>
      </w:r>
      <w:r w:rsidR="00A71D1F">
        <w:t>s</w:t>
      </w:r>
      <w:r>
        <w:t xml:space="preserve"> to investments that cannot be used for another purpose.</w:t>
      </w:r>
      <w:r w:rsidR="008013DA">
        <w:t xml:space="preserve"> </w:t>
      </w:r>
    </w:p>
    <w:p w14:paraId="4EAEF003" w14:textId="77777777" w:rsidR="00CA7AFB" w:rsidRDefault="00CA7AFB" w:rsidP="00CA7AFB">
      <w:r>
        <w:t>Icon Water</w:t>
      </w:r>
      <w:r w:rsidR="00DC674F">
        <w:t>’</w:t>
      </w:r>
      <w:r>
        <w:t>s capital costs are about 50 per cent of its total revenue requirement, with operating expenditure, the water abstraction charge and the utilities network facilities tax making up most of the rest.</w:t>
      </w:r>
      <w:r w:rsidR="008013DA">
        <w:t xml:space="preserve"> </w:t>
      </w:r>
      <w:r>
        <w:t xml:space="preserve">The capital costs </w:t>
      </w:r>
      <w:r w:rsidR="00AC11FD">
        <w:t>generally</w:t>
      </w:r>
      <w:r w:rsidR="00A71D1F">
        <w:t xml:space="preserve"> </w:t>
      </w:r>
      <w:r>
        <w:t xml:space="preserve">relate to the recovery of sunk capital assets over their expected economic </w:t>
      </w:r>
      <w:r w:rsidR="00A71D1F">
        <w:t>lives</w:t>
      </w:r>
      <w:r>
        <w:t>.</w:t>
      </w:r>
      <w:r w:rsidR="008013DA">
        <w:t xml:space="preserve"> </w:t>
      </w:r>
      <w:r>
        <w:t xml:space="preserve">Although there can be some variation in these costs within a regulatory period, given their </w:t>
      </w:r>
      <w:r w:rsidR="00DC674F">
        <w:t>‘</w:t>
      </w:r>
      <w:r>
        <w:t>sunk</w:t>
      </w:r>
      <w:r w:rsidR="00DC674F">
        <w:t>’</w:t>
      </w:r>
      <w:r>
        <w:t xml:space="preserve"> nature they </w:t>
      </w:r>
      <w:r w:rsidR="004E5B63">
        <w:t>are</w:t>
      </w:r>
      <w:r>
        <w:t xml:space="preserve"> treated as fixed costs that need to be recovered irrespective of how much water is supplied.</w:t>
      </w:r>
      <w:r w:rsidR="008013DA">
        <w:t xml:space="preserve"> </w:t>
      </w:r>
    </w:p>
    <w:p w14:paraId="283A8B64" w14:textId="77777777" w:rsidR="00CA7AFB" w:rsidRDefault="00CA7AFB" w:rsidP="00CA7AFB">
      <w:r>
        <w:t>In addition, most components of operating expenditure are fixed costs that do not vary with output</w:t>
      </w:r>
      <w:r w:rsidR="00AC7501">
        <w:t xml:space="preserve"> – </w:t>
      </w:r>
      <w:r>
        <w:t>for example</w:t>
      </w:r>
      <w:r w:rsidR="00A71D1F">
        <w:t>,</w:t>
      </w:r>
      <w:r>
        <w:t xml:space="preserve"> corporate and other administration costs.</w:t>
      </w:r>
      <w:r w:rsidR="008013DA">
        <w:t xml:space="preserve"> </w:t>
      </w:r>
      <w:r>
        <w:t xml:space="preserve">The main variable costs are </w:t>
      </w:r>
      <w:proofErr w:type="gramStart"/>
      <w:r>
        <w:t>pumping and treatment costs</w:t>
      </w:r>
      <w:proofErr w:type="gramEnd"/>
      <w:r>
        <w:t xml:space="preserve"> and the volume</w:t>
      </w:r>
      <w:r w:rsidR="00AC7501">
        <w:t>-</w:t>
      </w:r>
      <w:r>
        <w:t>related water abstraction charges</w:t>
      </w:r>
      <w:r w:rsidR="00AC7501">
        <w:t>,</w:t>
      </w:r>
      <w:r>
        <w:t xml:space="preserve"> which together constitute only around 16 per cent of Icon Water</w:t>
      </w:r>
      <w:r w:rsidR="00DC674F">
        <w:t>’</w:t>
      </w:r>
      <w:r>
        <w:t>s total revenue.</w:t>
      </w:r>
      <w:r w:rsidR="008013DA">
        <w:t xml:space="preserve"> </w:t>
      </w:r>
      <w:r>
        <w:t>This indicates that at least 80 per cent of Icon Water</w:t>
      </w:r>
      <w:r w:rsidR="00DC674F">
        <w:t>’</w:t>
      </w:r>
      <w:r>
        <w:t xml:space="preserve">s costs </w:t>
      </w:r>
      <w:proofErr w:type="gramStart"/>
      <w:r>
        <w:t>are fixed</w:t>
      </w:r>
      <w:proofErr w:type="gramEnd"/>
      <w:r>
        <w:t xml:space="preserve"> costs.</w:t>
      </w:r>
    </w:p>
    <w:p w14:paraId="69024F2C" w14:textId="77777777" w:rsidR="00CA7AFB" w:rsidRDefault="00CA7AFB" w:rsidP="00CA7AFB">
      <w:r>
        <w:t>In contrast, the current tariff structure is characterised by a relatively low fixed charge and high reliance on usage charges.</w:t>
      </w:r>
      <w:r w:rsidR="008013DA">
        <w:t xml:space="preserve"> </w:t>
      </w:r>
      <w:r>
        <w:t>Fixed charges comprise only 16 per cent of the current water bill for a customer using 200 kL per year, with usage charges accounting for the remaining 84 per cent.</w:t>
      </w:r>
      <w:r w:rsidR="008013DA">
        <w:t xml:space="preserve"> </w:t>
      </w:r>
      <w:r>
        <w:t>Icon Water notes that:</w:t>
      </w:r>
    </w:p>
    <w:p w14:paraId="18A42EA4" w14:textId="77777777" w:rsidR="00CA7AFB" w:rsidRDefault="00CA7AFB" w:rsidP="00CA7AFB">
      <w:pPr>
        <w:pStyle w:val="ColorfulGrid-Accent110"/>
      </w:pPr>
      <w:r w:rsidRPr="009969C5">
        <w:t>Over the past 13 years, there has been a significant shift away from fixed charges towards usage charges. The top tier usage price has increased by roughly 400 per cent over that period, while the fixed supply charge has decreased</w:t>
      </w:r>
      <w:r>
        <w:t>.</w:t>
      </w:r>
      <w:r>
        <w:rPr>
          <w:rStyle w:val="FootnoteReference"/>
        </w:rPr>
        <w:footnoteReference w:id="25"/>
      </w:r>
    </w:p>
    <w:p w14:paraId="6D9E1361" w14:textId="77777777" w:rsidR="00CA7AFB" w:rsidRDefault="00CA7AFB" w:rsidP="00CA7AFB">
      <w:r>
        <w:t>Th</w:t>
      </w:r>
      <w:r w:rsidR="003544E8">
        <w:t>e</w:t>
      </w:r>
      <w:r>
        <w:t xml:space="preserve"> </w:t>
      </w:r>
      <w:r w:rsidR="003544E8">
        <w:t>lack of alignment between</w:t>
      </w:r>
      <w:r>
        <w:t xml:space="preserve"> the fixed and variable components of the cost structure and th</w:t>
      </w:r>
      <w:r w:rsidRPr="00EE19BB">
        <w:t>e fixed a</w:t>
      </w:r>
      <w:r>
        <w:t xml:space="preserve">nd usage components of the revenue structure increases the risk that </w:t>
      </w:r>
      <w:r>
        <w:lastRenderedPageBreak/>
        <w:t xml:space="preserve">Icon Water will not realise revenues to recover its sunk and other fixed costs compared to a structure giving more weight to the annual fixed charge. </w:t>
      </w:r>
    </w:p>
    <w:p w14:paraId="645A6D37" w14:textId="77777777" w:rsidR="00CA7AFB" w:rsidRDefault="00CA7AFB" w:rsidP="00CA7AFB">
      <w:r>
        <w:t>Although the fixed charge and Tier 1 and Tier 2 usage charges can be set at levels that generate revenue that could recover Icon Water</w:t>
      </w:r>
      <w:r w:rsidR="00DC674F">
        <w:t>’</w:t>
      </w:r>
      <w:r>
        <w:t>s costs, estimates of the targeted revenue depend on forecasts of demand</w:t>
      </w:r>
      <w:r w:rsidR="00AC11FD">
        <w:t>,</w:t>
      </w:r>
      <w:r>
        <w:t xml:space="preserve"> </w:t>
      </w:r>
      <w:r w:rsidR="00AC11FD">
        <w:t xml:space="preserve">which in turn, </w:t>
      </w:r>
      <w:proofErr w:type="gramStart"/>
      <w:r w:rsidR="00AC11FD">
        <w:t>are used</w:t>
      </w:r>
      <w:proofErr w:type="gramEnd"/>
      <w:r w:rsidR="00AC11FD">
        <w:t xml:space="preserve"> </w:t>
      </w:r>
      <w:r>
        <w:t>to set appropriate prices.</w:t>
      </w:r>
      <w:r w:rsidR="008013DA">
        <w:t xml:space="preserve"> </w:t>
      </w:r>
      <w:r>
        <w:t>Variability in demand means variability in revenues for Icon Water</w:t>
      </w:r>
      <w:r w:rsidR="003474EA">
        <w:t>,</w:t>
      </w:r>
      <w:r>
        <w:t xml:space="preserve"> and this increases </w:t>
      </w:r>
      <w:r w:rsidR="003474EA">
        <w:t xml:space="preserve">the </w:t>
      </w:r>
      <w:r>
        <w:t>financial risk for Icon Water and its owner</w:t>
      </w:r>
      <w:r w:rsidR="00351123">
        <w:t xml:space="preserve"> –</w:t>
      </w:r>
      <w:r>
        <w:t xml:space="preserve"> the ACT Government on behalf of the ACT community.</w:t>
      </w:r>
      <w:r w:rsidR="008013DA">
        <w:t xml:space="preserve"> </w:t>
      </w:r>
    </w:p>
    <w:p w14:paraId="7C1CD648" w14:textId="77777777" w:rsidR="00CA7AFB" w:rsidRDefault="00CA7AFB" w:rsidP="00CA7AFB">
      <w:r>
        <w:t xml:space="preserve">In times of drought where severe water restrictions are in </w:t>
      </w:r>
      <w:proofErr w:type="gramStart"/>
      <w:r>
        <w:t>place,</w:t>
      </w:r>
      <w:proofErr w:type="gramEnd"/>
      <w:r>
        <w:t xml:space="preserve"> and in the absence of substantial price increases, there may be a substantial under</w:t>
      </w:r>
      <w:r w:rsidR="003474EA">
        <w:t>-</w:t>
      </w:r>
      <w:r>
        <w:t>recovery of costs.</w:t>
      </w:r>
      <w:r w:rsidR="008013DA">
        <w:t xml:space="preserve"> </w:t>
      </w:r>
      <w:r>
        <w:t>Furthermore, government policy entails a continued focus on water conservation</w:t>
      </w:r>
      <w:r w:rsidR="003474EA">
        <w:t>,</w:t>
      </w:r>
      <w:r>
        <w:t xml:space="preserve"> which places considerable financial pressure on Icon Water given its high dependence on usage charges.</w:t>
      </w:r>
      <w:r w:rsidR="008013DA">
        <w:t xml:space="preserve"> </w:t>
      </w:r>
      <w:r>
        <w:t>If demand declines further, the average wate</w:t>
      </w:r>
      <w:r w:rsidRPr="00351123">
        <w:t xml:space="preserve">r </w:t>
      </w:r>
      <w:r w:rsidR="00AC11FD">
        <w:t>charge</w:t>
      </w:r>
      <w:r w:rsidR="00AC11FD" w:rsidRPr="00351123">
        <w:t xml:space="preserve"> </w:t>
      </w:r>
      <w:r w:rsidRPr="00351123">
        <w:t>w</w:t>
      </w:r>
      <w:r>
        <w:t>ill in any case need to increase to ensure revenues are adequate to cover efficient costs.</w:t>
      </w:r>
      <w:r w:rsidR="008013DA">
        <w:t xml:space="preserve"> </w:t>
      </w:r>
    </w:p>
    <w:p w14:paraId="7955794B" w14:textId="77777777" w:rsidR="00CA7AFB" w:rsidRDefault="00CA7AFB" w:rsidP="00CA7AFB">
      <w:r>
        <w:t xml:space="preserve">A further problem is that the proportion of sales </w:t>
      </w:r>
      <w:r w:rsidR="00125ADD">
        <w:t>at</w:t>
      </w:r>
      <w:r>
        <w:t xml:space="preserve"> the Tier 2 </w:t>
      </w:r>
      <w:r w:rsidR="00125ADD">
        <w:t>price</w:t>
      </w:r>
      <w:r>
        <w:t xml:space="preserve"> will decline over time if per capita consumption declines.</w:t>
      </w:r>
      <w:r w:rsidR="008013DA">
        <w:t xml:space="preserve"> </w:t>
      </w:r>
      <w:r>
        <w:t xml:space="preserve">This </w:t>
      </w:r>
      <w:proofErr w:type="gramStart"/>
      <w:r>
        <w:t>was confirmed</w:t>
      </w:r>
      <w:proofErr w:type="gramEnd"/>
      <w:r>
        <w:t xml:space="preserve"> in modelling the Commission undertook for the </w:t>
      </w:r>
      <w:r w:rsidR="003474EA">
        <w:t>i</w:t>
      </w:r>
      <w:r>
        <w:t xml:space="preserve">ssues </w:t>
      </w:r>
      <w:r w:rsidR="003474EA">
        <w:t>p</w:t>
      </w:r>
      <w:r>
        <w:t>aper.</w:t>
      </w:r>
      <w:r>
        <w:rPr>
          <w:rStyle w:val="FootnoteReference"/>
        </w:rPr>
        <w:footnoteReference w:id="26"/>
      </w:r>
      <w:r w:rsidR="008013DA">
        <w:t xml:space="preserve"> </w:t>
      </w:r>
      <w:r>
        <w:t>Although growth of overall demand may ease the problem of cost recovery, overall demand has remained low for some time despite population growth, and if the existing tariff structure and water conservation measures continue to reduce the demand for water, or constrain it near current levels, average water bills are likely to increase.</w:t>
      </w:r>
      <w:r w:rsidR="008013DA">
        <w:t xml:space="preserve"> </w:t>
      </w:r>
    </w:p>
    <w:p w14:paraId="5F1B3D3D" w14:textId="77777777" w:rsidR="00CA7AFB" w:rsidRDefault="00CA7AFB" w:rsidP="00CA7AFB">
      <w:r>
        <w:t xml:space="preserve">As </w:t>
      </w:r>
      <w:proofErr w:type="gramStart"/>
      <w:r>
        <w:t>Icon Water is owned by the ACT Government</w:t>
      </w:r>
      <w:proofErr w:type="gramEnd"/>
      <w:r>
        <w:t>, it is effectively assured that it will continue to operate.</w:t>
      </w:r>
      <w:r w:rsidR="008013DA">
        <w:t xml:space="preserve"> </w:t>
      </w:r>
      <w:r>
        <w:t xml:space="preserve">However, any shortfall in recovering capital costs would need to be reflected in a higher contribution from the </w:t>
      </w:r>
      <w:r w:rsidR="00736B71">
        <w:t>g</w:t>
      </w:r>
      <w:r>
        <w:t xml:space="preserve">overnment budget, in turn </w:t>
      </w:r>
      <w:proofErr w:type="gramStart"/>
      <w:r>
        <w:t>impacting on</w:t>
      </w:r>
      <w:proofErr w:type="gramEnd"/>
      <w:r>
        <w:t xml:space="preserve"> taxes or </w:t>
      </w:r>
      <w:r w:rsidR="00736B71">
        <w:t>g</w:t>
      </w:r>
      <w:r>
        <w:t xml:space="preserve">overnment services with overall adverse impacts on community welfare. </w:t>
      </w:r>
    </w:p>
    <w:p w14:paraId="330924E7" w14:textId="77777777" w:rsidR="00CA7AFB" w:rsidRDefault="00CA7AFB" w:rsidP="00CA7AFB">
      <w:proofErr w:type="gramStart"/>
      <w:r>
        <w:t>To some extent the problem can be addressed by regulatory mechanisms that allow price resets or the use of unders and overs accounts (i.e. accounts that track under</w:t>
      </w:r>
      <w:r w:rsidR="00736B71">
        <w:t>-</w:t>
      </w:r>
      <w:r>
        <w:t xml:space="preserve"> and over</w:t>
      </w:r>
      <w:r w:rsidR="00736B71">
        <w:t>-</w:t>
      </w:r>
      <w:r>
        <w:t>recovery of revenue to provide a basis for subsequent price adjustment</w:t>
      </w:r>
      <w:r w:rsidR="00125ADD">
        <w:t>s</w:t>
      </w:r>
      <w:r>
        <w:t>)</w:t>
      </w:r>
      <w:r w:rsidR="00736B71">
        <w:t>,</w:t>
      </w:r>
      <w:r>
        <w:t xml:space="preserve"> but guarantees that revenues will always fully recover actual costs lead to a risk that Icon Water will be less focused on cost efficiency.</w:t>
      </w:r>
      <w:proofErr w:type="gramEnd"/>
      <w:r w:rsidR="008013DA">
        <w:t xml:space="preserve"> </w:t>
      </w:r>
      <w:r>
        <w:t>This suggests that a move in the direction of rebalancing the tariff to ensure a larger fixed component will reduce revenue risk</w:t>
      </w:r>
      <w:r w:rsidR="00351123">
        <w:t>,</w:t>
      </w:r>
      <w:r>
        <w:t xml:space="preserve"> but that a guarantee of full cost recovery may be too extreme a position to help ensure costs are efficient.</w:t>
      </w:r>
      <w:r w:rsidR="008013DA">
        <w:t xml:space="preserve"> </w:t>
      </w:r>
      <w:r>
        <w:t xml:space="preserve">There are also social and environmental considerations that limit the extent to which the tariff </w:t>
      </w:r>
      <w:proofErr w:type="gramStart"/>
      <w:r>
        <w:t>should be rebalanced</w:t>
      </w:r>
      <w:proofErr w:type="gramEnd"/>
      <w:r>
        <w:t xml:space="preserve"> </w:t>
      </w:r>
      <w:r w:rsidR="00351123">
        <w:t>to give more weight to</w:t>
      </w:r>
      <w:r w:rsidRPr="00351123">
        <w:t xml:space="preserve"> fixed charges.</w:t>
      </w:r>
      <w:r>
        <w:t xml:space="preserve"> </w:t>
      </w:r>
    </w:p>
    <w:p w14:paraId="00D9804C" w14:textId="77777777" w:rsidR="00CA7AFB" w:rsidRPr="00983F2E" w:rsidRDefault="00CA7AFB" w:rsidP="00CA7AFB">
      <w:r>
        <w:t>It is the Commission</w:t>
      </w:r>
      <w:r w:rsidR="00DC674F">
        <w:t>’</w:t>
      </w:r>
      <w:r>
        <w:t>s conclusion that for the objective of improving economic efficiency and for the recovery of efficient costs, a rebalancing of charges entailing some greater reliance on the fixed charge and a lower reliance on the usage charge is in principle desirable.</w:t>
      </w:r>
      <w:r w:rsidR="008013DA">
        <w:t xml:space="preserve"> </w:t>
      </w:r>
      <w:r>
        <w:t>This is in the long</w:t>
      </w:r>
      <w:r w:rsidR="00351123">
        <w:t>-</w:t>
      </w:r>
      <w:r>
        <w:t xml:space="preserve">term interests of consumers because </w:t>
      </w:r>
      <w:r w:rsidR="00351123">
        <w:t xml:space="preserve">the </w:t>
      </w:r>
      <w:r>
        <w:lastRenderedPageBreak/>
        <w:t xml:space="preserve">financial viability of Icon Water is a critical consideration if efficient investment is to </w:t>
      </w:r>
      <w:proofErr w:type="gramStart"/>
      <w:r>
        <w:t>be effectively financed</w:t>
      </w:r>
      <w:proofErr w:type="gramEnd"/>
      <w:r>
        <w:t>.</w:t>
      </w:r>
      <w:r w:rsidR="008013DA">
        <w:t xml:space="preserve"> </w:t>
      </w:r>
      <w:r>
        <w:t>However, the finding</w:t>
      </w:r>
      <w:r w:rsidR="00833C92">
        <w:t>s</w:t>
      </w:r>
      <w:r>
        <w:t xml:space="preserve"> with respect to this and other aspects of economic efficiency need to </w:t>
      </w:r>
      <w:proofErr w:type="gramStart"/>
      <w:r>
        <w:t>be balanced</w:t>
      </w:r>
      <w:proofErr w:type="gramEnd"/>
      <w:r>
        <w:t xml:space="preserve"> with other objectives and their supporting principles.</w:t>
      </w:r>
      <w:r w:rsidR="008013DA">
        <w:t xml:space="preserve"> </w:t>
      </w:r>
      <w:r>
        <w:t xml:space="preserve">The other objectives </w:t>
      </w:r>
      <w:proofErr w:type="gramStart"/>
      <w:r>
        <w:t>are discussed</w:t>
      </w:r>
      <w:proofErr w:type="gramEnd"/>
      <w:r>
        <w:t xml:space="preserve"> in the following sections.</w:t>
      </w:r>
    </w:p>
    <w:p w14:paraId="331B96F0" w14:textId="77777777" w:rsidR="00CA7AFB" w:rsidRDefault="00CA7AFB" w:rsidP="00CA7AFB">
      <w:pPr>
        <w:pStyle w:val="Heading2a"/>
      </w:pPr>
      <w:bookmarkStart w:id="205" w:name="_Toc476753981"/>
      <w:bookmarkStart w:id="206" w:name="_Toc478465458"/>
      <w:r>
        <w:t>4.6</w:t>
      </w:r>
      <w:r>
        <w:tab/>
        <w:t>Environmental considerations</w:t>
      </w:r>
      <w:bookmarkEnd w:id="205"/>
      <w:bookmarkEnd w:id="206"/>
    </w:p>
    <w:p w14:paraId="447A38ED" w14:textId="77777777" w:rsidR="00CA7AFB" w:rsidRDefault="00CA7AFB" w:rsidP="00CA7AFB">
      <w:r>
        <w:t>The ACT is in a positive water security situation, both currently and over the long term.</w:t>
      </w:r>
      <w:r w:rsidR="008013DA">
        <w:t xml:space="preserve"> </w:t>
      </w:r>
      <w:r>
        <w:t xml:space="preserve">Environmental objectives </w:t>
      </w:r>
      <w:proofErr w:type="gramStart"/>
      <w:r>
        <w:t>are specified</w:t>
      </w:r>
      <w:proofErr w:type="gramEnd"/>
      <w:r>
        <w:t xml:space="preserve"> in legislation and are being met by Icon Water.</w:t>
      </w:r>
    </w:p>
    <w:p w14:paraId="1FE6A2DF" w14:textId="77777777" w:rsidR="00CA7AFB" w:rsidRDefault="00CA7AFB" w:rsidP="00CA7AFB">
      <w:r>
        <w:t xml:space="preserve">Icon Water is subject to strict requirements to ensure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Pr>
          <w:iCs/>
          <w:lang w:val="en-AU"/>
        </w:rPr>
        <w:t xml:space="preserve"> </w:t>
      </w:r>
      <w:r>
        <w:t>Icon Water</w:t>
      </w:r>
      <w:r w:rsidR="00DC674F">
        <w:t>’</w:t>
      </w:r>
      <w:r>
        <w:t xml:space="preserve">s licence to take water requires it to ensure that specified environmental flows </w:t>
      </w:r>
      <w:proofErr w:type="gramStart"/>
      <w:r>
        <w:t>are met</w:t>
      </w:r>
      <w:proofErr w:type="gramEnd"/>
      <w:r>
        <w:t>.</w:t>
      </w:r>
      <w:r>
        <w:rPr>
          <w:rStyle w:val="FootnoteReference"/>
        </w:rPr>
        <w:footnoteReference w:id="27"/>
      </w:r>
      <w:r w:rsidR="008013DA">
        <w:t xml:space="preserve"> </w:t>
      </w:r>
      <w:r>
        <w:t>It is also noted that the downstream environmental benefits in the ACT of any water (over and above environmental flows) that flow</w:t>
      </w:r>
      <w:r w:rsidR="00351123">
        <w:t>s</w:t>
      </w:r>
      <w:r>
        <w:t xml:space="preserve"> from ACT dams are limited because there are no key environmental assets in the ACT that require specific environmental watering, although such flows may have benefits elsewhere.</w:t>
      </w:r>
    </w:p>
    <w:p w14:paraId="6E02FACF" w14:textId="77777777" w:rsidR="00CA7AFB" w:rsidRDefault="00CA7AFB" w:rsidP="00CA7AFB">
      <w:r>
        <w:t>Further, reflecting its urban nature, the ACT only consumes a small proportion of the total amount of water that flows into its catchments.</w:t>
      </w:r>
      <w:r w:rsidR="008013DA">
        <w:t xml:space="preserve"> </w:t>
      </w:r>
      <w:r>
        <w:t>The net use has been at or below 20 GL per year since 2007</w:t>
      </w:r>
      <w:r w:rsidR="00351123">
        <w:t>–</w:t>
      </w:r>
      <w:r>
        <w:t xml:space="preserve">08, which is </w:t>
      </w:r>
      <w:r w:rsidR="00AC11FD">
        <w:t xml:space="preserve">four </w:t>
      </w:r>
      <w:r>
        <w:t>per cent of total inflows or eight per cent of the balance after environmental flows. This is also well below the ACT</w:t>
      </w:r>
      <w:r w:rsidR="00DC674F">
        <w:t>’</w:t>
      </w:r>
      <w:r>
        <w:t>s sustainable diversion limit under the Murray</w:t>
      </w:r>
      <w:r w:rsidR="00351123">
        <w:t>–</w:t>
      </w:r>
      <w:r>
        <w:t>Darling Basin Plan of 40.5 GL per year.</w:t>
      </w:r>
      <w:r w:rsidR="008013DA">
        <w:t xml:space="preserve"> </w:t>
      </w:r>
    </w:p>
    <w:p w14:paraId="035CC114" w14:textId="77777777" w:rsidR="00CA7AFB" w:rsidRDefault="00CA7AFB" w:rsidP="00CA7AFB">
      <w:r>
        <w:t xml:space="preserve">As a result, tighter temporary water restrictions appear unlikely to be required </w:t>
      </w:r>
      <w:proofErr w:type="gramStart"/>
      <w:r>
        <w:t>to further restrict</w:t>
      </w:r>
      <w:proofErr w:type="gramEnd"/>
      <w:r>
        <w:t xml:space="preserve"> demand in the next regulatory period</w:t>
      </w:r>
      <w:r w:rsidR="00351123">
        <w:t>,</w:t>
      </w:r>
      <w:r>
        <w:t xml:space="preserve"> and possibly for some time after </w:t>
      </w:r>
      <w:r w:rsidR="00833C92">
        <w:t>that</w:t>
      </w:r>
      <w:r>
        <w:t>.</w:t>
      </w:r>
      <w:r w:rsidR="008013DA">
        <w:t xml:space="preserve"> </w:t>
      </w:r>
      <w:r>
        <w:t>The economic value of an additional kilolitre of water left in ACT dams is low</w:t>
      </w:r>
      <w:r w:rsidRPr="000E56AD">
        <w:t xml:space="preserve"> </w:t>
      </w:r>
      <w:r>
        <w:t>in these circumstances.</w:t>
      </w:r>
      <w:r w:rsidR="008013DA">
        <w:t xml:space="preserve"> </w:t>
      </w:r>
      <w:r>
        <w:t xml:space="preserve">This is because the value of the water resource itself derives </w:t>
      </w:r>
      <w:r w:rsidR="00351123">
        <w:t xml:space="preserve">primarily </w:t>
      </w:r>
      <w:r>
        <w:t>from its scarcity, which depends on the extent to which one person</w:t>
      </w:r>
      <w:r w:rsidR="00DC674F">
        <w:t>’</w:t>
      </w:r>
      <w:r>
        <w:t>s use of water effectively limits the water used by other people.</w:t>
      </w:r>
      <w:r w:rsidR="008013DA">
        <w:t xml:space="preserve"> </w:t>
      </w:r>
      <w:r>
        <w:t>When there is a substantial supply relative to demand</w:t>
      </w:r>
      <w:r w:rsidR="00351123">
        <w:t>,</w:t>
      </w:r>
      <w:r>
        <w:t xml:space="preserve"> the value of the water resource itself is relatively low. </w:t>
      </w:r>
    </w:p>
    <w:p w14:paraId="1867C2B5" w14:textId="77777777" w:rsidR="00CA7AFB" w:rsidRDefault="00CA7AFB" w:rsidP="00CA7AFB">
      <w:r>
        <w:t>Given these circumstances, there is some scope to improve the tariff structure without compromising environmental objectives.</w:t>
      </w:r>
      <w:r w:rsidR="008013DA">
        <w:t xml:space="preserve"> </w:t>
      </w:r>
      <w:r>
        <w:t xml:space="preserve">In addition, the tariff structure </w:t>
      </w:r>
      <w:proofErr w:type="gramStart"/>
      <w:r>
        <w:t>can be made</w:t>
      </w:r>
      <w:proofErr w:type="gramEnd"/>
      <w:r>
        <w:t xml:space="preserve"> to better address a number of objectives on a sustainable basis, including greater flexibility in contributing to conservation objectives. </w:t>
      </w:r>
    </w:p>
    <w:p w14:paraId="5FA55432" w14:textId="570D5718" w:rsidR="00CA7AFB" w:rsidRDefault="00CA7AFB" w:rsidP="00CA7AFB">
      <w:pPr>
        <w:pStyle w:val="Heading2a"/>
      </w:pPr>
      <w:bookmarkStart w:id="207" w:name="_Toc468175211"/>
      <w:bookmarkStart w:id="208" w:name="_Toc476753982"/>
      <w:bookmarkStart w:id="209" w:name="_Toc478465459"/>
      <w:r>
        <w:t>4.7</w:t>
      </w:r>
      <w:r>
        <w:tab/>
        <w:t xml:space="preserve">Community impact </w:t>
      </w:r>
      <w:r w:rsidR="00096DB4">
        <w:t>–</w:t>
      </w:r>
      <w:r>
        <w:t xml:space="preserve"> </w:t>
      </w:r>
      <w:r w:rsidR="000D5185">
        <w:t xml:space="preserve">gradual adjustment </w:t>
      </w:r>
      <w:bookmarkEnd w:id="207"/>
      <w:bookmarkEnd w:id="208"/>
      <w:bookmarkEnd w:id="209"/>
    </w:p>
    <w:p w14:paraId="649BF614" w14:textId="77777777" w:rsidR="00CA7AFB" w:rsidRDefault="00CA7AFB" w:rsidP="00CA7AFB">
      <w:r>
        <w:t xml:space="preserve">Households and businesses </w:t>
      </w:r>
      <w:r w:rsidR="00096DB4">
        <w:t xml:space="preserve">that </w:t>
      </w:r>
      <w:r>
        <w:t>invested in water</w:t>
      </w:r>
      <w:r w:rsidR="00096DB4">
        <w:t>-</w:t>
      </w:r>
      <w:r>
        <w:t xml:space="preserve">saving technologies and other initiatives are likely to consider a substantial rebalancing of the tariff structure that entails lower usage prices as </w:t>
      </w:r>
      <w:r w:rsidR="00DC674F">
        <w:t>‘</w:t>
      </w:r>
      <w:r>
        <w:t>unfair</w:t>
      </w:r>
      <w:r w:rsidR="00DC674F">
        <w:t>’</w:t>
      </w:r>
      <w:r w:rsidR="00833C92">
        <w:t>,</w:t>
      </w:r>
      <w:r>
        <w:t xml:space="preserve"> given the government</w:t>
      </w:r>
      <w:r w:rsidR="00DC674F">
        <w:t>’</w:t>
      </w:r>
      <w:r>
        <w:t xml:space="preserve">s water strategy and the </w:t>
      </w:r>
      <w:r>
        <w:lastRenderedPageBreak/>
        <w:t>investments they made in good faith. This cost would need to be balanced against likely efficiency benefits and would be ameliorated by adoption of a long transition pe</w:t>
      </w:r>
      <w:r w:rsidRPr="00833C92">
        <w:t>riod should the tariff st</w:t>
      </w:r>
      <w:r>
        <w:t>ructure be changed.</w:t>
      </w:r>
      <w:r w:rsidR="008013DA">
        <w:t xml:space="preserve"> </w:t>
      </w:r>
    </w:p>
    <w:p w14:paraId="4E3C3707" w14:textId="77777777" w:rsidR="00CA7AFB" w:rsidRDefault="00CA7AFB" w:rsidP="00CA7AFB">
      <w:r>
        <w:t>A long transition period can make it easier for people and businesses to adjust to the changes.</w:t>
      </w:r>
      <w:r w:rsidR="008013DA">
        <w:t xml:space="preserve"> </w:t>
      </w:r>
      <w:r>
        <w:t>However, there can still be equity or fairness issues for low</w:t>
      </w:r>
      <w:r w:rsidR="00096DB4">
        <w:t>-</w:t>
      </w:r>
      <w:r>
        <w:t xml:space="preserve">income households in relation to the </w:t>
      </w:r>
      <w:proofErr w:type="gramStart"/>
      <w:r>
        <w:t>end point</w:t>
      </w:r>
      <w:proofErr w:type="gramEnd"/>
      <w:r>
        <w:t xml:space="preserve"> that is reached.</w:t>
      </w:r>
      <w:r w:rsidR="008013DA">
        <w:t xml:space="preserve"> </w:t>
      </w:r>
      <w:r>
        <w:t xml:space="preserve">This second aspect of fairness </w:t>
      </w:r>
      <w:proofErr w:type="gramStart"/>
      <w:r>
        <w:t>is considered</w:t>
      </w:r>
      <w:proofErr w:type="gramEnd"/>
      <w:r>
        <w:t xml:space="preserve"> in the following section.</w:t>
      </w:r>
    </w:p>
    <w:p w14:paraId="7717F89B" w14:textId="77777777" w:rsidR="00CA7AFB" w:rsidRDefault="00CA7AFB" w:rsidP="00CA7AFB">
      <w:pPr>
        <w:pStyle w:val="Heading2a"/>
      </w:pPr>
      <w:bookmarkStart w:id="210" w:name="_Toc476753983"/>
      <w:bookmarkStart w:id="211" w:name="_Toc478465460"/>
      <w:r>
        <w:t>4.8</w:t>
      </w:r>
      <w:r>
        <w:tab/>
        <w:t>Community impact – fair outcomes for low</w:t>
      </w:r>
      <w:r w:rsidR="00096DB4">
        <w:t>-</w:t>
      </w:r>
      <w:r>
        <w:t>income households</w:t>
      </w:r>
      <w:bookmarkEnd w:id="210"/>
      <w:bookmarkEnd w:id="211"/>
    </w:p>
    <w:p w14:paraId="6DA9562E" w14:textId="77777777" w:rsidR="00CA7AFB" w:rsidRDefault="00833C92" w:rsidP="00CA7AFB">
      <w:r>
        <w:t>T</w:t>
      </w:r>
      <w:r w:rsidR="00CA7AFB" w:rsidRPr="001E790A">
        <w:t>h</w:t>
      </w:r>
      <w:r w:rsidR="00CA7AFB">
        <w:t xml:space="preserve">e current tariff structure </w:t>
      </w:r>
      <w:r w:rsidR="00CA7AFB" w:rsidRPr="00833C92">
        <w:t>compromises e</w:t>
      </w:r>
      <w:r w:rsidR="00CA7AFB" w:rsidRPr="001E790A">
        <w:t>conomic efficiency</w:t>
      </w:r>
      <w:r w:rsidR="00CA7AFB">
        <w:t xml:space="preserve"> but</w:t>
      </w:r>
      <w:r w:rsidR="00CA7AFB" w:rsidRPr="001E790A">
        <w:t xml:space="preserve"> is not well targeted in addressing </w:t>
      </w:r>
      <w:r w:rsidR="00CA7AFB">
        <w:t>fairness</w:t>
      </w:r>
      <w:r w:rsidR="00CA7AFB" w:rsidRPr="001E790A">
        <w:t xml:space="preserve"> concerns</w:t>
      </w:r>
      <w:r w:rsidR="00CA7AFB">
        <w:t xml:space="preserve"> for low</w:t>
      </w:r>
      <w:r w:rsidR="00096DB4">
        <w:t>-</w:t>
      </w:r>
      <w:r w:rsidR="00CA7AFB">
        <w:t>income households.</w:t>
      </w:r>
      <w:r w:rsidR="008013DA">
        <w:t xml:space="preserve"> </w:t>
      </w:r>
    </w:p>
    <w:p w14:paraId="145C16ED" w14:textId="77777777" w:rsidR="00CA7AFB" w:rsidRDefault="00CA7AFB" w:rsidP="00CA7AFB">
      <w:r>
        <w:t>Icon Water has provided evidence that</w:t>
      </w:r>
      <w:r w:rsidRPr="001E790A">
        <w:t xml:space="preserve"> large numbers of low</w:t>
      </w:r>
      <w:r w:rsidR="00096DB4">
        <w:t>-</w:t>
      </w:r>
      <w:r w:rsidRPr="001E790A">
        <w:t>income consumers, particularly larger households, use more water than is available at the low</w:t>
      </w:r>
      <w:r>
        <w:t>er</w:t>
      </w:r>
      <w:r w:rsidRPr="001E790A">
        <w:t xml:space="preserve"> </w:t>
      </w:r>
      <w:r>
        <w:t>T</w:t>
      </w:r>
      <w:r w:rsidRPr="001E790A">
        <w:t>ier</w:t>
      </w:r>
      <w:r>
        <w:t xml:space="preserve"> 1</w:t>
      </w:r>
      <w:r w:rsidRPr="001E790A">
        <w:t xml:space="preserve"> price.</w:t>
      </w:r>
      <w:r w:rsidR="008013DA">
        <w:t xml:space="preserve"> </w:t>
      </w:r>
      <w:r>
        <w:t>In its submission to the tariff review, Icon Water assessed the level of water use of customers receiving the ACT Government</w:t>
      </w:r>
      <w:r w:rsidR="00DC674F">
        <w:t>’</w:t>
      </w:r>
      <w:r>
        <w:t xml:space="preserve">s </w:t>
      </w:r>
      <w:r w:rsidR="00096DB4">
        <w:t>u</w:t>
      </w:r>
      <w:r>
        <w:t xml:space="preserve">tilities </w:t>
      </w:r>
      <w:r w:rsidR="00096DB4">
        <w:t>c</w:t>
      </w:r>
      <w:r>
        <w:t>oncession.</w:t>
      </w:r>
      <w:r>
        <w:rPr>
          <w:rStyle w:val="FootnoteReference"/>
        </w:rPr>
        <w:footnoteReference w:id="28"/>
      </w:r>
      <w:r w:rsidR="008013DA">
        <w:t xml:space="preserve"> </w:t>
      </w:r>
      <w:r>
        <w:t xml:space="preserve">Icon Water found that around 40 per cent of these customers use more than 200 kL </w:t>
      </w:r>
      <w:r w:rsidR="00096DB4">
        <w:t xml:space="preserve">per year </w:t>
      </w:r>
      <w:r>
        <w:t>and pay the Tier 2 water usage price and that there are just as many concessional customers using more than 200 kL per year as there are using less than 150 kL per year.</w:t>
      </w:r>
    </w:p>
    <w:p w14:paraId="2BE85173" w14:textId="77777777" w:rsidR="00CA7AFB" w:rsidRDefault="00CA7AFB" w:rsidP="00CA7AFB">
      <w:r>
        <w:t xml:space="preserve">Importantly, </w:t>
      </w:r>
      <w:r w:rsidR="00096DB4">
        <w:t xml:space="preserve">addressing </w:t>
      </w:r>
      <w:r>
        <w:t>the concerns about adverse impacts for low</w:t>
      </w:r>
      <w:r w:rsidR="00096DB4">
        <w:t>-</w:t>
      </w:r>
      <w:r>
        <w:t>income households m</w:t>
      </w:r>
      <w:r w:rsidRPr="00833C92">
        <w:t>ay ideally need add</w:t>
      </w:r>
      <w:r>
        <w:t>itional policy responses.</w:t>
      </w:r>
      <w:r w:rsidR="008013DA">
        <w:t xml:space="preserve"> </w:t>
      </w:r>
      <w:r>
        <w:t xml:space="preserve">Phasing of changes </w:t>
      </w:r>
      <w:proofErr w:type="gramStart"/>
      <w:r>
        <w:t>was proposed</w:t>
      </w:r>
      <w:proofErr w:type="gramEnd"/>
      <w:r>
        <w:t xml:space="preserve"> in the </w:t>
      </w:r>
      <w:r w:rsidR="00096DB4">
        <w:t>d</w:t>
      </w:r>
      <w:r>
        <w:t xml:space="preserve">raft </w:t>
      </w:r>
      <w:r w:rsidR="00096DB4">
        <w:t>r</w:t>
      </w:r>
      <w:r>
        <w:t>eport to help address these concerns</w:t>
      </w:r>
      <w:r w:rsidR="00096DB4">
        <w:t>,</w:t>
      </w:r>
      <w:r>
        <w:t xml:space="preserve"> but additional policy mechanisms may be needed.</w:t>
      </w:r>
      <w:r w:rsidR="008013DA">
        <w:t xml:space="preserve"> </w:t>
      </w:r>
    </w:p>
    <w:p w14:paraId="0A8969F8" w14:textId="77777777" w:rsidR="00CA7AFB" w:rsidRDefault="00CA7AFB" w:rsidP="00CA7AFB">
      <w:pPr>
        <w:pStyle w:val="Heading2a"/>
      </w:pPr>
      <w:bookmarkStart w:id="212" w:name="_Toc476753984"/>
      <w:bookmarkStart w:id="213" w:name="_Toc478465461"/>
      <w:r>
        <w:t>4.9</w:t>
      </w:r>
      <w:r>
        <w:tab/>
        <w:t>Simplicity</w:t>
      </w:r>
      <w:bookmarkEnd w:id="212"/>
      <w:bookmarkEnd w:id="213"/>
    </w:p>
    <w:p w14:paraId="54B3039E" w14:textId="05A62E0F" w:rsidR="00CA7AFB" w:rsidRDefault="00CA7AFB" w:rsidP="00CA7AFB">
      <w:r w:rsidRPr="00150211">
        <w:t>Tariff structures should be simple for customers to understand and straightforward for the utility to implement.</w:t>
      </w:r>
      <w:r w:rsidR="008013DA">
        <w:t xml:space="preserve"> </w:t>
      </w:r>
      <w:r>
        <w:t>The cur</w:t>
      </w:r>
      <w:r w:rsidRPr="00833C92">
        <w:t>rent inclining block tariff stru</w:t>
      </w:r>
      <w:r>
        <w:t xml:space="preserve">cture has been in place for a long time and </w:t>
      </w:r>
      <w:proofErr w:type="gramStart"/>
      <w:r>
        <w:t>should be well understood</w:t>
      </w:r>
      <w:proofErr w:type="gramEnd"/>
      <w:r>
        <w:t xml:space="preserve"> by customers.</w:t>
      </w:r>
      <w:r w:rsidR="008013DA">
        <w:t xml:space="preserve"> </w:t>
      </w:r>
      <w:r>
        <w:t xml:space="preserve">However, the two-tier structure makes it difficult to determine likely revenues since water sales </w:t>
      </w:r>
      <w:r w:rsidR="00E67E5D">
        <w:t xml:space="preserve">need to </w:t>
      </w:r>
      <w:proofErr w:type="gramStart"/>
      <w:r w:rsidR="00E67E5D">
        <w:t>be forecast</w:t>
      </w:r>
      <w:proofErr w:type="gramEnd"/>
      <w:r w:rsidR="00E67E5D">
        <w:t xml:space="preserve"> </w:t>
      </w:r>
      <w:r>
        <w:t xml:space="preserve">not only at the aggregate </w:t>
      </w:r>
      <w:r w:rsidR="00E67E5D">
        <w:t xml:space="preserve">level </w:t>
      </w:r>
      <w:r>
        <w:t xml:space="preserve">but also at the block sales level. As shown in </w:t>
      </w:r>
      <w:r w:rsidR="00E62F0C">
        <w:fldChar w:fldCharType="begin"/>
      </w:r>
      <w:r>
        <w:instrText xml:space="preserve"> REF _Ref474142622 \h </w:instrText>
      </w:r>
      <w:r w:rsidR="00E62F0C">
        <w:fldChar w:fldCharType="separate"/>
      </w:r>
      <w:r w:rsidR="00766A7B" w:rsidRPr="00DB3C19">
        <w:t>Figure</w:t>
      </w:r>
      <w:r w:rsidR="00766A7B">
        <w:t xml:space="preserve"> </w:t>
      </w:r>
      <w:r w:rsidR="00766A7B">
        <w:rPr>
          <w:noProof/>
        </w:rPr>
        <w:t>4</w:t>
      </w:r>
      <w:r w:rsidR="00766A7B">
        <w:t>.</w:t>
      </w:r>
      <w:r w:rsidR="00766A7B">
        <w:rPr>
          <w:noProof/>
        </w:rPr>
        <w:t>2</w:t>
      </w:r>
      <w:r w:rsidR="00E62F0C">
        <w:fldChar w:fldCharType="end"/>
      </w:r>
      <w:r>
        <w:t xml:space="preserve">, the proportion of Tier 1 sales has </w:t>
      </w:r>
      <w:r w:rsidR="00E67E5D">
        <w:t>varied significantly</w:t>
      </w:r>
      <w:r>
        <w:t xml:space="preserve"> since the introduction of the two-step structure in 2008</w:t>
      </w:r>
      <w:r w:rsidR="00E67E5D">
        <w:t>–</w:t>
      </w:r>
      <w:r>
        <w:t>09.</w:t>
      </w:r>
      <w:r w:rsidR="008013DA">
        <w:t xml:space="preserve"> </w:t>
      </w:r>
      <w:r>
        <w:t>Moving to a single usage charge would remove this element of revenue uncertainty.</w:t>
      </w:r>
    </w:p>
    <w:p w14:paraId="0F03DC1C" w14:textId="77777777" w:rsidR="00712859" w:rsidRDefault="00CA7AFB" w:rsidP="00CA7AFB">
      <w:pPr>
        <w:pStyle w:val="FigureName"/>
        <w:keepNext/>
        <w:ind w:left="0" w:firstLine="0"/>
      </w:pPr>
      <w:bookmarkStart w:id="214" w:name="_Ref474142622"/>
      <w:bookmarkStart w:id="215" w:name="_Toc476556463"/>
      <w:bookmarkStart w:id="216" w:name="_Toc478480751"/>
      <w:r w:rsidRPr="00DB3C19">
        <w:lastRenderedPageBreak/>
        <w:t>Figure</w:t>
      </w:r>
      <w:r>
        <w:t xml:space="preserve"> </w:t>
      </w:r>
      <w:r w:rsidR="00802FFD">
        <w:fldChar w:fldCharType="begin"/>
      </w:r>
      <w:r w:rsidR="00802FFD">
        <w:instrText xml:space="preserve"> STYLEREF 1 \s </w:instrText>
      </w:r>
      <w:r w:rsidR="00802FFD">
        <w:fldChar w:fldCharType="separate"/>
      </w:r>
      <w:r w:rsidR="00802FFD">
        <w:rPr>
          <w:noProof/>
        </w:rPr>
        <w:t>4</w:t>
      </w:r>
      <w:r w:rsidR="00802FFD">
        <w:fldChar w:fldCharType="end"/>
      </w:r>
      <w:r w:rsidR="00802FFD">
        <w:t>.</w:t>
      </w:r>
      <w:r w:rsidR="00E62F0C">
        <w:fldChar w:fldCharType="begin"/>
      </w:r>
      <w:r>
        <w:instrText xml:space="preserve"> SEQ Figure \* ARABIC \s 1 </w:instrText>
      </w:r>
      <w:r w:rsidR="00E62F0C">
        <w:fldChar w:fldCharType="separate"/>
      </w:r>
      <w:r w:rsidR="00766A7B">
        <w:rPr>
          <w:noProof/>
        </w:rPr>
        <w:t>2</w:t>
      </w:r>
      <w:r w:rsidR="00E62F0C">
        <w:fldChar w:fldCharType="end"/>
      </w:r>
      <w:bookmarkEnd w:id="214"/>
      <w:r w:rsidRPr="001D18C8">
        <w:tab/>
      </w:r>
      <w:r>
        <w:t>Icon Water Tier 1 proportion of total water sales, 2008</w:t>
      </w:r>
      <w:r w:rsidR="00E67E5D">
        <w:t>–</w:t>
      </w:r>
      <w:r>
        <w:t>09 to 2014</w:t>
      </w:r>
      <w:r w:rsidR="00E67E5D">
        <w:t>–</w:t>
      </w:r>
      <w:r>
        <w:t>15</w:t>
      </w:r>
      <w:bookmarkEnd w:id="215"/>
    </w:p>
    <w:p w14:paraId="729EAAE6" w14:textId="0BC11CCE" w:rsidR="00CA7AFB" w:rsidRPr="001D18C8" w:rsidRDefault="00712859" w:rsidP="00CA7AFB">
      <w:pPr>
        <w:pStyle w:val="FigureName"/>
        <w:keepNext/>
        <w:ind w:left="0" w:firstLine="0"/>
      </w:pPr>
      <w:r>
        <w:rPr>
          <w:noProof/>
          <w:lang w:val="en-AU" w:eastAsia="en-AU"/>
        </w:rPr>
        <w:drawing>
          <wp:inline distT="0" distB="0" distL="0" distR="0" wp14:anchorId="0A7AB22D" wp14:editId="201229B0">
            <wp:extent cx="4896485" cy="2291080"/>
            <wp:effectExtent l="0" t="0" r="1841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216"/>
    </w:p>
    <w:p w14:paraId="7C30BB5D" w14:textId="77777777" w:rsidR="00CA7AFB" w:rsidRPr="001D18C8" w:rsidRDefault="00CA7AFB" w:rsidP="00CA7AFB">
      <w:pPr>
        <w:pStyle w:val="TableNotesLast"/>
        <w:keepNext/>
      </w:pPr>
      <w:r>
        <w:t>Source:</w:t>
      </w:r>
      <w:r w:rsidR="0033117C">
        <w:t xml:space="preserve"> </w:t>
      </w:r>
      <w:r>
        <w:t>Icon Wat</w:t>
      </w:r>
      <w:r w:rsidRPr="00E35C12">
        <w:t xml:space="preserve">er billed </w:t>
      </w:r>
      <w:r w:rsidR="00E35C12">
        <w:t xml:space="preserve">water </w:t>
      </w:r>
      <w:r w:rsidRPr="00E35C12">
        <w:t>consumption data.</w:t>
      </w:r>
    </w:p>
    <w:p w14:paraId="7490CCED" w14:textId="77777777" w:rsidR="00CA7AFB" w:rsidRDefault="00CA7AFB" w:rsidP="00CA7AFB">
      <w:pPr>
        <w:pStyle w:val="Heading2a"/>
      </w:pPr>
      <w:bookmarkStart w:id="217" w:name="_Toc476753985"/>
      <w:bookmarkStart w:id="218" w:name="_Toc478465462"/>
      <w:r>
        <w:t>4.10</w:t>
      </w:r>
      <w:r>
        <w:tab/>
        <w:t>Transparency</w:t>
      </w:r>
      <w:bookmarkEnd w:id="217"/>
      <w:bookmarkEnd w:id="218"/>
    </w:p>
    <w:p w14:paraId="7212A0E6" w14:textId="77777777" w:rsidR="00CA7AFB" w:rsidRPr="001E790A" w:rsidRDefault="00CA7AFB" w:rsidP="00CA7AFB">
      <w:r>
        <w:t xml:space="preserve">Considerations relating to transparency largely depend on the extent to which regulatory decisions </w:t>
      </w:r>
      <w:proofErr w:type="gramStart"/>
      <w:r>
        <w:t>are supported</w:t>
      </w:r>
      <w:proofErr w:type="gramEnd"/>
      <w:r>
        <w:t xml:space="preserve"> by transparent information and a well</w:t>
      </w:r>
      <w:r w:rsidR="000E2B46">
        <w:t>-</w:t>
      </w:r>
      <w:r>
        <w:t>understood rationale and th</w:t>
      </w:r>
      <w:r w:rsidRPr="0033117C">
        <w:t>ere is good op</w:t>
      </w:r>
      <w:r>
        <w:t xml:space="preserve">portunity </w:t>
      </w:r>
      <w:r w:rsidR="000E2B46">
        <w:t xml:space="preserve">for </w:t>
      </w:r>
      <w:r>
        <w:t>stakeholders to present their views.</w:t>
      </w:r>
      <w:r w:rsidR="008013DA">
        <w:t xml:space="preserve"> </w:t>
      </w:r>
      <w:r>
        <w:t xml:space="preserve">The current inclining block tariff structure was introduced using a transparent methodology </w:t>
      </w:r>
      <w:r w:rsidRPr="0033117C">
        <w:t>and subject to</w:t>
      </w:r>
      <w:r>
        <w:t xml:space="preserve"> public scrutiny.</w:t>
      </w:r>
      <w:r w:rsidR="008013DA">
        <w:t xml:space="preserve"> </w:t>
      </w:r>
      <w:r>
        <w:t xml:space="preserve">The Commission will continue to apply this principle along with the other pricing principles in developing a final tariff structure decision. </w:t>
      </w:r>
    </w:p>
    <w:p w14:paraId="4FB37AAF" w14:textId="77777777" w:rsidR="00CA7AFB" w:rsidRDefault="00CA7AFB" w:rsidP="00CA7AFB">
      <w:pPr>
        <w:pStyle w:val="Heading2a"/>
      </w:pPr>
      <w:bookmarkStart w:id="219" w:name="_Toc476753986"/>
      <w:bookmarkStart w:id="220" w:name="_Toc478465463"/>
      <w:r>
        <w:t>4.11</w:t>
      </w:r>
      <w:r>
        <w:tab/>
      </w:r>
      <w:r w:rsidRPr="0033117C">
        <w:t>Summary assessment</w:t>
      </w:r>
      <w:bookmarkEnd w:id="219"/>
      <w:bookmarkEnd w:id="220"/>
      <w:r>
        <w:t xml:space="preserve"> </w:t>
      </w:r>
    </w:p>
    <w:p w14:paraId="33767167" w14:textId="67245937" w:rsidR="00CA7AFB" w:rsidRDefault="00D70C85" w:rsidP="00CA7AFB">
      <w:r>
        <w:fldChar w:fldCharType="begin"/>
      </w:r>
      <w:r>
        <w:instrText xml:space="preserve"> REF _Ref478472958 \h </w:instrText>
      </w:r>
      <w:r>
        <w:fldChar w:fldCharType="separate"/>
      </w:r>
      <w:r>
        <w:t xml:space="preserve">Table </w:t>
      </w:r>
      <w:r>
        <w:rPr>
          <w:noProof/>
        </w:rPr>
        <w:t>4</w:t>
      </w:r>
      <w:r>
        <w:t>.</w:t>
      </w:r>
      <w:r>
        <w:rPr>
          <w:noProof/>
        </w:rPr>
        <w:t>1</w:t>
      </w:r>
      <w:r>
        <w:fldChar w:fldCharType="end"/>
      </w:r>
      <w:r>
        <w:t xml:space="preserve"> </w:t>
      </w:r>
      <w:r w:rsidR="00CA7AFB">
        <w:t>shows the summary assessment of the current water tariff structure against the pricing principles.</w:t>
      </w:r>
      <w:r w:rsidR="008013DA">
        <w:t xml:space="preserve"> </w:t>
      </w:r>
      <w:r w:rsidR="00CA7AFB">
        <w:t xml:space="preserve">The main finding is that the tariff structure </w:t>
      </w:r>
      <w:proofErr w:type="gramStart"/>
      <w:r w:rsidR="00CA7AFB">
        <w:t>can be improved</w:t>
      </w:r>
      <w:proofErr w:type="gramEnd"/>
      <w:r w:rsidR="00CA7AFB">
        <w:t xml:space="preserve"> to better meet key aspects of economic efficiency.</w:t>
      </w:r>
      <w:r w:rsidR="008013DA">
        <w:t xml:space="preserve"> </w:t>
      </w:r>
    </w:p>
    <w:p w14:paraId="61E9507C" w14:textId="77777777" w:rsidR="00CA7AFB" w:rsidRDefault="00CA7AFB" w:rsidP="00CA7AFB">
      <w:r>
        <w:t>The tariff structure also appears to have mixed results on reducing costs for low</w:t>
      </w:r>
      <w:r w:rsidR="000E2B46">
        <w:t>-</w:t>
      </w:r>
      <w:r>
        <w:t>income households since a significant proportion of low</w:t>
      </w:r>
      <w:r w:rsidR="000E2B46">
        <w:t>-</w:t>
      </w:r>
      <w:r>
        <w:t>income households consume more than the 200</w:t>
      </w:r>
      <w:r w:rsidR="002E2C55">
        <w:t> </w:t>
      </w:r>
      <w:r w:rsidRPr="000E2B46">
        <w:t>kL per y</w:t>
      </w:r>
      <w:r w:rsidR="000E2B46">
        <w:t>ear</w:t>
      </w:r>
      <w:r w:rsidRPr="000E2B46">
        <w:t xml:space="preserve"> fig</w:t>
      </w:r>
      <w:r>
        <w:t>ure at which the higher Tier 2 charge applies.</w:t>
      </w:r>
      <w:r w:rsidR="008013DA">
        <w:t xml:space="preserve"> </w:t>
      </w:r>
      <w:r>
        <w:t>Although a significant proportion of low</w:t>
      </w:r>
      <w:r w:rsidR="000E2B46">
        <w:t>-</w:t>
      </w:r>
      <w:r>
        <w:t xml:space="preserve">income households consume smaller amounts of water, the structure </w:t>
      </w:r>
      <w:proofErr w:type="gramStart"/>
      <w:r>
        <w:t>is still considered</w:t>
      </w:r>
      <w:proofErr w:type="gramEnd"/>
      <w:r>
        <w:t xml:space="preserve"> to have adverse equity </w:t>
      </w:r>
      <w:r w:rsidR="000E2B46">
        <w:t>e</w:t>
      </w:r>
      <w:r>
        <w:t xml:space="preserve">ffects </w:t>
      </w:r>
      <w:r w:rsidR="000E2B46">
        <w:t xml:space="preserve">on </w:t>
      </w:r>
      <w:r>
        <w:t>low</w:t>
      </w:r>
      <w:r w:rsidR="000E2B46">
        <w:t>-</w:t>
      </w:r>
      <w:r>
        <w:t xml:space="preserve">income households </w:t>
      </w:r>
      <w:r w:rsidR="000E2B46">
        <w:t xml:space="preserve">that </w:t>
      </w:r>
      <w:r>
        <w:t>are large users of water</w:t>
      </w:r>
      <w:r w:rsidR="000E2B46">
        <w:t>,</w:t>
      </w:r>
      <w:r>
        <w:t xml:space="preserve"> and there are better policy mechanisms to help households in need of financial assistance, although these may require the involvement of other parts of </w:t>
      </w:r>
      <w:r w:rsidR="000E2B46">
        <w:t>g</w:t>
      </w:r>
      <w:r>
        <w:t>overnment.</w:t>
      </w:r>
      <w:r w:rsidR="008013DA">
        <w:t xml:space="preserve"> </w:t>
      </w:r>
    </w:p>
    <w:p w14:paraId="4EC19D9B" w14:textId="77777777" w:rsidR="00CA7AFB" w:rsidRDefault="00CA7AFB" w:rsidP="00CA7AFB">
      <w:r>
        <w:t xml:space="preserve">It </w:t>
      </w:r>
      <w:proofErr w:type="gramStart"/>
      <w:r>
        <w:t>is also noted</w:t>
      </w:r>
      <w:proofErr w:type="gramEnd"/>
      <w:r>
        <w:t xml:space="preserve"> that key environmental objectives are being met under the current regulatory arrangements. </w:t>
      </w:r>
    </w:p>
    <w:p w14:paraId="74C8271C" w14:textId="77777777" w:rsidR="00CA7AFB" w:rsidRDefault="00CA7AFB" w:rsidP="00CA7AFB">
      <w:r>
        <w:t>The key conclusion is that the inclining block tariff</w:t>
      </w:r>
      <w:r w:rsidR="0033117C">
        <w:t>, which</w:t>
      </w:r>
      <w:r>
        <w:t xml:space="preserve"> served the ACT well </w:t>
      </w:r>
      <w:r w:rsidR="0033117C">
        <w:t xml:space="preserve">during </w:t>
      </w:r>
      <w:r>
        <w:t xml:space="preserve">the drought years as a mechanism to encourage water conservation, </w:t>
      </w:r>
      <w:proofErr w:type="gramStart"/>
      <w:r>
        <w:t>can be improved</w:t>
      </w:r>
      <w:proofErr w:type="gramEnd"/>
      <w:r>
        <w:t xml:space="preserve"> to </w:t>
      </w:r>
      <w:r>
        <w:lastRenderedPageBreak/>
        <w:t>provide better outcomes for the community in the current water</w:t>
      </w:r>
      <w:r w:rsidR="000E2B46">
        <w:t>-</w:t>
      </w:r>
      <w:r>
        <w:t>secure circumstances.</w:t>
      </w:r>
      <w:r w:rsidR="008013DA">
        <w:t xml:space="preserve"> </w:t>
      </w:r>
      <w:r>
        <w:t xml:space="preserve">However, although the direction of change is clear, the exact nature and extent of change require balancing of the various objectives, as discussed in more detail in Chapter 5. </w:t>
      </w:r>
    </w:p>
    <w:p w14:paraId="3D915B47" w14:textId="6FAEF370" w:rsidR="00CA7AFB" w:rsidRPr="003B0067" w:rsidRDefault="00CA7AFB" w:rsidP="00CA7AFB">
      <w:pPr>
        <w:pStyle w:val="TableName0"/>
      </w:pPr>
      <w:bookmarkStart w:id="221" w:name="_Ref478472958"/>
      <w:bookmarkStart w:id="222" w:name="_Toc476559522"/>
      <w:bookmarkStart w:id="223" w:name="_Toc478480707"/>
      <w:bookmarkStart w:id="224" w:name="_Ref456796468"/>
      <w:r>
        <w:t xml:space="preserve">Table </w:t>
      </w:r>
      <w:r w:rsidR="00702C16">
        <w:fldChar w:fldCharType="begin"/>
      </w:r>
      <w:r w:rsidR="00702C16">
        <w:instrText xml:space="preserve"> STYLEREF 1 \s </w:instrText>
      </w:r>
      <w:r w:rsidR="00702C16">
        <w:fldChar w:fldCharType="separate"/>
      </w:r>
      <w:r w:rsidR="00702C16">
        <w:rPr>
          <w:noProof/>
        </w:rPr>
        <w:t>4</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221"/>
      <w:r>
        <w:tab/>
        <w:t>Summary of the current tariff structure</w:t>
      </w:r>
      <w:bookmarkEnd w:id="222"/>
      <w:bookmarkEnd w:id="223"/>
    </w:p>
    <w:tbl>
      <w:tblPr>
        <w:tblW w:w="5000"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2453"/>
        <w:gridCol w:w="1514"/>
        <w:gridCol w:w="3744"/>
      </w:tblGrid>
      <w:tr w:rsidR="00CA7AFB" w:rsidRPr="00144F8C" w14:paraId="0647EC06" w14:textId="77777777" w:rsidTr="000E2B46">
        <w:trPr>
          <w:cantSplit/>
        </w:trPr>
        <w:tc>
          <w:tcPr>
            <w:tcW w:w="1590" w:type="pct"/>
            <w:tcBorders>
              <w:top w:val="single" w:sz="12" w:space="0" w:color="1F497D"/>
              <w:left w:val="nil"/>
              <w:bottom w:val="single" w:sz="8" w:space="0" w:color="1F497D"/>
              <w:right w:val="nil"/>
            </w:tcBorders>
            <w:shd w:val="clear" w:color="auto" w:fill="DBE5F1"/>
            <w:vAlign w:val="bottom"/>
          </w:tcPr>
          <w:bookmarkEnd w:id="224"/>
          <w:p w14:paraId="0C67813F" w14:textId="77777777" w:rsidR="00CA7AFB" w:rsidRPr="00347ADB" w:rsidRDefault="00CA7AFB" w:rsidP="003A7D85">
            <w:pPr>
              <w:pStyle w:val="TableHeadingLeft"/>
              <w:keepNext/>
            </w:pPr>
            <w:r>
              <w:t>Principles</w:t>
            </w:r>
          </w:p>
        </w:tc>
        <w:tc>
          <w:tcPr>
            <w:tcW w:w="982" w:type="pct"/>
            <w:tcBorders>
              <w:top w:val="single" w:sz="12" w:space="0" w:color="1F497D"/>
              <w:left w:val="nil"/>
              <w:bottom w:val="single" w:sz="8" w:space="0" w:color="1F497D"/>
              <w:right w:val="nil"/>
            </w:tcBorders>
            <w:shd w:val="clear" w:color="auto" w:fill="DBE5F1"/>
            <w:vAlign w:val="bottom"/>
          </w:tcPr>
          <w:p w14:paraId="79D6082D" w14:textId="77777777" w:rsidR="00CA7AFB" w:rsidRPr="00347ADB" w:rsidRDefault="00CA7AFB" w:rsidP="003A7D85">
            <w:pPr>
              <w:pStyle w:val="TableHeadingLeft"/>
              <w:keepNext/>
              <w:jc w:val="center"/>
            </w:pPr>
            <w:r>
              <w:t>Assessment</w:t>
            </w:r>
          </w:p>
        </w:tc>
        <w:tc>
          <w:tcPr>
            <w:tcW w:w="2429" w:type="pct"/>
            <w:tcBorders>
              <w:top w:val="single" w:sz="12" w:space="0" w:color="1F497D"/>
              <w:left w:val="nil"/>
              <w:bottom w:val="single" w:sz="8" w:space="0" w:color="1F497D"/>
              <w:right w:val="nil"/>
            </w:tcBorders>
            <w:shd w:val="clear" w:color="auto" w:fill="DBE5F1"/>
          </w:tcPr>
          <w:p w14:paraId="2304B2B1" w14:textId="77777777" w:rsidR="00CA7AFB" w:rsidRDefault="00CA7AFB" w:rsidP="003A7D85">
            <w:pPr>
              <w:pStyle w:val="TableHeadingLeft"/>
              <w:keepNext/>
            </w:pPr>
            <w:r>
              <w:t>Comment</w:t>
            </w:r>
          </w:p>
        </w:tc>
      </w:tr>
      <w:tr w:rsidR="00CA7AFB" w:rsidRPr="00144F8C" w14:paraId="7F3787AA" w14:textId="77777777" w:rsidTr="000E2B46">
        <w:trPr>
          <w:cantSplit/>
          <w:trHeight w:val="313"/>
        </w:trPr>
        <w:tc>
          <w:tcPr>
            <w:tcW w:w="1590" w:type="pct"/>
            <w:tcBorders>
              <w:top w:val="nil"/>
              <w:left w:val="nil"/>
              <w:bottom w:val="nil"/>
              <w:right w:val="nil"/>
            </w:tcBorders>
            <w:shd w:val="clear" w:color="auto" w:fill="DDD9C3"/>
          </w:tcPr>
          <w:p w14:paraId="10364CBE" w14:textId="77777777" w:rsidR="00CA7AFB" w:rsidRPr="008D70AD" w:rsidRDefault="00CA7AFB" w:rsidP="003A7D85">
            <w:pPr>
              <w:pStyle w:val="TableHeadingLeft"/>
              <w:keepNext/>
              <w:rPr>
                <w:b w:val="0"/>
              </w:rPr>
            </w:pPr>
            <w:r w:rsidRPr="008D70AD">
              <w:rPr>
                <w:b w:val="0"/>
              </w:rPr>
              <w:t xml:space="preserve">1 </w:t>
            </w:r>
            <w:r>
              <w:rPr>
                <w:b w:val="0"/>
              </w:rPr>
              <w:t xml:space="preserve">Economic </w:t>
            </w:r>
            <w:r w:rsidRPr="008D70AD">
              <w:rPr>
                <w:b w:val="0"/>
              </w:rPr>
              <w:t>efficiency</w:t>
            </w:r>
            <w:r>
              <w:rPr>
                <w:b w:val="0"/>
              </w:rPr>
              <w:t xml:space="preserve"> in use</w:t>
            </w:r>
          </w:p>
        </w:tc>
        <w:tc>
          <w:tcPr>
            <w:tcW w:w="982" w:type="pct"/>
            <w:tcBorders>
              <w:top w:val="nil"/>
              <w:left w:val="nil"/>
              <w:bottom w:val="nil"/>
              <w:right w:val="nil"/>
            </w:tcBorders>
            <w:shd w:val="clear" w:color="auto" w:fill="DDD9C3"/>
          </w:tcPr>
          <w:p w14:paraId="0E2ACF19" w14:textId="77777777" w:rsidR="00CA7AFB" w:rsidRPr="008D70AD" w:rsidRDefault="00CA7AFB" w:rsidP="003A7D85">
            <w:pPr>
              <w:pStyle w:val="TableHeadingLeft"/>
              <w:keepNext/>
              <w:jc w:val="center"/>
              <w:rPr>
                <w:b w:val="0"/>
              </w:rPr>
            </w:pPr>
            <w:r>
              <w:rPr>
                <w:b w:val="0"/>
              </w:rPr>
              <w:sym w:font="Wingdings" w:char="F0FB"/>
            </w:r>
          </w:p>
        </w:tc>
        <w:tc>
          <w:tcPr>
            <w:tcW w:w="2429" w:type="pct"/>
            <w:tcBorders>
              <w:top w:val="nil"/>
              <w:left w:val="nil"/>
              <w:bottom w:val="nil"/>
              <w:right w:val="nil"/>
            </w:tcBorders>
            <w:shd w:val="clear" w:color="auto" w:fill="DDD9C3"/>
          </w:tcPr>
          <w:p w14:paraId="1B579CCB" w14:textId="77777777" w:rsidR="00CA7AFB" w:rsidRDefault="00CA7AFB" w:rsidP="003A7D85">
            <w:pPr>
              <w:pStyle w:val="TableHeadingLeft"/>
              <w:keepNext/>
              <w:rPr>
                <w:b w:val="0"/>
              </w:rPr>
            </w:pPr>
            <w:r>
              <w:rPr>
                <w:b w:val="0"/>
              </w:rPr>
              <w:t>Not efficient</w:t>
            </w:r>
            <w:r w:rsidR="000E2B46">
              <w:rPr>
                <w:b w:val="0"/>
              </w:rPr>
              <w:t>;</w:t>
            </w:r>
            <w:r>
              <w:rPr>
                <w:b w:val="0"/>
              </w:rPr>
              <w:t xml:space="preserve"> usage components do not reflect relevant cost</w:t>
            </w:r>
            <w:r w:rsidR="000E2B46">
              <w:rPr>
                <w:b w:val="0"/>
              </w:rPr>
              <w:t>s</w:t>
            </w:r>
            <w:r>
              <w:rPr>
                <w:b w:val="0"/>
              </w:rPr>
              <w:t>.</w:t>
            </w:r>
          </w:p>
          <w:p w14:paraId="0B26DFC1" w14:textId="77777777" w:rsidR="00CA7AFB" w:rsidRDefault="00CA7AFB" w:rsidP="003A7D85">
            <w:pPr>
              <w:pStyle w:val="TableHeadingLeft"/>
              <w:keepNext/>
              <w:rPr>
                <w:b w:val="0"/>
              </w:rPr>
            </w:pPr>
            <w:r>
              <w:rPr>
                <w:b w:val="0"/>
              </w:rPr>
              <w:t>A two-tier rather than a single usage price is always inefficient whe</w:t>
            </w:r>
            <w:r w:rsidR="0096286C">
              <w:rPr>
                <w:b w:val="0"/>
              </w:rPr>
              <w:t>n</w:t>
            </w:r>
            <w:r>
              <w:rPr>
                <w:b w:val="0"/>
              </w:rPr>
              <w:t xml:space="preserve"> customers prefer different usage levels.</w:t>
            </w:r>
          </w:p>
          <w:p w14:paraId="6D62B7F1" w14:textId="77777777" w:rsidR="00CA7AFB" w:rsidRPr="008D70AD" w:rsidRDefault="00CA7AFB" w:rsidP="003A7D85">
            <w:pPr>
              <w:pStyle w:val="TableHeadingLeft"/>
              <w:keepNext/>
              <w:rPr>
                <w:b w:val="0"/>
              </w:rPr>
            </w:pPr>
            <w:r>
              <w:rPr>
                <w:b w:val="0"/>
              </w:rPr>
              <w:t>There is also a st</w:t>
            </w:r>
            <w:r w:rsidR="000E2B46">
              <w:rPr>
                <w:b w:val="0"/>
              </w:rPr>
              <w:t>rong risk of uneconomic bypass.</w:t>
            </w:r>
          </w:p>
        </w:tc>
      </w:tr>
      <w:tr w:rsidR="00CA7AFB" w:rsidRPr="00144F8C" w14:paraId="1D2EBA28" w14:textId="77777777" w:rsidTr="000E2B46">
        <w:trPr>
          <w:cantSplit/>
        </w:trPr>
        <w:tc>
          <w:tcPr>
            <w:tcW w:w="1590" w:type="pct"/>
            <w:tcBorders>
              <w:top w:val="nil"/>
              <w:left w:val="nil"/>
              <w:bottom w:val="nil"/>
              <w:right w:val="nil"/>
            </w:tcBorders>
            <w:shd w:val="clear" w:color="auto" w:fill="DDD9C3"/>
          </w:tcPr>
          <w:p w14:paraId="105C9359" w14:textId="77777777" w:rsidR="00CA7AFB" w:rsidRDefault="00CA7AFB" w:rsidP="003A7D85">
            <w:pPr>
              <w:pStyle w:val="TableHeadingLeft"/>
              <w:keepNext/>
              <w:rPr>
                <w:b w:val="0"/>
              </w:rPr>
            </w:pPr>
            <w:r>
              <w:rPr>
                <w:b w:val="0"/>
              </w:rPr>
              <w:t xml:space="preserve">2 Economic efficiency for investment and operation </w:t>
            </w:r>
          </w:p>
          <w:p w14:paraId="4A8D8A48" w14:textId="77777777" w:rsidR="00CA7AFB" w:rsidRDefault="00CA7AFB" w:rsidP="003A7D85">
            <w:pPr>
              <w:pStyle w:val="TableHeadingLeft"/>
              <w:keepNext/>
              <w:rPr>
                <w:b w:val="0"/>
              </w:rPr>
            </w:pPr>
          </w:p>
        </w:tc>
        <w:tc>
          <w:tcPr>
            <w:tcW w:w="982" w:type="pct"/>
            <w:tcBorders>
              <w:top w:val="nil"/>
              <w:left w:val="nil"/>
              <w:bottom w:val="nil"/>
              <w:right w:val="nil"/>
            </w:tcBorders>
            <w:shd w:val="clear" w:color="auto" w:fill="DDD9C3"/>
          </w:tcPr>
          <w:p w14:paraId="32FEDAE7" w14:textId="77777777" w:rsidR="00CA7AFB" w:rsidRDefault="00CA7AFB" w:rsidP="003A7D85">
            <w:pPr>
              <w:pStyle w:val="TableHeadingLeft"/>
              <w:keepNext/>
              <w:jc w:val="center"/>
              <w:rPr>
                <w:b w:val="0"/>
              </w:rPr>
            </w:pPr>
            <w:r>
              <w:rPr>
                <w:b w:val="0"/>
              </w:rPr>
              <w:sym w:font="Wingdings" w:char="F0FB"/>
            </w:r>
          </w:p>
        </w:tc>
        <w:tc>
          <w:tcPr>
            <w:tcW w:w="2429" w:type="pct"/>
            <w:tcBorders>
              <w:top w:val="nil"/>
              <w:left w:val="nil"/>
              <w:bottom w:val="nil"/>
              <w:right w:val="nil"/>
            </w:tcBorders>
            <w:shd w:val="clear" w:color="auto" w:fill="DDD9C3"/>
          </w:tcPr>
          <w:p w14:paraId="76209539" w14:textId="77777777" w:rsidR="00CA7AFB" w:rsidRDefault="00CA7AFB" w:rsidP="003A7D85">
            <w:pPr>
              <w:pStyle w:val="TableHeadingLeft"/>
              <w:keepNext/>
              <w:rPr>
                <w:b w:val="0"/>
              </w:rPr>
            </w:pPr>
            <w:r>
              <w:rPr>
                <w:b w:val="0"/>
              </w:rPr>
              <w:t>Not efficient</w:t>
            </w:r>
            <w:r w:rsidR="0096286C">
              <w:rPr>
                <w:b w:val="0"/>
              </w:rPr>
              <w:t>;</w:t>
            </w:r>
            <w:r>
              <w:rPr>
                <w:b w:val="0"/>
              </w:rPr>
              <w:t xml:space="preserve"> there is significant revenue risk from over</w:t>
            </w:r>
            <w:r w:rsidR="0096286C">
              <w:rPr>
                <w:b w:val="0"/>
              </w:rPr>
              <w:t>-</w:t>
            </w:r>
            <w:r>
              <w:rPr>
                <w:b w:val="0"/>
              </w:rPr>
              <w:t>reliance on usage charges.</w:t>
            </w:r>
          </w:p>
          <w:p w14:paraId="5B09AC95" w14:textId="77777777" w:rsidR="00CA7AFB" w:rsidRDefault="00CA7AFB" w:rsidP="003A7D85">
            <w:pPr>
              <w:pStyle w:val="TableHeadingLeft"/>
              <w:keepNext/>
              <w:rPr>
                <w:b w:val="0"/>
              </w:rPr>
            </w:pPr>
            <w:r>
              <w:rPr>
                <w:b w:val="0"/>
              </w:rPr>
              <w:t xml:space="preserve">The efficient level of costs </w:t>
            </w:r>
            <w:proofErr w:type="gramStart"/>
            <w:r>
              <w:rPr>
                <w:b w:val="0"/>
              </w:rPr>
              <w:t>is primarily addressed</w:t>
            </w:r>
            <w:proofErr w:type="gramEnd"/>
            <w:r>
              <w:rPr>
                <w:b w:val="0"/>
              </w:rPr>
              <w:t xml:space="preserve"> with separate auditing mechanisms.</w:t>
            </w:r>
          </w:p>
        </w:tc>
      </w:tr>
      <w:tr w:rsidR="00CA7AFB" w:rsidRPr="00144F8C" w14:paraId="4C8591DF" w14:textId="77777777" w:rsidTr="000E2B46">
        <w:trPr>
          <w:cantSplit/>
          <w:trHeight w:val="695"/>
        </w:trPr>
        <w:tc>
          <w:tcPr>
            <w:tcW w:w="1590" w:type="pct"/>
            <w:tcBorders>
              <w:top w:val="nil"/>
              <w:left w:val="nil"/>
              <w:bottom w:val="nil"/>
              <w:right w:val="nil"/>
            </w:tcBorders>
            <w:shd w:val="clear" w:color="auto" w:fill="FDE9D9"/>
          </w:tcPr>
          <w:p w14:paraId="24A844D5" w14:textId="77777777" w:rsidR="00CA7AFB" w:rsidRPr="008D70AD" w:rsidRDefault="00CA7AFB" w:rsidP="003A7D85">
            <w:pPr>
              <w:pStyle w:val="TableHeadingLeft"/>
              <w:keepNext/>
              <w:rPr>
                <w:b w:val="0"/>
              </w:rPr>
            </w:pPr>
            <w:r>
              <w:rPr>
                <w:b w:val="0"/>
              </w:rPr>
              <w:t>3 Environmental considerations</w:t>
            </w:r>
          </w:p>
        </w:tc>
        <w:tc>
          <w:tcPr>
            <w:tcW w:w="982" w:type="pct"/>
            <w:tcBorders>
              <w:top w:val="nil"/>
              <w:left w:val="nil"/>
              <w:bottom w:val="nil"/>
              <w:right w:val="nil"/>
            </w:tcBorders>
            <w:shd w:val="clear" w:color="auto" w:fill="FDE9D9"/>
          </w:tcPr>
          <w:p w14:paraId="666570F9" w14:textId="77777777" w:rsidR="00CA7AFB" w:rsidRPr="008D70AD" w:rsidRDefault="00CA7AFB" w:rsidP="003A7D85">
            <w:pPr>
              <w:pStyle w:val="TableHeadingLeft"/>
              <w:keepNext/>
              <w:jc w:val="center"/>
              <w:rPr>
                <w:b w:val="0"/>
              </w:rPr>
            </w:pPr>
            <w:r>
              <w:rPr>
                <w:b w:val="0"/>
              </w:rPr>
              <w:sym w:font="Wingdings" w:char="F0FC"/>
            </w:r>
          </w:p>
        </w:tc>
        <w:tc>
          <w:tcPr>
            <w:tcW w:w="2429" w:type="pct"/>
            <w:tcBorders>
              <w:top w:val="nil"/>
              <w:left w:val="nil"/>
              <w:bottom w:val="nil"/>
              <w:right w:val="nil"/>
            </w:tcBorders>
            <w:shd w:val="clear" w:color="auto" w:fill="FDE9D9"/>
          </w:tcPr>
          <w:p w14:paraId="5CABF93D" w14:textId="77777777" w:rsidR="00CA7AFB" w:rsidRPr="008D70AD" w:rsidRDefault="00CA7AFB" w:rsidP="003A7D85">
            <w:pPr>
              <w:pStyle w:val="TableHeadingLeft"/>
              <w:keepNext/>
              <w:rPr>
                <w:b w:val="0"/>
              </w:rPr>
            </w:pPr>
            <w:r>
              <w:rPr>
                <w:b w:val="0"/>
              </w:rPr>
              <w:t xml:space="preserve">Priority environmental objectives </w:t>
            </w:r>
            <w:proofErr w:type="gramStart"/>
            <w:r>
              <w:rPr>
                <w:b w:val="0"/>
              </w:rPr>
              <w:t>are address</w:t>
            </w:r>
            <w:r w:rsidR="000E2B46">
              <w:rPr>
                <w:b w:val="0"/>
              </w:rPr>
              <w:t>ed</w:t>
            </w:r>
            <w:proofErr w:type="gramEnd"/>
            <w:r w:rsidR="000E2B46">
              <w:rPr>
                <w:b w:val="0"/>
              </w:rPr>
              <w:t xml:space="preserve"> with separate restrictions. </w:t>
            </w:r>
          </w:p>
        </w:tc>
      </w:tr>
      <w:tr w:rsidR="00CA7AFB" w:rsidRPr="00144F8C" w14:paraId="5566CDB9" w14:textId="77777777" w:rsidTr="000E2B46">
        <w:trPr>
          <w:cantSplit/>
          <w:trHeight w:val="318"/>
        </w:trPr>
        <w:tc>
          <w:tcPr>
            <w:tcW w:w="1590" w:type="pct"/>
            <w:tcBorders>
              <w:top w:val="nil"/>
              <w:left w:val="nil"/>
              <w:bottom w:val="nil"/>
              <w:right w:val="nil"/>
            </w:tcBorders>
            <w:shd w:val="clear" w:color="auto" w:fill="DAEEF3"/>
          </w:tcPr>
          <w:p w14:paraId="3B39E364" w14:textId="77777777" w:rsidR="00CA7AFB" w:rsidRPr="008D70AD" w:rsidRDefault="00CA7AFB" w:rsidP="003A7D85">
            <w:pPr>
              <w:pStyle w:val="TableTextLeft"/>
              <w:keepNext/>
            </w:pPr>
            <w:r>
              <w:t>4</w:t>
            </w:r>
            <w:r w:rsidRPr="008D70AD">
              <w:t xml:space="preserve"> </w:t>
            </w:r>
            <w:r>
              <w:t>Communi</w:t>
            </w:r>
            <w:r w:rsidR="000E2B46">
              <w:t xml:space="preserve">ty impact – gradual adjustment </w:t>
            </w:r>
          </w:p>
        </w:tc>
        <w:tc>
          <w:tcPr>
            <w:tcW w:w="982" w:type="pct"/>
            <w:tcBorders>
              <w:top w:val="nil"/>
              <w:left w:val="nil"/>
              <w:bottom w:val="nil"/>
              <w:right w:val="nil"/>
            </w:tcBorders>
            <w:shd w:val="clear" w:color="auto" w:fill="DAEEF3"/>
          </w:tcPr>
          <w:p w14:paraId="36D542D4" w14:textId="77777777" w:rsidR="00CA7AFB" w:rsidRPr="008D70AD" w:rsidRDefault="00CA7AFB" w:rsidP="003A7D85">
            <w:pPr>
              <w:pStyle w:val="TableTextLeft"/>
              <w:keepNext/>
              <w:jc w:val="center"/>
            </w:pPr>
            <w:r>
              <w:t>Not applicable unless there is change</w:t>
            </w:r>
          </w:p>
        </w:tc>
        <w:tc>
          <w:tcPr>
            <w:tcW w:w="2429" w:type="pct"/>
            <w:tcBorders>
              <w:top w:val="nil"/>
              <w:left w:val="nil"/>
              <w:bottom w:val="nil"/>
              <w:right w:val="nil"/>
            </w:tcBorders>
            <w:shd w:val="clear" w:color="auto" w:fill="DAEEF3"/>
          </w:tcPr>
          <w:p w14:paraId="2E718E24" w14:textId="77777777" w:rsidR="00CA7AFB" w:rsidRPr="008D70AD" w:rsidRDefault="00CA7AFB" w:rsidP="003A7D85">
            <w:pPr>
              <w:pStyle w:val="TableTextLeft"/>
              <w:keepNext/>
            </w:pPr>
            <w:r>
              <w:t xml:space="preserve">If the tariff structure </w:t>
            </w:r>
            <w:proofErr w:type="gramStart"/>
            <w:r>
              <w:t>were rebalanced</w:t>
            </w:r>
            <w:proofErr w:type="gramEnd"/>
            <w:r>
              <w:t xml:space="preserve"> to lower usage </w:t>
            </w:r>
            <w:r w:rsidR="007953D9">
              <w:t>charges,</w:t>
            </w:r>
            <w:r>
              <w:t xml:space="preserve"> there would be less benefit for investment</w:t>
            </w:r>
            <w:r w:rsidR="000E2B46">
              <w:t>s in water</w:t>
            </w:r>
            <w:r w:rsidR="0096286C">
              <w:t>-</w:t>
            </w:r>
            <w:r w:rsidR="000E2B46">
              <w:t>saving technologies.</w:t>
            </w:r>
          </w:p>
        </w:tc>
      </w:tr>
      <w:tr w:rsidR="00CA7AFB" w:rsidRPr="00144F8C" w14:paraId="5781EC21" w14:textId="77777777" w:rsidTr="000E2B46">
        <w:trPr>
          <w:cantSplit/>
          <w:trHeight w:val="318"/>
        </w:trPr>
        <w:tc>
          <w:tcPr>
            <w:tcW w:w="1590" w:type="pct"/>
            <w:tcBorders>
              <w:top w:val="nil"/>
              <w:left w:val="nil"/>
              <w:bottom w:val="nil"/>
              <w:right w:val="nil"/>
            </w:tcBorders>
            <w:shd w:val="clear" w:color="auto" w:fill="DAEEF3"/>
          </w:tcPr>
          <w:p w14:paraId="63EF1975" w14:textId="77777777" w:rsidR="00CA7AFB" w:rsidRPr="008D70AD" w:rsidRDefault="00CA7AFB" w:rsidP="003A7D85">
            <w:pPr>
              <w:pStyle w:val="TableTextLeft"/>
              <w:keepNext/>
            </w:pPr>
            <w:r>
              <w:t>5</w:t>
            </w:r>
            <w:r w:rsidRPr="008D70AD">
              <w:t xml:space="preserve"> </w:t>
            </w:r>
            <w:r>
              <w:t>Community impact – fair out</w:t>
            </w:r>
            <w:r w:rsidR="000E2B46">
              <w:t>comes for low income households</w:t>
            </w:r>
          </w:p>
        </w:tc>
        <w:tc>
          <w:tcPr>
            <w:tcW w:w="982" w:type="pct"/>
            <w:tcBorders>
              <w:top w:val="nil"/>
              <w:left w:val="nil"/>
              <w:bottom w:val="nil"/>
              <w:right w:val="nil"/>
            </w:tcBorders>
            <w:shd w:val="clear" w:color="auto" w:fill="DAEEF3"/>
          </w:tcPr>
          <w:p w14:paraId="66B082E1" w14:textId="77777777" w:rsidR="00CA7AFB" w:rsidRPr="008D70AD" w:rsidRDefault="00CA7AFB" w:rsidP="003A7D85">
            <w:pPr>
              <w:pStyle w:val="TableTextLeft"/>
              <w:keepNext/>
              <w:jc w:val="center"/>
            </w:pPr>
            <w:r>
              <w:rPr>
                <w:b/>
              </w:rPr>
              <w:sym w:font="Wingdings" w:char="F0FB"/>
            </w:r>
          </w:p>
        </w:tc>
        <w:tc>
          <w:tcPr>
            <w:tcW w:w="2429" w:type="pct"/>
            <w:tcBorders>
              <w:top w:val="nil"/>
              <w:left w:val="nil"/>
              <w:bottom w:val="nil"/>
              <w:right w:val="nil"/>
            </w:tcBorders>
            <w:shd w:val="clear" w:color="auto" w:fill="DAEEF3"/>
          </w:tcPr>
          <w:p w14:paraId="1C99E8BA" w14:textId="77777777" w:rsidR="00CA7AFB" w:rsidRPr="008D70AD" w:rsidRDefault="0096286C" w:rsidP="003A7D85">
            <w:pPr>
              <w:pStyle w:val="TableTextLeft"/>
              <w:keepNext/>
            </w:pPr>
            <w:r>
              <w:t>The t</w:t>
            </w:r>
            <w:r w:rsidR="00CA7AFB">
              <w:t xml:space="preserve">ariff structure </w:t>
            </w:r>
            <w:proofErr w:type="gramStart"/>
            <w:r w:rsidR="00CA7AFB">
              <w:t xml:space="preserve">is not well </w:t>
            </w:r>
            <w:r w:rsidR="00CA7AFB" w:rsidRPr="00A57D92">
              <w:t>targeted</w:t>
            </w:r>
            <w:proofErr w:type="gramEnd"/>
            <w:r w:rsidR="00CA7AFB" w:rsidRPr="00A57D92">
              <w:t xml:space="preserve"> </w:t>
            </w:r>
            <w:r w:rsidR="009E7A13" w:rsidRPr="00A57D92">
              <w:t>on</w:t>
            </w:r>
            <w:r w:rsidR="00CA7AFB">
              <w:t xml:space="preserve"> low</w:t>
            </w:r>
            <w:r>
              <w:t>-</w:t>
            </w:r>
            <w:r w:rsidR="00CA7AFB">
              <w:t>income households.</w:t>
            </w:r>
          </w:p>
        </w:tc>
      </w:tr>
      <w:tr w:rsidR="00CA7AFB" w:rsidRPr="00144F8C" w14:paraId="3F39C7A0" w14:textId="77777777" w:rsidTr="000E2B46">
        <w:trPr>
          <w:cantSplit/>
          <w:trHeight w:val="200"/>
        </w:trPr>
        <w:tc>
          <w:tcPr>
            <w:tcW w:w="1590" w:type="pct"/>
            <w:tcBorders>
              <w:top w:val="nil"/>
              <w:left w:val="nil"/>
              <w:bottom w:val="nil"/>
              <w:right w:val="nil"/>
            </w:tcBorders>
            <w:shd w:val="clear" w:color="auto" w:fill="D6E3BC"/>
          </w:tcPr>
          <w:p w14:paraId="2E4C8F8C" w14:textId="77777777" w:rsidR="00CA7AFB" w:rsidRPr="008D70AD" w:rsidRDefault="00CA7AFB" w:rsidP="00BB23BF">
            <w:pPr>
              <w:pStyle w:val="TableTextLeft"/>
              <w:keepNext/>
            </w:pPr>
            <w:r>
              <w:t xml:space="preserve">6 </w:t>
            </w:r>
            <w:r w:rsidR="00BB23BF">
              <w:t>Regulatory governance –s</w:t>
            </w:r>
            <w:r w:rsidRPr="008D70AD">
              <w:t>implicity</w:t>
            </w:r>
          </w:p>
        </w:tc>
        <w:tc>
          <w:tcPr>
            <w:tcW w:w="982" w:type="pct"/>
            <w:tcBorders>
              <w:top w:val="nil"/>
              <w:left w:val="nil"/>
              <w:bottom w:val="nil"/>
              <w:right w:val="nil"/>
            </w:tcBorders>
            <w:shd w:val="clear" w:color="auto" w:fill="D6E3BC"/>
          </w:tcPr>
          <w:p w14:paraId="4A2BB45E" w14:textId="77777777" w:rsidR="00CA7AFB" w:rsidRPr="008D70AD" w:rsidRDefault="00CA7AFB" w:rsidP="003A7D85">
            <w:pPr>
              <w:pStyle w:val="TableTextLeft"/>
              <w:keepNext/>
              <w:jc w:val="center"/>
            </w:pPr>
            <w:r>
              <w:rPr>
                <w:b/>
              </w:rPr>
              <w:sym w:font="Wingdings" w:char="F0FC"/>
            </w:r>
          </w:p>
        </w:tc>
        <w:tc>
          <w:tcPr>
            <w:tcW w:w="2429" w:type="pct"/>
            <w:tcBorders>
              <w:top w:val="nil"/>
              <w:left w:val="nil"/>
              <w:bottom w:val="nil"/>
              <w:right w:val="nil"/>
            </w:tcBorders>
            <w:shd w:val="clear" w:color="auto" w:fill="D6E3BC"/>
          </w:tcPr>
          <w:p w14:paraId="09B35112" w14:textId="77777777" w:rsidR="00CA7AFB" w:rsidRPr="008D70AD" w:rsidRDefault="0096286C" w:rsidP="003A7D85">
            <w:pPr>
              <w:pStyle w:val="TableTextLeft"/>
              <w:keepNext/>
            </w:pPr>
            <w:r>
              <w:t>The structure has been i</w:t>
            </w:r>
            <w:r w:rsidR="00CA7AFB">
              <w:t>n place for many years and understo</w:t>
            </w:r>
            <w:r w:rsidR="000E2B46">
              <w:t>od</w:t>
            </w:r>
            <w:r>
              <w:t>,</w:t>
            </w:r>
            <w:r w:rsidR="000E2B46">
              <w:t xml:space="preserve"> but </w:t>
            </w:r>
            <w:r>
              <w:t xml:space="preserve">it is </w:t>
            </w:r>
            <w:r w:rsidR="000E2B46">
              <w:t>not simple to implement.</w:t>
            </w:r>
          </w:p>
        </w:tc>
      </w:tr>
      <w:tr w:rsidR="00CA7AFB" w:rsidRPr="00144F8C" w14:paraId="557050E0" w14:textId="77777777" w:rsidTr="000E2B46">
        <w:trPr>
          <w:cantSplit/>
        </w:trPr>
        <w:tc>
          <w:tcPr>
            <w:tcW w:w="1590" w:type="pct"/>
            <w:tcBorders>
              <w:top w:val="nil"/>
              <w:left w:val="nil"/>
              <w:bottom w:val="single" w:sz="12" w:space="0" w:color="1F497D"/>
              <w:right w:val="nil"/>
            </w:tcBorders>
            <w:shd w:val="clear" w:color="auto" w:fill="D6E3BC"/>
          </w:tcPr>
          <w:p w14:paraId="26AC25C9" w14:textId="77777777" w:rsidR="00CA7AFB" w:rsidRPr="008D70AD" w:rsidRDefault="00CA7AFB" w:rsidP="00BB23BF">
            <w:pPr>
              <w:pStyle w:val="TableTextLeft"/>
              <w:keepNext/>
            </w:pPr>
            <w:r>
              <w:t xml:space="preserve">7 </w:t>
            </w:r>
            <w:r w:rsidR="00BB23BF">
              <w:t>Regulatory governance –t</w:t>
            </w:r>
            <w:r w:rsidRPr="008D70AD">
              <w:t>ransparency</w:t>
            </w:r>
          </w:p>
        </w:tc>
        <w:tc>
          <w:tcPr>
            <w:tcW w:w="982" w:type="pct"/>
            <w:tcBorders>
              <w:top w:val="nil"/>
              <w:left w:val="nil"/>
              <w:bottom w:val="single" w:sz="12" w:space="0" w:color="1F497D"/>
              <w:right w:val="nil"/>
            </w:tcBorders>
            <w:shd w:val="clear" w:color="auto" w:fill="D6E3BC"/>
          </w:tcPr>
          <w:p w14:paraId="35324FA2" w14:textId="77777777" w:rsidR="00CA7AFB" w:rsidRPr="008D70AD" w:rsidRDefault="00CA7AFB" w:rsidP="003A7D85">
            <w:pPr>
              <w:pStyle w:val="TableTextLeft"/>
              <w:keepNext/>
              <w:jc w:val="center"/>
            </w:pPr>
            <w:r>
              <w:rPr>
                <w:b/>
              </w:rPr>
              <w:sym w:font="Wingdings" w:char="F0FC"/>
            </w:r>
          </w:p>
        </w:tc>
        <w:tc>
          <w:tcPr>
            <w:tcW w:w="2429" w:type="pct"/>
            <w:tcBorders>
              <w:top w:val="nil"/>
              <w:left w:val="nil"/>
              <w:bottom w:val="single" w:sz="12" w:space="0" w:color="1F497D"/>
              <w:right w:val="nil"/>
            </w:tcBorders>
            <w:shd w:val="clear" w:color="auto" w:fill="D6E3BC"/>
          </w:tcPr>
          <w:p w14:paraId="6625DBDB" w14:textId="77777777" w:rsidR="00CA7AFB" w:rsidRPr="008D70AD" w:rsidRDefault="0096286C" w:rsidP="003A7D85">
            <w:pPr>
              <w:pStyle w:val="TableTextLeft"/>
              <w:keepNext/>
            </w:pPr>
            <w:r>
              <w:t>The structure was o</w:t>
            </w:r>
            <w:r w:rsidR="00CA7AFB">
              <w:t xml:space="preserve">riginally set through a </w:t>
            </w:r>
            <w:r w:rsidR="000E2B46">
              <w:t>transparent and public process.</w:t>
            </w:r>
          </w:p>
        </w:tc>
      </w:tr>
    </w:tbl>
    <w:p w14:paraId="50DB85EE" w14:textId="77777777" w:rsidR="00CA7AFB" w:rsidRDefault="00CA7AFB" w:rsidP="00CA7AFB">
      <w:bookmarkStart w:id="225" w:name="Chap4"/>
      <w:bookmarkStart w:id="226" w:name="_Ref457805442"/>
      <w:bookmarkEnd w:id="225"/>
    </w:p>
    <w:p w14:paraId="10ADCC29" w14:textId="77777777" w:rsidR="00CA7AFB" w:rsidRDefault="00CA7AFB" w:rsidP="00CA7AFB">
      <w:pPr>
        <w:pStyle w:val="Heading2a"/>
      </w:pPr>
      <w:bookmarkStart w:id="227" w:name="_Ref457809625"/>
      <w:bookmarkStart w:id="228" w:name="_Toc476753987"/>
      <w:bookmarkStart w:id="229" w:name="_Toc478465464"/>
      <w:bookmarkEnd w:id="226"/>
      <w:r>
        <w:t>4.12</w:t>
      </w:r>
      <w:r>
        <w:tab/>
        <w:t>Submissions and Commission</w:t>
      </w:r>
      <w:r w:rsidR="00DC674F">
        <w:t>’</w:t>
      </w:r>
      <w:r>
        <w:t>s consideration</w:t>
      </w:r>
      <w:bookmarkEnd w:id="227"/>
      <w:bookmarkEnd w:id="228"/>
      <w:bookmarkEnd w:id="229"/>
    </w:p>
    <w:p w14:paraId="767E0C6B" w14:textId="77777777" w:rsidR="00CA7AFB" w:rsidRDefault="00CA7AFB" w:rsidP="00CA7AFB">
      <w:r>
        <w:t>This section focuse</w:t>
      </w:r>
      <w:r w:rsidRPr="0033117C">
        <w:t>s on problems with the current water tariff structure</w:t>
      </w:r>
      <w:r w:rsidR="0096286C" w:rsidRPr="002438B3">
        <w:t xml:space="preserve"> </w:t>
      </w:r>
      <w:r w:rsidR="0096286C" w:rsidRPr="00BE1AE7">
        <w:t xml:space="preserve">that </w:t>
      </w:r>
      <w:proofErr w:type="gramStart"/>
      <w:r w:rsidR="0096286C" w:rsidRPr="00BE1AE7">
        <w:t xml:space="preserve">were </w:t>
      </w:r>
      <w:r w:rsidR="0096286C" w:rsidRPr="00F466DB">
        <w:t>identified</w:t>
      </w:r>
      <w:proofErr w:type="gramEnd"/>
      <w:r w:rsidR="0096286C" w:rsidRPr="00F466DB">
        <w:t xml:space="preserve"> in submissions</w:t>
      </w:r>
      <w:r w:rsidR="00BF784B" w:rsidRPr="00F466DB">
        <w:t xml:space="preserve"> and the Commission’s consideration of those problems</w:t>
      </w:r>
      <w:r w:rsidRPr="00F466DB">
        <w:t>.</w:t>
      </w:r>
      <w:r w:rsidR="008013DA">
        <w:t xml:space="preserve"> </w:t>
      </w:r>
      <w:r>
        <w:t xml:space="preserve">Chapter 5 discusses directions for change, including concerns </w:t>
      </w:r>
      <w:r w:rsidR="0096286C">
        <w:t xml:space="preserve">raised in submissions that </w:t>
      </w:r>
      <w:r>
        <w:t xml:space="preserve">focused on specific aspects of the changes. </w:t>
      </w:r>
    </w:p>
    <w:p w14:paraId="5CAF68AB" w14:textId="77777777" w:rsidR="00CA7AFB" w:rsidRPr="00995F36" w:rsidRDefault="00CA7AFB" w:rsidP="00CA7AFB">
      <w:pPr>
        <w:pStyle w:val="Heading3"/>
        <w:numPr>
          <w:ilvl w:val="0"/>
          <w:numId w:val="0"/>
        </w:numPr>
      </w:pPr>
      <w:r>
        <w:t>4.12.1</w:t>
      </w:r>
      <w:r>
        <w:tab/>
        <w:t>S</w:t>
      </w:r>
      <w:r w:rsidRPr="00995F36">
        <w:t>ubmissions</w:t>
      </w:r>
    </w:p>
    <w:p w14:paraId="504F5571" w14:textId="77777777" w:rsidR="00CA7AFB" w:rsidRDefault="00CA7AFB" w:rsidP="00CA7AFB">
      <w:r>
        <w:t xml:space="preserve">Submissions that supported retention of the existing water tariff structure noted the following key concerns related to the rebalancing of fixed and variable charges presented in the </w:t>
      </w:r>
      <w:r w:rsidR="0096286C">
        <w:t>d</w:t>
      </w:r>
      <w:r>
        <w:t xml:space="preserve">raft </w:t>
      </w:r>
      <w:r w:rsidR="0096286C">
        <w:t>r</w:t>
      </w:r>
      <w:r>
        <w:t>eport:</w:t>
      </w:r>
    </w:p>
    <w:p w14:paraId="0E8DAA6B" w14:textId="77777777" w:rsidR="00CA7AFB" w:rsidRDefault="00CA7AFB" w:rsidP="00CA7AFB">
      <w:pPr>
        <w:pStyle w:val="ColorfulList-Accent110"/>
        <w:numPr>
          <w:ilvl w:val="0"/>
          <w:numId w:val="17"/>
        </w:numPr>
      </w:pPr>
      <w:r>
        <w:t xml:space="preserve">Price signals that would be inconsistent with water conservation and other environmental objectives if lower usage charges </w:t>
      </w:r>
      <w:proofErr w:type="gramStart"/>
      <w:r>
        <w:t>were introduced</w:t>
      </w:r>
      <w:proofErr w:type="gramEnd"/>
      <w:r>
        <w:t>.</w:t>
      </w:r>
    </w:p>
    <w:p w14:paraId="6BCF8098" w14:textId="77777777" w:rsidR="00CA7AFB" w:rsidRDefault="00CA7AFB" w:rsidP="00CA7AFB">
      <w:pPr>
        <w:pStyle w:val="ColorfulList-Accent110"/>
        <w:numPr>
          <w:ilvl w:val="0"/>
          <w:numId w:val="17"/>
        </w:numPr>
      </w:pPr>
      <w:r>
        <w:t>Adverse impacts on low</w:t>
      </w:r>
      <w:r w:rsidR="0096286C">
        <w:t>-</w:t>
      </w:r>
      <w:r>
        <w:t xml:space="preserve">income households if fixed charges increased and Tier </w:t>
      </w:r>
      <w:r w:rsidRPr="0033117C">
        <w:t>1 ch</w:t>
      </w:r>
      <w:r>
        <w:t xml:space="preserve">arges decreased. </w:t>
      </w:r>
    </w:p>
    <w:p w14:paraId="12852A21" w14:textId="77777777" w:rsidR="00CA7AFB" w:rsidRDefault="00CA7AFB" w:rsidP="00CA7AFB">
      <w:pPr>
        <w:pStyle w:val="ColorfulList-Accent110"/>
        <w:numPr>
          <w:ilvl w:val="0"/>
          <w:numId w:val="17"/>
        </w:numPr>
      </w:pPr>
      <w:r>
        <w:lastRenderedPageBreak/>
        <w:t>Lack of fairness for those who invested in water</w:t>
      </w:r>
      <w:r w:rsidR="0096286C">
        <w:t>-</w:t>
      </w:r>
      <w:r>
        <w:t xml:space="preserve">saving initiatives if lower usage charges </w:t>
      </w:r>
      <w:proofErr w:type="gramStart"/>
      <w:r>
        <w:t>were introduced</w:t>
      </w:r>
      <w:proofErr w:type="gramEnd"/>
      <w:r>
        <w:t xml:space="preserve">. </w:t>
      </w:r>
    </w:p>
    <w:p w14:paraId="19ADDE7A" w14:textId="77777777" w:rsidR="00CA7AFB" w:rsidRDefault="00CA7AFB" w:rsidP="00CA7AFB">
      <w:r>
        <w:t>Submissions that support</w:t>
      </w:r>
      <w:r w:rsidR="0096286C">
        <w:t>ed</w:t>
      </w:r>
      <w:r>
        <w:t xml:space="preserve"> a change in the water tariff structure that would mean higher fixed cha</w:t>
      </w:r>
      <w:r w:rsidR="0096286C">
        <w:t>r</w:t>
      </w:r>
      <w:r>
        <w:t>ges and lower usage charges noted the following problems with the current water tariff structure:</w:t>
      </w:r>
    </w:p>
    <w:p w14:paraId="3E3CA16C" w14:textId="77777777" w:rsidR="00CA7AFB" w:rsidRDefault="00CA7AFB" w:rsidP="00CA7AFB">
      <w:pPr>
        <w:pStyle w:val="ColorfulList-Accent110"/>
        <w:numPr>
          <w:ilvl w:val="0"/>
          <w:numId w:val="18"/>
        </w:numPr>
      </w:pPr>
      <w:r>
        <w:t>Price signals that do not reflect efficient costs and do not provide an efficient signal for the use of the water resource itself.</w:t>
      </w:r>
    </w:p>
    <w:p w14:paraId="3709816E" w14:textId="77777777" w:rsidR="00CA7AFB" w:rsidRDefault="00CA7AFB" w:rsidP="00CA7AFB">
      <w:pPr>
        <w:pStyle w:val="ColorfulList-Accent110"/>
        <w:numPr>
          <w:ilvl w:val="0"/>
          <w:numId w:val="18"/>
        </w:numPr>
      </w:pPr>
      <w:r>
        <w:t>The high usage charge and the incentives it provides for uneconomic bypass for large users.</w:t>
      </w:r>
    </w:p>
    <w:p w14:paraId="02B72099" w14:textId="77777777" w:rsidR="00CA7AFB" w:rsidRDefault="00CA7AFB" w:rsidP="00CA7AFB">
      <w:pPr>
        <w:pStyle w:val="ColorfulList-Accent110"/>
        <w:numPr>
          <w:ilvl w:val="0"/>
          <w:numId w:val="18"/>
        </w:numPr>
      </w:pPr>
      <w:r>
        <w:t xml:space="preserve">Inequities for larger households </w:t>
      </w:r>
      <w:r w:rsidR="0096286C">
        <w:t xml:space="preserve">that </w:t>
      </w:r>
      <w:r>
        <w:t>are faced with high second</w:t>
      </w:r>
      <w:r w:rsidR="0096286C">
        <w:t>-</w:t>
      </w:r>
      <w:r>
        <w:t>tier usage prices.</w:t>
      </w:r>
    </w:p>
    <w:p w14:paraId="466A3392" w14:textId="77777777" w:rsidR="00CA7AFB" w:rsidRDefault="00CA7AFB" w:rsidP="00CA7AFB">
      <w:proofErr w:type="gramStart"/>
      <w:r>
        <w:t>Mo</w:t>
      </w:r>
      <w:r w:rsidRPr="0033117C">
        <w:t>re specific concerns</w:t>
      </w:r>
      <w:proofErr w:type="gramEnd"/>
      <w:r w:rsidRPr="0033117C">
        <w:t xml:space="preserve"> are n</w:t>
      </w:r>
      <w:r>
        <w:t xml:space="preserve">oted in the discussion </w:t>
      </w:r>
      <w:r w:rsidR="0033117C">
        <w:t>in the next section</w:t>
      </w:r>
      <w:r>
        <w:t>.</w:t>
      </w:r>
    </w:p>
    <w:p w14:paraId="73494566" w14:textId="77777777" w:rsidR="00CA7AFB" w:rsidRDefault="00CA7AFB" w:rsidP="00CA7AFB">
      <w:pPr>
        <w:pStyle w:val="Heading3"/>
        <w:numPr>
          <w:ilvl w:val="0"/>
          <w:numId w:val="0"/>
        </w:numPr>
      </w:pPr>
      <w:bookmarkStart w:id="230" w:name="_Ref457392599"/>
      <w:r>
        <w:t>4.12.2</w:t>
      </w:r>
      <w:r>
        <w:tab/>
        <w:t>Commission</w:t>
      </w:r>
      <w:r w:rsidR="00DC674F">
        <w:t>’</w:t>
      </w:r>
      <w:r>
        <w:t>s consideration</w:t>
      </w:r>
      <w:bookmarkEnd w:id="230"/>
    </w:p>
    <w:p w14:paraId="5CF85755" w14:textId="77777777" w:rsidR="00CA7AFB" w:rsidRDefault="00CA7AFB" w:rsidP="00CA7AFB">
      <w:pPr>
        <w:pStyle w:val="Heading4"/>
      </w:pPr>
      <w:r w:rsidRPr="0004725A">
        <w:t>Environmental issues</w:t>
      </w:r>
    </w:p>
    <w:p w14:paraId="3E3B4CB1" w14:textId="77777777" w:rsidR="00CA7AFB" w:rsidRDefault="00CA7AFB" w:rsidP="00CA7AFB">
      <w:r>
        <w:t>The Commission recognises that some members of the ACT community strongly support water conservation and the role played by the current inclining block tariff in reducing discretionary water use.</w:t>
      </w:r>
      <w:r w:rsidR="008013DA">
        <w:t xml:space="preserve"> </w:t>
      </w:r>
      <w:r>
        <w:t xml:space="preserve">This is particularly the case </w:t>
      </w:r>
      <w:proofErr w:type="gramStart"/>
      <w:r>
        <w:t>with the second</w:t>
      </w:r>
      <w:r w:rsidR="00BF784B">
        <w:t>-t</w:t>
      </w:r>
      <w:r>
        <w:t>ier charge for usage in excess of 200 kL per year</w:t>
      </w:r>
      <w:proofErr w:type="gramEnd"/>
      <w:r>
        <w:t>.</w:t>
      </w:r>
    </w:p>
    <w:p w14:paraId="03FA02F6" w14:textId="77777777" w:rsidR="00CA7AFB" w:rsidRDefault="00CA7AFB" w:rsidP="00CA7AFB">
      <w:r>
        <w:t>In its customer survey on tariff structure changes, in response to the question about removing the 200 kL step, Icon Water found that m</w:t>
      </w:r>
      <w:r w:rsidRPr="00FC27A0">
        <w:t xml:space="preserve">ore than half of </w:t>
      </w:r>
      <w:r>
        <w:t>customers</w:t>
      </w:r>
      <w:r w:rsidR="00BF784B">
        <w:t xml:space="preserve"> who</w:t>
      </w:r>
      <w:r w:rsidRPr="00FC27A0">
        <w:t xml:space="preserve"> provided reasons in support of retaining the step </w:t>
      </w:r>
      <w:r w:rsidR="00BF784B">
        <w:t>cited</w:t>
      </w:r>
      <w:r w:rsidRPr="00FC27A0">
        <w:t xml:space="preserve"> water conservation.</w:t>
      </w:r>
      <w:r>
        <w:rPr>
          <w:rStyle w:val="FootnoteReference"/>
        </w:rPr>
        <w:footnoteReference w:id="29"/>
      </w:r>
      <w:r w:rsidR="008013DA">
        <w:t xml:space="preserve"> </w:t>
      </w:r>
      <w:r>
        <w:t xml:space="preserve">In addition, Icon Water reported that </w:t>
      </w:r>
      <w:proofErr w:type="gramStart"/>
      <w:r>
        <w:t xml:space="preserve">a tariff option with a single usage charge set at $2.60 </w:t>
      </w:r>
      <w:r w:rsidR="00BF784B">
        <w:t xml:space="preserve">per kL </w:t>
      </w:r>
      <w:r>
        <w:t>(the current Tier 1 charge is $2.61) was considered unsuitable by more than half of the respondents</w:t>
      </w:r>
      <w:proofErr w:type="gramEnd"/>
      <w:r>
        <w:t>.</w:t>
      </w:r>
    </w:p>
    <w:p w14:paraId="295056FC" w14:textId="77777777" w:rsidR="00CA7AFB" w:rsidRDefault="00CA7AFB" w:rsidP="00CA7AFB">
      <w:r>
        <w:t>Howeve</w:t>
      </w:r>
      <w:r w:rsidRPr="0004725A">
        <w:t>r, as noted, tigh</w:t>
      </w:r>
      <w:r>
        <w:t xml:space="preserve">ter temporary water restrictions appear unlikely to be required </w:t>
      </w:r>
      <w:proofErr w:type="gramStart"/>
      <w:r>
        <w:t>to further restrict</w:t>
      </w:r>
      <w:proofErr w:type="gramEnd"/>
      <w:r>
        <w:t xml:space="preserve"> demand in the next regulatory period and possibly for some time after </w:t>
      </w:r>
      <w:r w:rsidR="0004725A">
        <w:t>that</w:t>
      </w:r>
      <w:r>
        <w:t>.</w:t>
      </w:r>
      <w:r w:rsidR="008013DA">
        <w:t xml:space="preserve"> </w:t>
      </w:r>
      <w:r>
        <w:t>This reflects the substantial</w:t>
      </w:r>
      <w:r w:rsidR="008013DA">
        <w:t xml:space="preserve"> </w:t>
      </w:r>
      <w:r>
        <w:t>recent investments in water security, the current levels of water in Icon Water</w:t>
      </w:r>
      <w:r w:rsidR="00DC674F">
        <w:t>’</w:t>
      </w:r>
      <w:r>
        <w:t xml:space="preserve">s expanded storages, and the relatively low levels of per capita and aggregate demand </w:t>
      </w:r>
      <w:r w:rsidR="0004725A">
        <w:t xml:space="preserve">after </w:t>
      </w:r>
      <w:r>
        <w:t>the Millennium Drought.</w:t>
      </w:r>
      <w:r w:rsidR="008013DA">
        <w:t xml:space="preserve"> </w:t>
      </w:r>
      <w:r>
        <w:t>This suggests there is some scope to lower or at least cap increases in the Tier</w:t>
      </w:r>
      <w:r w:rsidR="00BF784B">
        <w:t> </w:t>
      </w:r>
      <w:r>
        <w:t>2 charge.</w:t>
      </w:r>
      <w:r w:rsidR="008013DA">
        <w:t xml:space="preserve"> </w:t>
      </w:r>
    </w:p>
    <w:p w14:paraId="0A25BD32" w14:textId="172958C7" w:rsidR="00CA7AFB" w:rsidRDefault="00CA7AFB" w:rsidP="00CA7AFB">
      <w:r>
        <w:t xml:space="preserve">The combined dam storage level in early March 2017 was 90.5 per cent, as shown in </w:t>
      </w:r>
      <w:r w:rsidR="00E62F0C">
        <w:fldChar w:fldCharType="begin"/>
      </w:r>
      <w:r>
        <w:instrText xml:space="preserve"> REF _Ref474142535 \h </w:instrText>
      </w:r>
      <w:r w:rsidR="00E62F0C">
        <w:fldChar w:fldCharType="separate"/>
      </w:r>
      <w:r w:rsidR="00766A7B">
        <w:t xml:space="preserve">Figure </w:t>
      </w:r>
      <w:r w:rsidR="00766A7B">
        <w:rPr>
          <w:noProof/>
        </w:rPr>
        <w:t>1</w:t>
      </w:r>
      <w:r w:rsidR="00766A7B">
        <w:t>.</w:t>
      </w:r>
      <w:r w:rsidR="00766A7B">
        <w:rPr>
          <w:noProof/>
        </w:rPr>
        <w:t>3</w:t>
      </w:r>
      <w:r w:rsidR="00E62F0C">
        <w:fldChar w:fldCharType="end"/>
      </w:r>
      <w:r>
        <w:t>.</w:t>
      </w:r>
      <w:r>
        <w:rPr>
          <w:rStyle w:val="FootnoteReference"/>
        </w:rPr>
        <w:footnoteReference w:id="30"/>
      </w:r>
      <w:r w:rsidR="008013DA">
        <w:t xml:space="preserve"> </w:t>
      </w:r>
      <w:r>
        <w:t xml:space="preserve">On the demand side, as noted in Chapter 1, there has been little evidence </w:t>
      </w:r>
      <w:r>
        <w:lastRenderedPageBreak/>
        <w:t>of a bounce</w:t>
      </w:r>
      <w:r w:rsidR="00BF784B">
        <w:t>-</w:t>
      </w:r>
      <w:r>
        <w:t>back in per capita or aggregate water consumption levels since the lifting of temporary water restrictions in 2010.</w:t>
      </w:r>
    </w:p>
    <w:p w14:paraId="64D7CAC1" w14:textId="77777777" w:rsidR="00CA7AFB" w:rsidRDefault="00CA7AFB" w:rsidP="00CA7AFB">
      <w:r>
        <w:t xml:space="preserve">This is corroborated by the results of the water demand and supply modelling undertaken for the </w:t>
      </w:r>
      <w:r w:rsidR="00041C58">
        <w:t>t</w:t>
      </w:r>
      <w:r>
        <w:t xml:space="preserve">echnical </w:t>
      </w:r>
      <w:r w:rsidR="00041C58">
        <w:t>p</w:t>
      </w:r>
      <w:r>
        <w:t>aper on water demand forecasting, using Icon Water</w:t>
      </w:r>
      <w:r w:rsidR="00DC674F">
        <w:t>’</w:t>
      </w:r>
      <w:r>
        <w:t>s supply and demand model.</w:t>
      </w:r>
      <w:r w:rsidR="008013DA">
        <w:t xml:space="preserve"> </w:t>
      </w:r>
      <w:r>
        <w:t xml:space="preserve">This model </w:t>
      </w:r>
      <w:proofErr w:type="gramStart"/>
      <w:r>
        <w:t>is used</w:t>
      </w:r>
      <w:proofErr w:type="gramEnd"/>
      <w:r>
        <w:t xml:space="preserve"> to calculate the probability of temporary restrictions each year from the present day until 2062.</w:t>
      </w:r>
      <w:r>
        <w:rPr>
          <w:rStyle w:val="FootnoteReference"/>
        </w:rPr>
        <w:footnoteReference w:id="31"/>
      </w:r>
    </w:p>
    <w:p w14:paraId="458A32AB" w14:textId="77777777" w:rsidR="00CA7AFB" w:rsidRDefault="00CA7AFB" w:rsidP="00CA7AFB">
      <w:r>
        <w:t>On the supply side, the model uses current dam levels and projected dam inflows, adjusted for the expected impact of climate change on rainfall and evaporation.</w:t>
      </w:r>
      <w:r w:rsidR="008013DA">
        <w:t xml:space="preserve"> </w:t>
      </w:r>
      <w:r>
        <w:t>On the demand side</w:t>
      </w:r>
      <w:r w:rsidRPr="002438B3">
        <w:t>, growth in water dem</w:t>
      </w:r>
      <w:r>
        <w:t xml:space="preserve">and under various population growth and per capita demand assumptions </w:t>
      </w:r>
      <w:proofErr w:type="gramStart"/>
      <w:r>
        <w:t>is modelled</w:t>
      </w:r>
      <w:proofErr w:type="gramEnd"/>
      <w:r>
        <w:t xml:space="preserve">. </w:t>
      </w:r>
    </w:p>
    <w:p w14:paraId="61C69AD1" w14:textId="26A67806" w:rsidR="00CA7AFB" w:rsidRDefault="00CA7AFB" w:rsidP="00CA7AFB">
      <w:r>
        <w:t xml:space="preserve">Using this model, the timing of the next water supply augmentation (or demand reduction intervention) </w:t>
      </w:r>
      <w:proofErr w:type="gramStart"/>
      <w:r>
        <w:t>can be gauged</w:t>
      </w:r>
      <w:proofErr w:type="gramEnd"/>
      <w:r>
        <w:t xml:space="preserve"> from the point at which the probability of being in temporary water restrictions rises above the five per cent ACT Government water security target</w:t>
      </w:r>
      <w:r w:rsidR="00585378">
        <w:t>.</w:t>
      </w:r>
    </w:p>
    <w:p w14:paraId="1B2E35D2" w14:textId="77777777" w:rsidR="00CA7AFB" w:rsidRDefault="00CA7AFB" w:rsidP="00CA7AFB">
      <w:r>
        <w:t>Under the minor demand growth scenario, augmentation of the ACT</w:t>
      </w:r>
      <w:r w:rsidR="00DC674F">
        <w:t>’</w:t>
      </w:r>
      <w:r>
        <w:t xml:space="preserve">s water supply is not likely to </w:t>
      </w:r>
      <w:proofErr w:type="gramStart"/>
      <w:r>
        <w:t>be needed</w:t>
      </w:r>
      <w:proofErr w:type="gramEnd"/>
      <w:r>
        <w:t xml:space="preserve"> for another 40 years.</w:t>
      </w:r>
      <w:r>
        <w:rPr>
          <w:rStyle w:val="FootnoteReference"/>
        </w:rPr>
        <w:footnoteReference w:id="32"/>
      </w:r>
      <w:r w:rsidR="008013DA">
        <w:t xml:space="preserve"> </w:t>
      </w:r>
      <w:r>
        <w:t>Under the medium demand growth scenario, augmentation is only required in about 30 years.</w:t>
      </w:r>
      <w:r w:rsidR="008013DA">
        <w:t xml:space="preserve"> </w:t>
      </w:r>
      <w:r>
        <w:t xml:space="preserve">Under the high demand growth scenario, which </w:t>
      </w:r>
      <w:proofErr w:type="gramStart"/>
      <w:r>
        <w:t>can be considered</w:t>
      </w:r>
      <w:proofErr w:type="gramEnd"/>
      <w:r>
        <w:t xml:space="preserve"> an upper bound, augmentation is required in about 20 years.</w:t>
      </w:r>
      <w:r>
        <w:rPr>
          <w:rStyle w:val="FootnoteReference"/>
        </w:rPr>
        <w:footnoteReference w:id="33"/>
      </w:r>
    </w:p>
    <w:p w14:paraId="56D3705C" w14:textId="77777777" w:rsidR="00CA7AFB" w:rsidRDefault="00CA7AFB" w:rsidP="00CA7AFB">
      <w:r>
        <w:t xml:space="preserve">The minor demand growth scenario </w:t>
      </w:r>
      <w:proofErr w:type="gramStart"/>
      <w:r>
        <w:t>is used</w:t>
      </w:r>
      <w:proofErr w:type="gramEnd"/>
      <w:r>
        <w:t xml:space="preserve"> as the optimal investment scenario for marginal cost calculation purpose</w:t>
      </w:r>
      <w:r w:rsidR="0004725A">
        <w:t>s</w:t>
      </w:r>
      <w:r>
        <w:t xml:space="preserve"> as </w:t>
      </w:r>
      <w:r w:rsidR="0004725A">
        <w:t>there has not been</w:t>
      </w:r>
      <w:r>
        <w:t xml:space="preserve"> even minor aggregate demand growth in recent years.</w:t>
      </w:r>
    </w:p>
    <w:p w14:paraId="2C5B586D" w14:textId="77777777" w:rsidR="00CA7AFB" w:rsidRDefault="00CA7AFB" w:rsidP="00CA7AFB">
      <w:r>
        <w:t>The Commission</w:t>
      </w:r>
      <w:r w:rsidR="00DC674F">
        <w:t>’</w:t>
      </w:r>
      <w:r>
        <w:t xml:space="preserve">s view is that the scarcity value of water in ACT dams should be recognised but is better addressed by adjusting the marginal cost upwards (and therefore the usage price) when water is scarce, rather than relying on an inclining block arrangement </w:t>
      </w:r>
      <w:r w:rsidR="00BE1AE7">
        <w:t xml:space="preserve">that </w:t>
      </w:r>
      <w:r>
        <w:t>assigns a high price irrespective of dam levels.</w:t>
      </w:r>
    </w:p>
    <w:p w14:paraId="475C21F7" w14:textId="77777777" w:rsidR="00CA7AFB" w:rsidRDefault="00CA7AFB" w:rsidP="00CA7AFB">
      <w:r>
        <w:t xml:space="preserve">A key point here is that, in the long term, the value of an additional kilolitre of water left in ACT dams derives </w:t>
      </w:r>
      <w:r w:rsidR="00146045">
        <w:t xml:space="preserve">primarily </w:t>
      </w:r>
      <w:r>
        <w:t>from its contribution to postponing further augmentation of the water supply system.</w:t>
      </w:r>
      <w:r w:rsidR="008013DA">
        <w:t xml:space="preserve"> </w:t>
      </w:r>
      <w:r>
        <w:t xml:space="preserve">However, in times of drought when the </w:t>
      </w:r>
      <w:r>
        <w:lastRenderedPageBreak/>
        <w:t>scarcity of water increases substantially, the value of can water exceed the value of postponing further augmentation (since the augmentation would not necessarily take account of the degree of scarcity in some drought conditions)</w:t>
      </w:r>
      <w:proofErr w:type="gramStart"/>
      <w:r>
        <w:t>.</w:t>
      </w:r>
      <w:proofErr w:type="gramEnd"/>
      <w:r w:rsidR="008013DA">
        <w:t xml:space="preserve"> </w:t>
      </w:r>
      <w:proofErr w:type="gramStart"/>
      <w:r>
        <w:t>So</w:t>
      </w:r>
      <w:proofErr w:type="gramEnd"/>
      <w:r>
        <w:t xml:space="preserve"> in times of drought the value of postponing augmentation is dominated by the scarcity value of water</w:t>
      </w:r>
      <w:r w:rsidR="00BE1AE7">
        <w:t>,</w:t>
      </w:r>
      <w:r>
        <w:t xml:space="preserve"> and from an economic efficiency perspective the marginal usage price should increase to reflect the drought conditions.</w:t>
      </w:r>
      <w:r w:rsidR="008013DA">
        <w:t xml:space="preserve"> </w:t>
      </w:r>
      <w:r>
        <w:t>In contrast</w:t>
      </w:r>
      <w:r w:rsidR="00146045">
        <w:t>,</w:t>
      </w:r>
      <w:r>
        <w:t xml:space="preserve"> in times when there are substantial inflows of water relative to demand, the saving from postponing augmentation is low in present value terms because the availability of water itself pushes out the augmentation date, and the marginal usage price should be reduced to reflect the ample availability of water. </w:t>
      </w:r>
    </w:p>
    <w:p w14:paraId="348FEECD" w14:textId="77777777" w:rsidR="00CA7AFB" w:rsidRDefault="00CA7AFB" w:rsidP="00CA7AFB">
      <w:r>
        <w:t xml:space="preserve">In any case, given </w:t>
      </w:r>
      <w:r w:rsidR="00146045">
        <w:t xml:space="preserve">the </w:t>
      </w:r>
      <w:r>
        <w:t>current and most likely long</w:t>
      </w:r>
      <w:r w:rsidR="00146045">
        <w:t>-</w:t>
      </w:r>
      <w:r>
        <w:t xml:space="preserve">term prospective conditions, from an environmental perspective there is limited local or downstream environmental benefit to </w:t>
      </w:r>
      <w:proofErr w:type="gramStart"/>
      <w:r>
        <w:t>be gained</w:t>
      </w:r>
      <w:proofErr w:type="gramEnd"/>
      <w:r>
        <w:t xml:space="preserve"> from leaving an extra kilolitre of water in ACT dams rather than consuming it, for two reasons.</w:t>
      </w:r>
    </w:p>
    <w:p w14:paraId="10C901CC" w14:textId="77777777" w:rsidR="00CA7AFB" w:rsidRDefault="00CA7AFB" w:rsidP="00CA7AFB">
      <w:r>
        <w:t xml:space="preserve">First, Icon Water is subject to strict requirements to ensure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Pr>
          <w:rStyle w:val="FootnoteReference"/>
        </w:rPr>
        <w:footnoteReference w:id="34"/>
      </w:r>
      <w:r w:rsidR="008013DA">
        <w:rPr>
          <w:iCs/>
          <w:lang w:val="en-AU"/>
        </w:rPr>
        <w:t xml:space="preserve"> </w:t>
      </w:r>
      <w:r>
        <w:t>Icon Water</w:t>
      </w:r>
      <w:r w:rsidR="00DC674F">
        <w:t>’</w:t>
      </w:r>
      <w:r>
        <w:t xml:space="preserve">s licence to take water requires it to ensure that environmental flows </w:t>
      </w:r>
      <w:proofErr w:type="gramStart"/>
      <w:r>
        <w:t>are met</w:t>
      </w:r>
      <w:proofErr w:type="gramEnd"/>
      <w:r>
        <w:t>.</w:t>
      </w:r>
      <w:r>
        <w:rPr>
          <w:rStyle w:val="FootnoteReference"/>
        </w:rPr>
        <w:footnoteReference w:id="35"/>
      </w:r>
    </w:p>
    <w:p w14:paraId="0A56A1FD" w14:textId="77777777" w:rsidR="00CA7AFB" w:rsidRDefault="00CA7AFB" w:rsidP="00CA7AFB">
      <w:r>
        <w:t xml:space="preserve">Second, the downstream environmental benefits </w:t>
      </w:r>
      <w:r w:rsidR="00FD5948">
        <w:t xml:space="preserve">in </w:t>
      </w:r>
      <w:r>
        <w:t>the ACT of any water (over and above environmental flows) that flow</w:t>
      </w:r>
      <w:r w:rsidR="00146045">
        <w:t>s</w:t>
      </w:r>
      <w:r>
        <w:t xml:space="preserve"> from ACT dams are limited because there are no key environmental assets in the ACT that require specific environmental watering.</w:t>
      </w:r>
      <w:r w:rsidR="008013DA">
        <w:t xml:space="preserve"> </w:t>
      </w:r>
      <w:r w:rsidR="007953D9">
        <w:t>Nevertheless,</w:t>
      </w:r>
      <w:r>
        <w:t xml:space="preserve"> there may be additional benefits that </w:t>
      </w:r>
      <w:proofErr w:type="gramStart"/>
      <w:r>
        <w:t>are captured</w:t>
      </w:r>
      <w:proofErr w:type="gramEnd"/>
      <w:r>
        <w:t xml:space="preserve"> further downstream in New South Wales, although these are not matters the Commission as the ACT regulator can take into account.</w:t>
      </w:r>
    </w:p>
    <w:p w14:paraId="38912733" w14:textId="77777777" w:rsidR="00CA7AFB" w:rsidRDefault="00CA7AFB" w:rsidP="00CA7AFB">
      <w:r>
        <w:t xml:space="preserve">From a broader perspective, it is also worth noting that, largely due to its urban nature, the </w:t>
      </w:r>
      <w:r w:rsidRPr="00A57D92">
        <w:t xml:space="preserve">ACT </w:t>
      </w:r>
      <w:r w:rsidR="009E7A13" w:rsidRPr="00A57D92">
        <w:t>only consumes</w:t>
      </w:r>
      <w:r w:rsidRPr="00A57D92">
        <w:t xml:space="preserve"> a</w:t>
      </w:r>
      <w:r>
        <w:t xml:space="preserve"> small proportion of the total amount of water that flows into its catchments.</w:t>
      </w:r>
      <w:r w:rsidR="008013DA">
        <w:t xml:space="preserve"> </w:t>
      </w:r>
      <w:r>
        <w:t xml:space="preserve">The long-term average water inflow up to 2003 </w:t>
      </w:r>
      <w:r w:rsidR="00146045">
        <w:t xml:space="preserve">was </w:t>
      </w:r>
      <w:r>
        <w:t>about 492 GL per year, with around 244 GL per year legislated for environmental flows.</w:t>
      </w:r>
      <w:r w:rsidR="008013DA">
        <w:t xml:space="preserve"> </w:t>
      </w:r>
      <w:r>
        <w:t>Of the balance of 248 GL per year, gross extractions for consumptive use have averaged about 50 GL per year in recent years</w:t>
      </w:r>
      <w:r w:rsidR="00146045">
        <w:t>,</w:t>
      </w:r>
      <w:r>
        <w:t xml:space="preserve"> with about 30 GL returned to the river system as treated effluent.</w:t>
      </w:r>
      <w:r w:rsidR="008013DA">
        <w:t xml:space="preserve"> </w:t>
      </w:r>
      <w:r>
        <w:t>The net use has been at or below 20 GL per year since 2007</w:t>
      </w:r>
      <w:r w:rsidR="00146045">
        <w:t>–</w:t>
      </w:r>
      <w:r>
        <w:t xml:space="preserve">08, </w:t>
      </w:r>
      <w:r w:rsidR="00146045">
        <w:t xml:space="preserve">which is </w:t>
      </w:r>
      <w:r>
        <w:t>four per cent of total inflows or eight per cent of the balance after environmental flows.</w:t>
      </w:r>
      <w:r w:rsidR="008013DA">
        <w:t xml:space="preserve"> </w:t>
      </w:r>
      <w:r>
        <w:t>This is also well below the ACT</w:t>
      </w:r>
      <w:r w:rsidR="00DC674F">
        <w:t>’</w:t>
      </w:r>
      <w:r>
        <w:t>s sustainable diversion limit under the Basin Plan of 40.5 GL per year taken from watercourses.</w:t>
      </w:r>
    </w:p>
    <w:p w14:paraId="3399A386" w14:textId="77777777" w:rsidR="00CA7AFB" w:rsidRDefault="00CA7AFB" w:rsidP="00CA7AFB">
      <w:r>
        <w:t xml:space="preserve">In his submission, Mr </w:t>
      </w:r>
      <w:r w:rsidR="00C32E8B">
        <w:t xml:space="preserve">Ross </w:t>
      </w:r>
      <w:r>
        <w:t>Knee contend</w:t>
      </w:r>
      <w:r w:rsidR="005D654E">
        <w:t>ed</w:t>
      </w:r>
      <w:r>
        <w:t xml:space="preserve"> that Icon Water </w:t>
      </w:r>
      <w:proofErr w:type="gramStart"/>
      <w:r>
        <w:t>would be restrained</w:t>
      </w:r>
      <w:proofErr w:type="gramEnd"/>
      <w:r>
        <w:t xml:space="preserve"> by section</w:t>
      </w:r>
      <w:r w:rsidR="005D654E">
        <w:t> </w:t>
      </w:r>
      <w:r>
        <w:t xml:space="preserve">7 of the </w:t>
      </w:r>
      <w:r w:rsidR="009E7A13" w:rsidRPr="009E7A13">
        <w:rPr>
          <w:i/>
        </w:rPr>
        <w:t>Territory-owned Corporations Act 1990</w:t>
      </w:r>
      <w:r w:rsidR="005D654E">
        <w:t xml:space="preserve"> (</w:t>
      </w:r>
      <w:r>
        <w:t xml:space="preserve">which requires Icon Water, in relation to activities that affect the environment, to operate in accordance with the </w:t>
      </w:r>
      <w:r>
        <w:lastRenderedPageBreak/>
        <w:t>objective of ecologically sustainable development</w:t>
      </w:r>
      <w:r w:rsidR="005D654E">
        <w:t>)</w:t>
      </w:r>
      <w:r>
        <w:t xml:space="preserve"> from contemplating a price reduction that may increase demand.</w:t>
      </w:r>
      <w:r>
        <w:rPr>
          <w:rStyle w:val="FootnoteReference"/>
        </w:rPr>
        <w:footnoteReference w:id="36"/>
      </w:r>
      <w:r w:rsidR="008013DA">
        <w:t xml:space="preserve"> </w:t>
      </w:r>
      <w:r>
        <w:t>However, given the low leve</w:t>
      </w:r>
      <w:r w:rsidRPr="00FD5948">
        <w:t>l of overall w</w:t>
      </w:r>
      <w:r>
        <w:t>ater use in the ACT and the fact that Icon Water is subject to environmental flow requirements, it is difficult to see how such an action would conflict with the sustainability requirements in the Act.</w:t>
      </w:r>
      <w:r w:rsidR="008013DA">
        <w:t xml:space="preserve"> </w:t>
      </w:r>
      <w:r>
        <w:t xml:space="preserve">As noted elsewhere in this report, environmental objectives </w:t>
      </w:r>
      <w:proofErr w:type="gramStart"/>
      <w:r>
        <w:t>are being met</w:t>
      </w:r>
      <w:proofErr w:type="gramEnd"/>
      <w:r>
        <w:t xml:space="preserve"> under the current legislative arrangements and the Commission will not change the tariff structure in a way that compromises the ability of Icon Water and the ACT community to meet the government</w:t>
      </w:r>
      <w:r w:rsidR="00DC674F">
        <w:t>’</w:t>
      </w:r>
      <w:r>
        <w:t>s environmental objectives.</w:t>
      </w:r>
      <w:r w:rsidR="008013DA">
        <w:t xml:space="preserve"> </w:t>
      </w:r>
    </w:p>
    <w:p w14:paraId="282316E9" w14:textId="77777777" w:rsidR="00CA7AFB" w:rsidRDefault="00CA7AFB" w:rsidP="00CA7AFB">
      <w:pPr>
        <w:pStyle w:val="Heading4"/>
      </w:pPr>
      <w:r>
        <w:t>Impacts on low</w:t>
      </w:r>
      <w:r w:rsidR="005D654E">
        <w:t>-</w:t>
      </w:r>
      <w:r>
        <w:t>income households</w:t>
      </w:r>
    </w:p>
    <w:p w14:paraId="6532AA34" w14:textId="77777777" w:rsidR="00CA7AFB" w:rsidRDefault="00CA7AFB" w:rsidP="00CA7AFB">
      <w:r>
        <w:t xml:space="preserve">The equity argument, associated with providing households with </w:t>
      </w:r>
      <w:r>
        <w:rPr>
          <w:color w:val="000000"/>
          <w:szCs w:val="22"/>
        </w:rPr>
        <w:t xml:space="preserve">sufficient water at a </w:t>
      </w:r>
      <w:r w:rsidRPr="00FD5948">
        <w:rPr>
          <w:color w:val="000000"/>
          <w:szCs w:val="22"/>
        </w:rPr>
        <w:t>lower</w:t>
      </w:r>
      <w:r w:rsidRPr="00545D79">
        <w:rPr>
          <w:color w:val="000000"/>
          <w:szCs w:val="22"/>
        </w:rPr>
        <w:t xml:space="preserve"> c</w:t>
      </w:r>
      <w:r>
        <w:rPr>
          <w:color w:val="000000"/>
          <w:szCs w:val="22"/>
        </w:rPr>
        <w:t>ost to meet their essential health and hygiene needs,</w:t>
      </w:r>
      <w:r>
        <w:t xml:space="preserve"> </w:t>
      </w:r>
      <w:proofErr w:type="gramStart"/>
      <w:r>
        <w:t>is usually premised</w:t>
      </w:r>
      <w:proofErr w:type="gramEnd"/>
      <w:r>
        <w:t xml:space="preserve"> on an assumption that low</w:t>
      </w:r>
      <w:r w:rsidR="005D654E">
        <w:t>-</w:t>
      </w:r>
      <w:r>
        <w:t>income customers are low water users.</w:t>
      </w:r>
    </w:p>
    <w:p w14:paraId="63B88A9E" w14:textId="77777777" w:rsidR="00CA7AFB" w:rsidRDefault="00E62F0C" w:rsidP="00CA7AFB">
      <w:r>
        <w:rPr>
          <w:noProof/>
        </w:rPr>
        <w:fldChar w:fldCharType="begin"/>
      </w:r>
      <w:r w:rsidR="00CA7AFB">
        <w:rPr>
          <w:noProof/>
        </w:rPr>
        <w:instrText xml:space="preserve"> ADDIN EN.CITE &lt;EndNote&gt;&lt;Cite&gt;&lt;Author&gt;Grafton&lt;/Author&gt;&lt;Year&gt;2010&lt;/Year&gt;&lt;RecNum&gt;584&lt;/RecNum&gt;&lt;DisplayText&gt;Grafton and Ward (2010)&lt;/DisplayText&gt;&lt;record&gt;&lt;rec-number&gt;584&lt;/rec-number&gt;&lt;foreign-keys&gt;&lt;key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rPr>
          <w:noProof/>
        </w:rPr>
        <w:fldChar w:fldCharType="separate"/>
      </w:r>
      <w:hyperlink w:anchor="_ENREF_13" w:tooltip="Grafton, 2010 #584" w:history="1">
        <w:r w:rsidR="00CA7AFB">
          <w:rPr>
            <w:noProof/>
          </w:rPr>
          <w:t>Grafton and Ward (2010</w:t>
        </w:r>
      </w:hyperlink>
      <w:r w:rsidR="00CA7AFB">
        <w:rPr>
          <w:noProof/>
        </w:rPr>
        <w:t>)</w:t>
      </w:r>
      <w:r>
        <w:rPr>
          <w:noProof/>
        </w:rPr>
        <w:fldChar w:fldCharType="end"/>
      </w:r>
      <w:r w:rsidR="00CA7AFB">
        <w:t xml:space="preserve"> cite e</w:t>
      </w:r>
      <w:r w:rsidR="00CA7AFB" w:rsidRPr="00517C8C">
        <w:t>mpirical</w:t>
      </w:r>
      <w:r w:rsidR="00CA7AFB">
        <w:t xml:space="preserve"> </w:t>
      </w:r>
      <w:r w:rsidR="00CA7AFB" w:rsidRPr="00517C8C">
        <w:t xml:space="preserve">studies </w:t>
      </w:r>
      <w:r w:rsidR="00CA7AFB">
        <w:t xml:space="preserve">that </w:t>
      </w:r>
      <w:r w:rsidR="00CA7AFB" w:rsidRPr="00517C8C">
        <w:t xml:space="preserve">show that </w:t>
      </w:r>
      <w:r w:rsidR="005B58F0">
        <w:t>the level of water consumption increases as household size increases</w:t>
      </w:r>
      <w:r w:rsidR="00CA7AFB" w:rsidRPr="00517C8C">
        <w:t>.</w:t>
      </w:r>
      <w:r w:rsidR="008013DA">
        <w:t xml:space="preserve"> </w:t>
      </w:r>
      <w:r>
        <w:fldChar w:fldCharType="begin"/>
      </w:r>
      <w:r w:rsidR="00CA7AFB">
        <w:instrText xml:space="preserve"> ADDIN EN.CITE &lt;EndNote&gt;&lt;Cite&gt;&lt;Author&gt;Saunders&lt;/Author&gt;&lt;Year&gt;1977&lt;/Year&gt;&lt;RecNum&gt;681&lt;/RecNum&gt;&lt;DisplayText&gt;Saunders et al. (1977)&lt;/DisplayText&gt;&lt;record&gt;&lt;rec-number&gt;681&lt;/rec-number&gt;&lt;foreign-keys&gt;&lt;key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fldChar w:fldCharType="separate"/>
      </w:r>
      <w:hyperlink w:anchor="_ENREF_35" w:tooltip="Saunders, 1977 #681" w:history="1">
        <w:r w:rsidR="00CA7AFB">
          <w:rPr>
            <w:noProof/>
          </w:rPr>
          <w:t>Saunders et al. (1977</w:t>
        </w:r>
      </w:hyperlink>
      <w:r w:rsidR="00CA7AFB">
        <w:rPr>
          <w:noProof/>
        </w:rPr>
        <w:t>)</w:t>
      </w:r>
      <w:r>
        <w:fldChar w:fldCharType="end"/>
      </w:r>
      <w:r w:rsidR="00CA7AFB">
        <w:t xml:space="preserve"> also comment on this issue, in the developing country context, noting that:</w:t>
      </w:r>
    </w:p>
    <w:p w14:paraId="39AAC7A9" w14:textId="77777777" w:rsidR="00CA7AFB" w:rsidRDefault="00CA7AFB" w:rsidP="00CA7AFB">
      <w:pPr>
        <w:pStyle w:val="ColorfulGrid-Accent110"/>
      </w:pPr>
      <w:r>
        <w:t>There are many influences on water consumption other than income, a reliable correlation between water consumption and household per capita income being particularly difficult to establish.</w:t>
      </w:r>
      <w:r>
        <w:rPr>
          <w:rStyle w:val="FootnoteReference"/>
        </w:rPr>
        <w:footnoteReference w:id="37"/>
      </w:r>
      <w:r>
        <w:t xml:space="preserve"> </w:t>
      </w:r>
    </w:p>
    <w:p w14:paraId="67BA6653" w14:textId="77777777" w:rsidR="00CA7AFB" w:rsidRDefault="00CA7AFB" w:rsidP="00CA7AFB">
      <w:r>
        <w:t>In its second submission, Icon Water assessed the 2013</w:t>
      </w:r>
      <w:r w:rsidR="005D654E">
        <w:t>–</w:t>
      </w:r>
      <w:r>
        <w:t>14 level of water use of an identifiable group of disadvantaged water customers, those receiving the ACT Government</w:t>
      </w:r>
      <w:r w:rsidR="00DC674F">
        <w:t>’</w:t>
      </w:r>
      <w:r>
        <w:t xml:space="preserve">s </w:t>
      </w:r>
      <w:r w:rsidR="005D654E">
        <w:t>u</w:t>
      </w:r>
      <w:r>
        <w:t xml:space="preserve">tilities </w:t>
      </w:r>
      <w:r w:rsidR="005D654E">
        <w:t>c</w:t>
      </w:r>
      <w:r>
        <w:t>oncession.</w:t>
      </w:r>
      <w:r w:rsidR="008013DA">
        <w:t xml:space="preserve"> </w:t>
      </w:r>
      <w:r>
        <w:t>Icon Water found that:</w:t>
      </w:r>
    </w:p>
    <w:p w14:paraId="74F46660" w14:textId="77777777" w:rsidR="00CA7AFB" w:rsidRDefault="00CA7AFB" w:rsidP="00CA7AFB">
      <w:pPr>
        <w:pStyle w:val="QuoteBullet"/>
      </w:pPr>
      <w:r>
        <w:t>around 40 per cent of Utilities Concession customers use more than 200 kL and pay the Tier 2 water usage price; and,</w:t>
      </w:r>
    </w:p>
    <w:p w14:paraId="5F08641D" w14:textId="77777777" w:rsidR="00CA7AFB" w:rsidRDefault="00CA7AFB" w:rsidP="00CA7AFB">
      <w:pPr>
        <w:pStyle w:val="QuoteBullet"/>
      </w:pPr>
      <w:proofErr w:type="gramStart"/>
      <w:r>
        <w:t>there</w:t>
      </w:r>
      <w:proofErr w:type="gramEnd"/>
      <w:r>
        <w:t xml:space="preserve"> are just as many Utilities Concession customers using more than 200 kL per year as there are using less than 150 kL per year.</w:t>
      </w:r>
      <w:r>
        <w:rPr>
          <w:rStyle w:val="FootnoteReference"/>
        </w:rPr>
        <w:footnoteReference w:id="38"/>
      </w:r>
      <w:r w:rsidR="008013DA">
        <w:t xml:space="preserve"> </w:t>
      </w:r>
    </w:p>
    <w:p w14:paraId="5FF59476" w14:textId="77777777" w:rsidR="00CA7AFB" w:rsidRDefault="00CA7AFB" w:rsidP="00CA7AFB">
      <w:r>
        <w:t>These results imply that</w:t>
      </w:r>
      <w:r w:rsidRPr="00517C8C">
        <w:t xml:space="preserve"> an inc</w:t>
      </w:r>
      <w:r>
        <w:t>lining</w:t>
      </w:r>
      <w:r w:rsidRPr="00517C8C">
        <w:t xml:space="preserve"> block structure </w:t>
      </w:r>
      <w:r>
        <w:t xml:space="preserve">may </w:t>
      </w:r>
      <w:r w:rsidRPr="00517C8C">
        <w:t>ha</w:t>
      </w:r>
      <w:r>
        <w:t>ve</w:t>
      </w:r>
      <w:r w:rsidRPr="00517C8C">
        <w:t xml:space="preserve"> the un</w:t>
      </w:r>
      <w:r>
        <w:t>intended</w:t>
      </w:r>
      <w:r w:rsidRPr="00517C8C">
        <w:t xml:space="preserve"> consequence that large and poor households, who</w:t>
      </w:r>
      <w:r>
        <w:t xml:space="preserve"> </w:t>
      </w:r>
      <w:r w:rsidRPr="00517C8C">
        <w:t xml:space="preserve">may have little discretion </w:t>
      </w:r>
      <w:r>
        <w:t xml:space="preserve">in their </w:t>
      </w:r>
      <w:r w:rsidRPr="00517C8C">
        <w:t xml:space="preserve">water </w:t>
      </w:r>
      <w:r>
        <w:t>consumption</w:t>
      </w:r>
      <w:r w:rsidRPr="00517C8C">
        <w:t>, may pay a higher price</w:t>
      </w:r>
      <w:r>
        <w:t xml:space="preserve"> </w:t>
      </w:r>
      <w:r w:rsidRPr="00517C8C">
        <w:t>for water than small</w:t>
      </w:r>
      <w:r>
        <w:t>, high-</w:t>
      </w:r>
      <w:r w:rsidRPr="00517C8C">
        <w:t>income households.</w:t>
      </w:r>
      <w:r w:rsidR="008013DA">
        <w:t xml:space="preserve"> </w:t>
      </w:r>
      <w:r>
        <w:t>In this vein, Icon Water submitted:</w:t>
      </w:r>
    </w:p>
    <w:p w14:paraId="6B4D4A3B" w14:textId="77777777" w:rsidR="00CA7AFB" w:rsidRDefault="00CA7AFB" w:rsidP="00CA7AFB">
      <w:pPr>
        <w:pStyle w:val="ColorfulGrid-Accent110"/>
      </w:pPr>
      <w:r>
        <w:t>A change in tariff structure that reduces bills for small users, but increases bills for customers using more than 200 kL per year may adversely affect more Utilities Concession customers than it benefits.</w:t>
      </w:r>
      <w:r>
        <w:rPr>
          <w:rStyle w:val="FootnoteReference"/>
        </w:rPr>
        <w:footnoteReference w:id="39"/>
      </w:r>
    </w:p>
    <w:p w14:paraId="0F25B1B2" w14:textId="77777777" w:rsidR="00CA7AFB" w:rsidRDefault="00CA7AFB" w:rsidP="00CA7AFB">
      <w:r>
        <w:lastRenderedPageBreak/>
        <w:t xml:space="preserve">Finally, as noted in the </w:t>
      </w:r>
      <w:r w:rsidR="002B279C">
        <w:t>i</w:t>
      </w:r>
      <w:r>
        <w:t xml:space="preserve">ssues </w:t>
      </w:r>
      <w:r w:rsidR="002B279C">
        <w:t>p</w:t>
      </w:r>
      <w:r>
        <w:t xml:space="preserve">aper, the broader difficulty </w:t>
      </w:r>
      <w:r w:rsidRPr="00545D79">
        <w:t>with inclining block tariffs</w:t>
      </w:r>
      <w:r>
        <w:t xml:space="preserve"> is that in order to improve </w:t>
      </w:r>
      <w:r w:rsidRPr="00DA2A5E">
        <w:t>economic efficiency</w:t>
      </w:r>
      <w:r>
        <w:t xml:space="preserve">, </w:t>
      </w:r>
      <w:r w:rsidRPr="00DA2A5E">
        <w:t xml:space="preserve">the </w:t>
      </w:r>
      <w:r>
        <w:t>usage</w:t>
      </w:r>
      <w:r w:rsidRPr="00DA2A5E">
        <w:t xml:space="preserve"> charge should equal the opportunity cost of water</w:t>
      </w:r>
      <w:r>
        <w:t xml:space="preserve"> (the true social cost to the community)</w:t>
      </w:r>
      <w:r w:rsidR="002B279C">
        <w:t>,</w:t>
      </w:r>
      <w:r>
        <w:t xml:space="preserve"> and this means a single marginal price for water.</w:t>
      </w:r>
      <w:r w:rsidR="008013DA">
        <w:t xml:space="preserve"> </w:t>
      </w:r>
      <w:r w:rsidRPr="00DA2A5E">
        <w:t>If two customers are paying for water at different marginal prices due to different levels of consumption</w:t>
      </w:r>
      <w:r>
        <w:t xml:space="preserve">, </w:t>
      </w:r>
      <w:r w:rsidRPr="00DA2A5E">
        <w:t>one of the two prices ca</w:t>
      </w:r>
      <w:r>
        <w:t>nnot be efficient.</w:t>
      </w:r>
      <w:r w:rsidR="008013DA">
        <w:t xml:space="preserve"> </w:t>
      </w:r>
      <w:r>
        <w:t>As such, inclining block tariffs are often criticised for being inefficient.</w:t>
      </w:r>
      <w:r w:rsidR="008013DA">
        <w:t xml:space="preserve"> </w:t>
      </w:r>
    </w:p>
    <w:p w14:paraId="341EC1AC" w14:textId="77777777" w:rsidR="00CA7AFB" w:rsidRDefault="00CA7AFB" w:rsidP="00CA7AFB">
      <w:r>
        <w:t xml:space="preserve">On a separate note, ClubsACT submitted that clubs </w:t>
      </w:r>
      <w:proofErr w:type="gramStart"/>
      <w:r>
        <w:t>should be provided</w:t>
      </w:r>
      <w:proofErr w:type="gramEnd"/>
      <w:r>
        <w:t xml:space="preserve"> with the same discount on water tariffs as applie</w:t>
      </w:r>
      <w:r w:rsidR="002B279C">
        <w:t>s</w:t>
      </w:r>
      <w:r>
        <w:t xml:space="preserve"> to ACT churches and sch</w:t>
      </w:r>
      <w:r w:rsidRPr="00545D79">
        <w:t xml:space="preserve">ools, </w:t>
      </w:r>
      <w:r w:rsidRPr="00F13349">
        <w:t>or a comm</w:t>
      </w:r>
      <w:r>
        <w:t>unity service obligation to assist in reducing water bills.</w:t>
      </w:r>
      <w:r>
        <w:rPr>
          <w:rStyle w:val="FootnoteReference"/>
        </w:rPr>
        <w:footnoteReference w:id="40"/>
      </w:r>
      <w:r w:rsidR="008013DA">
        <w:t xml:space="preserve"> </w:t>
      </w:r>
      <w:r>
        <w:t>Both proposals require ACT taxpayers to fund Icon Water to subsidise a particular customer class.</w:t>
      </w:r>
      <w:r w:rsidR="008013DA">
        <w:t xml:space="preserve"> </w:t>
      </w:r>
      <w:r>
        <w:t>Such decisions made on behalf of the ACT community are, quite rightly, the responsibility of the ACT Government.</w:t>
      </w:r>
    </w:p>
    <w:p w14:paraId="1AF8AC51" w14:textId="77777777" w:rsidR="00CA7AFB" w:rsidRDefault="00CA7AFB" w:rsidP="00CA7AFB">
      <w:pPr>
        <w:pStyle w:val="Heading4"/>
      </w:pPr>
      <w:r>
        <w:t>Fairness in relation to water</w:t>
      </w:r>
      <w:r w:rsidR="002B279C">
        <w:t>-</w:t>
      </w:r>
      <w:r>
        <w:t>saving investments</w:t>
      </w:r>
    </w:p>
    <w:p w14:paraId="50F7682E" w14:textId="77777777" w:rsidR="00CA7AFB" w:rsidRDefault="00CA7AFB" w:rsidP="00CA7AFB">
      <w:r>
        <w:t>In response to government policies relating to conservation of water and the high cost of using water at the Tier 2 price, many consumers have made investments, in good faith, in water</w:t>
      </w:r>
      <w:r w:rsidR="002B279C">
        <w:t>-</w:t>
      </w:r>
      <w:r>
        <w:t>saving technologies and other initiatives.</w:t>
      </w:r>
      <w:r w:rsidR="008013DA">
        <w:t xml:space="preserve"> </w:t>
      </w:r>
      <w:r>
        <w:t xml:space="preserve">A rebalancing of the tariff so there </w:t>
      </w:r>
      <w:r w:rsidR="002B279C">
        <w:t xml:space="preserve">is </w:t>
      </w:r>
      <w:r>
        <w:t>a higher fixed charge and lower volumetric charges would reduce the benefits in water</w:t>
      </w:r>
      <w:r w:rsidR="002B279C">
        <w:t>-</w:t>
      </w:r>
      <w:r>
        <w:t xml:space="preserve">saving costs for those who made </w:t>
      </w:r>
      <w:r w:rsidR="002B279C">
        <w:t xml:space="preserve">such </w:t>
      </w:r>
      <w:r>
        <w:t>investments.</w:t>
      </w:r>
      <w:r w:rsidR="008013DA">
        <w:t xml:space="preserve"> </w:t>
      </w:r>
      <w:r>
        <w:t xml:space="preserve">This concern </w:t>
      </w:r>
      <w:proofErr w:type="gramStart"/>
      <w:r>
        <w:t>was raised</w:t>
      </w:r>
      <w:proofErr w:type="gramEnd"/>
      <w:r>
        <w:t xml:space="preserve"> by </w:t>
      </w:r>
      <w:r w:rsidRPr="00545D79">
        <w:t xml:space="preserve">Ms </w:t>
      </w:r>
      <w:r w:rsidRPr="00F13349">
        <w:t>Sarah Hulber</w:t>
      </w:r>
      <w:r>
        <w:t>t and is likely to reflect the concerns of many people in the ACT community.</w:t>
      </w:r>
      <w:r>
        <w:rPr>
          <w:rStyle w:val="FootnoteReference"/>
        </w:rPr>
        <w:footnoteReference w:id="41"/>
      </w:r>
      <w:r w:rsidR="008013DA">
        <w:t xml:space="preserve"> </w:t>
      </w:r>
    </w:p>
    <w:p w14:paraId="3E6494DD" w14:textId="77777777" w:rsidR="00CA7AFB" w:rsidRDefault="00CA7AFB" w:rsidP="00CA7AFB">
      <w:r>
        <w:t>The adverse impact on those who made substantial investments in water</w:t>
      </w:r>
      <w:r w:rsidR="002B279C">
        <w:t>-</w:t>
      </w:r>
      <w:r>
        <w:t xml:space="preserve">saving technologies </w:t>
      </w:r>
      <w:proofErr w:type="gramStart"/>
      <w:r>
        <w:t>can be ameliorated</w:t>
      </w:r>
      <w:proofErr w:type="gramEnd"/>
      <w:r>
        <w:t xml:space="preserve"> by limiting the extent to which the rebalancing of the components </w:t>
      </w:r>
      <w:r w:rsidRPr="00F13349">
        <w:t>of the tariff is undertaken a</w:t>
      </w:r>
      <w:r>
        <w:t>nd the timeframe for implementing any change.</w:t>
      </w:r>
      <w:r w:rsidR="008013DA">
        <w:t xml:space="preserve"> </w:t>
      </w:r>
      <w:r>
        <w:t xml:space="preserve">In addition, the costs of rebalancing the tariff need to </w:t>
      </w:r>
      <w:proofErr w:type="gramStart"/>
      <w:r>
        <w:t xml:space="preserve">be </w:t>
      </w:r>
      <w:r w:rsidR="00FE5FA0">
        <w:t>weighed</w:t>
      </w:r>
      <w:proofErr w:type="gramEnd"/>
      <w:r w:rsidR="00FE5FA0">
        <w:t xml:space="preserve"> </w:t>
      </w:r>
      <w:r>
        <w:t>against the efficiency benefits fro</w:t>
      </w:r>
      <w:r w:rsidRPr="00F13349">
        <w:t>m implementing better c</w:t>
      </w:r>
      <w:r>
        <w:t>ost</w:t>
      </w:r>
      <w:r w:rsidR="002B279C">
        <w:t>-</w:t>
      </w:r>
      <w:r>
        <w:t>reflective signals and improving the efficiency of recovering revenue to fund efficient costs.</w:t>
      </w:r>
      <w:r w:rsidR="008013DA">
        <w:t xml:space="preserve"> </w:t>
      </w:r>
    </w:p>
    <w:p w14:paraId="33AFA832" w14:textId="77777777" w:rsidR="00CA7AFB" w:rsidRDefault="00CA7AFB" w:rsidP="00CA7AFB">
      <w:proofErr w:type="gramStart"/>
      <w:r>
        <w:t xml:space="preserve">All of these factors will be taken into account by the Commission in </w:t>
      </w:r>
      <w:r w:rsidR="00F13349">
        <w:t xml:space="preserve">its review of </w:t>
      </w:r>
      <w:r>
        <w:t>water</w:t>
      </w:r>
      <w:proofErr w:type="gramEnd"/>
      <w:r>
        <w:t xml:space="preserve"> and sewerage services prices </w:t>
      </w:r>
      <w:r w:rsidR="002B279C" w:rsidRPr="004F4DB6">
        <w:t>for th</w:t>
      </w:r>
      <w:r w:rsidR="002B279C">
        <w:t>e next regulatory period</w:t>
      </w:r>
      <w:r>
        <w:t>.</w:t>
      </w:r>
    </w:p>
    <w:p w14:paraId="74D44BB2" w14:textId="77777777" w:rsidR="00CA7AFB" w:rsidRDefault="00CA7AFB" w:rsidP="00CA7AFB">
      <w:pPr>
        <w:pStyle w:val="Heading4"/>
      </w:pPr>
      <w:r>
        <w:t>Inefficient price signals</w:t>
      </w:r>
    </w:p>
    <w:p w14:paraId="0F68DB16" w14:textId="77777777" w:rsidR="00CA7AFB" w:rsidRDefault="00CA7AFB" w:rsidP="00CA7AFB">
      <w:r>
        <w:t xml:space="preserve">The Commission considers that the economic analysis that has been undertaken provides a strong basis for concluding that the current tariff structure </w:t>
      </w:r>
      <w:proofErr w:type="gramStart"/>
      <w:r>
        <w:t>could be changed</w:t>
      </w:r>
      <w:proofErr w:type="gramEnd"/>
      <w:r>
        <w:t xml:space="preserve"> to achieve more economically efficient outcomes, in relation to both price signals for marginal usage and </w:t>
      </w:r>
      <w:r w:rsidR="006162FD">
        <w:t>realisation of</w:t>
      </w:r>
      <w:r>
        <w:t xml:space="preserve"> revenues to recover efficient costs. </w:t>
      </w:r>
    </w:p>
    <w:p w14:paraId="44A9925D" w14:textId="77777777" w:rsidR="00CA7AFB" w:rsidRDefault="00CA7AFB" w:rsidP="00CA7AFB">
      <w:r>
        <w:t>Several submissions supported the Commission</w:t>
      </w:r>
      <w:r w:rsidR="00DC674F">
        <w:t>’</w:t>
      </w:r>
      <w:r>
        <w:t xml:space="preserve">s draft </w:t>
      </w:r>
      <w:r w:rsidRPr="00F13349">
        <w:t xml:space="preserve">position </w:t>
      </w:r>
      <w:r w:rsidR="00F13349">
        <w:t>on</w:t>
      </w:r>
      <w:r w:rsidRPr="00F13349">
        <w:t xml:space="preserve"> th</w:t>
      </w:r>
      <w:r>
        <w:t>e inefficient price signals that arise from the current tariff structure.</w:t>
      </w:r>
      <w:r w:rsidR="008013DA">
        <w:t xml:space="preserve"> </w:t>
      </w:r>
    </w:p>
    <w:p w14:paraId="3860DC8B" w14:textId="77777777" w:rsidR="00CA7AFB" w:rsidRDefault="006162FD" w:rsidP="00CA7AFB">
      <w:r>
        <w:lastRenderedPageBreak/>
        <w:t>In its</w:t>
      </w:r>
      <w:r w:rsidR="00CA7AFB">
        <w:t xml:space="preserve"> second submission</w:t>
      </w:r>
      <w:r>
        <w:t>, Icon Water</w:t>
      </w:r>
      <w:r w:rsidR="00CA7AFB">
        <w:t xml:space="preserve"> highlighted the inefficient price signals from the current tariff</w:t>
      </w:r>
      <w:r w:rsidR="00F13349">
        <w:t>,</w:t>
      </w:r>
      <w:r w:rsidR="00CA7AFB">
        <w:t xml:space="preserve"> bu</w:t>
      </w:r>
      <w:r w:rsidR="00CA7AFB" w:rsidRPr="00F13349">
        <w:t xml:space="preserve">t </w:t>
      </w:r>
      <w:r w:rsidR="00F13349">
        <w:t>argued</w:t>
      </w:r>
      <w:r w:rsidR="00F13349" w:rsidRPr="00F13349">
        <w:t xml:space="preserve"> </w:t>
      </w:r>
      <w:r w:rsidR="00CA7AFB" w:rsidRPr="00F13349">
        <w:t>tha</w:t>
      </w:r>
      <w:r w:rsidR="00CA7AFB">
        <w:t>t it would not be appropriate to move directly to fully cost-reflective tariffs within a five</w:t>
      </w:r>
      <w:r>
        <w:t>-</w:t>
      </w:r>
      <w:r w:rsidR="00CA7AFB">
        <w:t>year regulatory period.</w:t>
      </w:r>
      <w:r w:rsidR="00CA7AFB">
        <w:rPr>
          <w:rStyle w:val="FootnoteReference"/>
        </w:rPr>
        <w:footnoteReference w:id="42"/>
      </w:r>
      <w:r w:rsidR="008013DA">
        <w:t xml:space="preserve"> </w:t>
      </w:r>
      <w:r>
        <w:t>In its</w:t>
      </w:r>
      <w:r w:rsidR="00CA7AFB">
        <w:t xml:space="preserve"> third submission, in response to the </w:t>
      </w:r>
      <w:r>
        <w:t>d</w:t>
      </w:r>
      <w:r w:rsidR="00CA7AFB">
        <w:t xml:space="preserve">raft </w:t>
      </w:r>
      <w:r>
        <w:t>r</w:t>
      </w:r>
      <w:r w:rsidR="00CA7AFB">
        <w:t xml:space="preserve">eport, </w:t>
      </w:r>
      <w:r>
        <w:t xml:space="preserve">Icon Water </w:t>
      </w:r>
      <w:r w:rsidR="00CA7AFB">
        <w:t xml:space="preserve">reaffirmed its conclusion about the inefficiency of the price signal </w:t>
      </w:r>
      <w:r>
        <w:t xml:space="preserve">from </w:t>
      </w:r>
      <w:r w:rsidR="00CA7AFB">
        <w:t>the current water tariff and the need for rebalancing</w:t>
      </w:r>
      <w:r>
        <w:t>,</w:t>
      </w:r>
      <w:r w:rsidR="00CA7AFB">
        <w:t xml:space="preserve"> but expressed concern</w:t>
      </w:r>
      <w:r>
        <w:t>s</w:t>
      </w:r>
      <w:r w:rsidR="00CA7AFB">
        <w:t xml:space="preserve"> about the extent of rebalancing presented in the </w:t>
      </w:r>
      <w:r>
        <w:t>d</w:t>
      </w:r>
      <w:r w:rsidR="00CA7AFB">
        <w:t xml:space="preserve">raft </w:t>
      </w:r>
      <w:r>
        <w:t>r</w:t>
      </w:r>
      <w:r w:rsidR="00CA7AFB">
        <w:t>eport.</w:t>
      </w:r>
      <w:r w:rsidR="00CA7AFB">
        <w:rPr>
          <w:rStyle w:val="FootnoteReference"/>
        </w:rPr>
        <w:footnoteReference w:id="43"/>
      </w:r>
    </w:p>
    <w:p w14:paraId="76F98367" w14:textId="77777777" w:rsidR="00CA7AFB" w:rsidRDefault="00CA7AFB" w:rsidP="00CA7AFB">
      <w:r>
        <w:t>In its submiss</w:t>
      </w:r>
      <w:r w:rsidRPr="00F13349">
        <w:t>ion to t</w:t>
      </w:r>
      <w:r>
        <w:t xml:space="preserve">he </w:t>
      </w:r>
      <w:r w:rsidR="006162FD">
        <w:t>d</w:t>
      </w:r>
      <w:r>
        <w:t xml:space="preserve">raft </w:t>
      </w:r>
      <w:r w:rsidR="006162FD">
        <w:t>r</w:t>
      </w:r>
      <w:r>
        <w:t>eport, the ACT Government noted the benefits that would accrue from improving the economic efficiency of the potable water tariff structure and confirmed that it was supportive of a measured shift to implement a more economically efficient water tariff structure.</w:t>
      </w:r>
      <w:r>
        <w:rPr>
          <w:rStyle w:val="FootnoteReference"/>
        </w:rPr>
        <w:footnoteReference w:id="44"/>
      </w:r>
      <w:r w:rsidR="008013DA">
        <w:t xml:space="preserve"> </w:t>
      </w:r>
      <w:r>
        <w:t>However, it highlighted a number of concerns it had for the environment and social impacts, particularly for low</w:t>
      </w:r>
      <w:r w:rsidR="006162FD">
        <w:t>-</w:t>
      </w:r>
      <w:r>
        <w:t>income households</w:t>
      </w:r>
      <w:r w:rsidR="006162FD">
        <w:t>,</w:t>
      </w:r>
      <w:r>
        <w:t xml:space="preserve"> and submitted that the outcomes identified in the </w:t>
      </w:r>
      <w:r w:rsidR="006162FD">
        <w:t>d</w:t>
      </w:r>
      <w:r>
        <w:t xml:space="preserve">raft </w:t>
      </w:r>
      <w:r w:rsidR="006162FD">
        <w:t>r</w:t>
      </w:r>
      <w:r>
        <w:t xml:space="preserve">eport </w:t>
      </w:r>
      <w:r w:rsidR="00937013">
        <w:t xml:space="preserve">would </w:t>
      </w:r>
      <w:r>
        <w:t>not achieve an appropriate balance betw</w:t>
      </w:r>
      <w:r w:rsidRPr="00F13349">
        <w:t>een the need for in</w:t>
      </w:r>
      <w:r>
        <w:t>creased economic efficiency and the potential adverse social and environmental impacts.</w:t>
      </w:r>
      <w:r>
        <w:rPr>
          <w:rStyle w:val="FootnoteReference"/>
        </w:rPr>
        <w:footnoteReference w:id="45"/>
      </w:r>
    </w:p>
    <w:p w14:paraId="5D330E7C" w14:textId="3D0330E6" w:rsidR="00CA7AFB" w:rsidRDefault="00CA7AFB" w:rsidP="00CA7AFB">
      <w:r>
        <w:t>The Commission has considered these concerns and clar</w:t>
      </w:r>
      <w:r w:rsidRPr="00F13349">
        <w:t>ified the pricing principles</w:t>
      </w:r>
      <w:r w:rsidR="00937013">
        <w:t>.</w:t>
      </w:r>
      <w:r w:rsidR="00937013" w:rsidRPr="00937013">
        <w:t xml:space="preserve"> </w:t>
      </w:r>
      <w:r w:rsidR="00937013">
        <w:t>So that the various aspects of economic efficiency are given emphasis, but with the ultimate objective being the long-term interests of consumers.</w:t>
      </w:r>
      <w:r w:rsidRPr="00F13349">
        <w:t xml:space="preserve"> </w:t>
      </w:r>
      <w:r w:rsidR="00937013">
        <w:t>Further</w:t>
      </w:r>
      <w:r w:rsidR="004E09A5">
        <w:t>,</w:t>
      </w:r>
      <w:r w:rsidR="00937013">
        <w:t xml:space="preserve"> while economic efficiency considerations related to pricing are a starting point, they need to </w:t>
      </w:r>
      <w:proofErr w:type="gramStart"/>
      <w:r w:rsidR="00937013">
        <w:t>be balanced</w:t>
      </w:r>
      <w:proofErr w:type="gramEnd"/>
      <w:r w:rsidR="00937013">
        <w:t xml:space="preserve"> with environmental and social considerations</w:t>
      </w:r>
    </w:p>
    <w:p w14:paraId="0ABFA5DC" w14:textId="77777777" w:rsidR="00CA7AFB" w:rsidRPr="0050323A" w:rsidRDefault="00CA7AFB" w:rsidP="00CA7AFB">
      <w:pPr>
        <w:rPr>
          <w:b/>
        </w:rPr>
      </w:pPr>
      <w:r>
        <w:t>In relation to social objectives and particularly the likely impact on households with low incomes, the Commission will suggest and where possible adopt mechanisms to address or moderate any adverse impacts</w:t>
      </w:r>
      <w:r w:rsidR="00AB0783">
        <w:t>,</w:t>
      </w:r>
      <w:r>
        <w:t xml:space="preserve"> and where necessary make a decision about an acceptable cap for price increases for low and moderate levels of water usage.</w:t>
      </w:r>
      <w:r w:rsidR="008013DA">
        <w:t xml:space="preserve"> </w:t>
      </w:r>
      <w:r>
        <w:t xml:space="preserve">However, it </w:t>
      </w:r>
      <w:proofErr w:type="gramStart"/>
      <w:r>
        <w:t>is noted</w:t>
      </w:r>
      <w:proofErr w:type="gramEnd"/>
      <w:r>
        <w:t xml:space="preserve"> that limiting price increases for low water usage is a broad measure for dealing with impacts on households with low incomes as many low</w:t>
      </w:r>
      <w:r w:rsidR="00AB0783">
        <w:t>-</w:t>
      </w:r>
      <w:r>
        <w:t>income households m</w:t>
      </w:r>
      <w:r w:rsidRPr="00707131">
        <w:t>ay have large families and hi</w:t>
      </w:r>
      <w:r>
        <w:t>gh water usage.</w:t>
      </w:r>
      <w:r w:rsidR="008013DA">
        <w:t xml:space="preserve"> </w:t>
      </w:r>
      <w:r>
        <w:t>An implication is that the current structure of the tariff may entail inequitable outcomes for low</w:t>
      </w:r>
      <w:r w:rsidR="00AB0783">
        <w:t>-</w:t>
      </w:r>
      <w:r>
        <w:t xml:space="preserve">income families who use more than the average amount </w:t>
      </w:r>
      <w:r w:rsidR="00AB0783">
        <w:t xml:space="preserve">of </w:t>
      </w:r>
      <w:r>
        <w:t>water.</w:t>
      </w:r>
      <w:r w:rsidR="008013DA">
        <w:t xml:space="preserve"> </w:t>
      </w:r>
    </w:p>
    <w:p w14:paraId="754A913B" w14:textId="77777777" w:rsidR="00CA7AFB" w:rsidRDefault="00CA7AFB" w:rsidP="00CA7AFB">
      <w:pPr>
        <w:pStyle w:val="Heading4"/>
      </w:pPr>
      <w:r>
        <w:t>Uneconomic bypass</w:t>
      </w:r>
    </w:p>
    <w:p w14:paraId="48B279FF" w14:textId="77777777" w:rsidR="00CA7AFB" w:rsidRDefault="00707131" w:rsidP="00CA7AFB">
      <w:r>
        <w:t>A</w:t>
      </w:r>
      <w:r w:rsidR="00CA7AFB">
        <w:t>n inefficient pr</w:t>
      </w:r>
      <w:r w:rsidR="00CA7AFB" w:rsidRPr="00707131">
        <w:t xml:space="preserve">ice signal </w:t>
      </w:r>
      <w:r>
        <w:t>may provide</w:t>
      </w:r>
      <w:r w:rsidR="00CA7AFB" w:rsidRPr="00707131">
        <w:t xml:space="preserve"> large</w:t>
      </w:r>
      <w:r w:rsidR="00CA7AFB">
        <w:t xml:space="preserve"> users with </w:t>
      </w:r>
      <w:r w:rsidR="00857F17">
        <w:t xml:space="preserve">a </w:t>
      </w:r>
      <w:r w:rsidR="00CA7AFB">
        <w:t xml:space="preserve">strong incentive to bypass the supply of water from Icon Water and </w:t>
      </w:r>
      <w:r>
        <w:t>use</w:t>
      </w:r>
      <w:r w:rsidR="00CA7AFB">
        <w:t xml:space="preserve"> an alternative source that is cheaper to them.</w:t>
      </w:r>
      <w:r w:rsidR="008013DA">
        <w:t xml:space="preserve"> </w:t>
      </w:r>
      <w:r w:rsidR="00CA7AFB">
        <w:t xml:space="preserve">This issue </w:t>
      </w:r>
      <w:proofErr w:type="gramStart"/>
      <w:r w:rsidR="00CA7AFB">
        <w:t>is described</w:t>
      </w:r>
      <w:proofErr w:type="gramEnd"/>
      <w:r w:rsidR="00CA7AFB">
        <w:t xml:space="preserve"> in economics as uneconomic bypass because the user switches to a higher cost source of supply from the perspective of the community as a whole.</w:t>
      </w:r>
    </w:p>
    <w:p w14:paraId="01FF0554" w14:textId="77777777" w:rsidR="00CA7AFB" w:rsidRDefault="00CA7AFB" w:rsidP="00CA7AFB">
      <w:r>
        <w:t>There are two potential problems</w:t>
      </w:r>
      <w:r w:rsidR="00AB0783">
        <w:t xml:space="preserve"> with this</w:t>
      </w:r>
      <w:r>
        <w:t>:</w:t>
      </w:r>
    </w:p>
    <w:p w14:paraId="2F7C2B41" w14:textId="77777777" w:rsidR="00CA7AFB" w:rsidRDefault="00CA7AFB" w:rsidP="00CA7AFB">
      <w:pPr>
        <w:pStyle w:val="ColorfulList-Accent110"/>
        <w:numPr>
          <w:ilvl w:val="0"/>
          <w:numId w:val="19"/>
        </w:numPr>
      </w:pPr>
      <w:r>
        <w:lastRenderedPageBreak/>
        <w:t>The first problem is that the average cost of supply from the alternative source may be higher than the average cost of supply from Icon Water</w:t>
      </w:r>
      <w:r w:rsidR="00707131">
        <w:t>,</w:t>
      </w:r>
      <w:r>
        <w:t xml:space="preserve"> and </w:t>
      </w:r>
      <w:r w:rsidR="00707131">
        <w:t xml:space="preserve">therefore </w:t>
      </w:r>
      <w:r>
        <w:t>the diversion to the higher cost source entails an economic efficiency loss in terms of efficient use of water.</w:t>
      </w:r>
      <w:r w:rsidR="008013DA">
        <w:t xml:space="preserve"> </w:t>
      </w:r>
      <w:r>
        <w:t>This is because it would be of lower cost to the community as a whole if Icon Water, as the lowest cost supplier, retained its status as a single supplier.</w:t>
      </w:r>
      <w:r w:rsidR="008013DA">
        <w:t xml:space="preserve"> </w:t>
      </w:r>
    </w:p>
    <w:p w14:paraId="499417E2" w14:textId="77777777" w:rsidR="00CA7AFB" w:rsidRDefault="00CA7AFB" w:rsidP="00CA7AFB">
      <w:pPr>
        <w:pStyle w:val="ColorfulList-Accent110"/>
        <w:numPr>
          <w:ilvl w:val="0"/>
          <w:numId w:val="19"/>
        </w:numPr>
      </w:pPr>
      <w:r>
        <w:t>The second problem, which follows from the first, is that once bypass has occurred</w:t>
      </w:r>
      <w:r w:rsidR="00707131">
        <w:t>,</w:t>
      </w:r>
      <w:r>
        <w:t xml:space="preserve"> Icon Water</w:t>
      </w:r>
      <w:r w:rsidR="00DC674F">
        <w:t>’</w:t>
      </w:r>
      <w:r>
        <w:t>s predominantly fixed costs would have to be recovered from a smaller customer ba</w:t>
      </w:r>
      <w:r w:rsidRPr="00707131">
        <w:t>se, so that on average bil</w:t>
      </w:r>
      <w:r>
        <w:t>ls for th</w:t>
      </w:r>
      <w:r w:rsidR="00707131">
        <w:t>ose</w:t>
      </w:r>
      <w:r>
        <w:t xml:space="preserve"> customers would need to increase. </w:t>
      </w:r>
    </w:p>
    <w:p w14:paraId="51651D94" w14:textId="77777777" w:rsidR="00CA7AFB" w:rsidRDefault="00CA7AFB" w:rsidP="00CA7AFB">
      <w:r>
        <w:t>Icon Water highlighted the risk of uneconomic bypass in each of its three submissions.</w:t>
      </w:r>
      <w:r>
        <w:rPr>
          <w:rStyle w:val="FootnoteReference"/>
        </w:rPr>
        <w:footnoteReference w:id="46"/>
      </w:r>
      <w:r w:rsidR="008013DA">
        <w:t xml:space="preserve"> </w:t>
      </w:r>
      <w:r>
        <w:t>Icon Water submitted that if the ten largest customers no longer sourced water from Icon Water</w:t>
      </w:r>
      <w:r w:rsidR="00DC674F">
        <w:t>’</w:t>
      </w:r>
      <w:r>
        <w:t>s primary network, prices would need to increase by around 11 per cent to maintain cost recovery.</w:t>
      </w:r>
      <w:r w:rsidR="008013DA">
        <w:t xml:space="preserve"> </w:t>
      </w:r>
      <w:r>
        <w:t>Icon Water also noted that if large water users adopted alternative non-potable sources of water</w:t>
      </w:r>
      <w:r w:rsidR="00AB0783">
        <w:t>,</w:t>
      </w:r>
      <w:r>
        <w:t xml:space="preserve"> </w:t>
      </w:r>
      <w:r w:rsidR="00B44322">
        <w:t>those users</w:t>
      </w:r>
      <w:r>
        <w:t xml:space="preserve"> are unlikely to fully manage or cover the costs of environmental impacts.</w:t>
      </w:r>
      <w:r>
        <w:rPr>
          <w:rStyle w:val="FootnoteReference"/>
        </w:rPr>
        <w:footnoteReference w:id="47"/>
      </w:r>
    </w:p>
    <w:p w14:paraId="2F2CA6DC" w14:textId="77777777" w:rsidR="00CA7AFB" w:rsidRDefault="00CA7AFB" w:rsidP="00CA7AFB">
      <w:r>
        <w:t xml:space="preserve">In contrast, </w:t>
      </w:r>
      <w:r w:rsidR="00D4103B">
        <w:t>the ACT Civil and Administrative Tribunal</w:t>
      </w:r>
      <w:r>
        <w:t xml:space="preserve"> submitted that:</w:t>
      </w:r>
      <w:r w:rsidRPr="003B60A2">
        <w:t xml:space="preserve"> </w:t>
      </w:r>
    </w:p>
    <w:p w14:paraId="5F0A1592" w14:textId="77777777" w:rsidR="00CA7AFB" w:rsidRDefault="00CA7AFB" w:rsidP="00CA7AFB">
      <w:pPr>
        <w:pStyle w:val="ColorfulGrid-Accent110"/>
      </w:pPr>
      <w:proofErr w:type="gramStart"/>
      <w:r>
        <w:t>the</w:t>
      </w:r>
      <w:proofErr w:type="gramEnd"/>
      <w:r>
        <w:t xml:space="preserve"> pricing structure for water should encourage conservation and promote the development of bypass &amp; water reuse systems based on the Tier 2 price.</w:t>
      </w:r>
      <w:r w:rsidR="008013DA">
        <w:t xml:space="preserve"> </w:t>
      </w:r>
      <w:r>
        <w:t>This strategy is more likely to develop a system that avoids excessive water restrictions and the resultant revenue problems during periods of drought.</w:t>
      </w:r>
      <w:r>
        <w:rPr>
          <w:rStyle w:val="FootnoteReference"/>
        </w:rPr>
        <w:footnoteReference w:id="48"/>
      </w:r>
    </w:p>
    <w:p w14:paraId="20EA5F1A" w14:textId="77777777" w:rsidR="00CA7AFB" w:rsidRDefault="00CA7AFB" w:rsidP="00CA7AFB">
      <w:r>
        <w:t>However, the problem with encouraging bypass is that more than 80 per cent of Icon Water</w:t>
      </w:r>
      <w:r w:rsidR="00DC674F">
        <w:t>’</w:t>
      </w:r>
      <w:r>
        <w:t xml:space="preserve">s costs are </w:t>
      </w:r>
      <w:r w:rsidRPr="00C71B92">
        <w:t xml:space="preserve">fixed, </w:t>
      </w:r>
      <w:r w:rsidR="00C71B92">
        <w:t xml:space="preserve">and most of those </w:t>
      </w:r>
      <w:proofErr w:type="gramStart"/>
      <w:r w:rsidR="00C71B92">
        <w:t>are</w:t>
      </w:r>
      <w:r w:rsidRPr="00C71B92">
        <w:t xml:space="preserve"> sunk</w:t>
      </w:r>
      <w:proofErr w:type="gramEnd"/>
      <w:r w:rsidR="00D47384">
        <w:t xml:space="preserve">. </w:t>
      </w:r>
      <w:r>
        <w:t>This sort of an effect does not arise in highly competitive markets where sunk costs are not a barrier to entry or exit</w:t>
      </w:r>
      <w:r w:rsidR="00400232">
        <w:t>,</w:t>
      </w:r>
      <w:r>
        <w:t xml:space="preserve"> but it is not meaningful to assume away the sunk costs for a regulated business with substantial infrastructure.</w:t>
      </w:r>
      <w:r w:rsidR="008013DA">
        <w:t xml:space="preserve"> </w:t>
      </w:r>
      <w:r>
        <w:t>Given the need for large sunk investments to supply water, in this case, it is in the long</w:t>
      </w:r>
      <w:r w:rsidR="00400232">
        <w:t>-</w:t>
      </w:r>
      <w:r>
        <w:t>term interests of consumers for there to be a single entity supplying the water as this will help ensure the lowest cost source of supply for the whole community.</w:t>
      </w:r>
    </w:p>
    <w:p w14:paraId="5A4F32D9" w14:textId="77777777" w:rsidR="00CA7AFB" w:rsidRPr="00065E1B" w:rsidRDefault="00CA7AFB" w:rsidP="00CA7AFB">
      <w:pPr>
        <w:pStyle w:val="Heading4"/>
      </w:pPr>
      <w:r>
        <w:t>Balancing the objectives</w:t>
      </w:r>
    </w:p>
    <w:p w14:paraId="2B5E96D6" w14:textId="77777777" w:rsidR="00CA7AFB" w:rsidRDefault="00CA7AFB" w:rsidP="00CA7AFB">
      <w:r>
        <w:t xml:space="preserve">The public consultation process and the submissions provided in response to the </w:t>
      </w:r>
      <w:r w:rsidR="00400232">
        <w:t>d</w:t>
      </w:r>
      <w:r>
        <w:t xml:space="preserve">raft </w:t>
      </w:r>
      <w:r w:rsidR="00400232">
        <w:t>r</w:t>
      </w:r>
      <w:r>
        <w:t>eport highlight</w:t>
      </w:r>
      <w:r w:rsidR="00400232">
        <w:t>ed</w:t>
      </w:r>
      <w:r>
        <w:t xml:space="preserve"> the importance the community places on the need to take effective account of social and environmental objectives w</w:t>
      </w:r>
      <w:r w:rsidRPr="00C71B92">
        <w:t>hen balancing them with</w:t>
      </w:r>
      <w:r>
        <w:t xml:space="preserve"> economic efficiency objectives. </w:t>
      </w:r>
    </w:p>
    <w:p w14:paraId="66CD47B6" w14:textId="77777777" w:rsidR="00CA7AFB" w:rsidRDefault="00CA7AFB" w:rsidP="00CA7AFB">
      <w:r>
        <w:t xml:space="preserve">As explained in Chapter 3, the Commission revised the pricing principles </w:t>
      </w:r>
      <w:proofErr w:type="gramStart"/>
      <w:r>
        <w:t xml:space="preserve">to better </w:t>
      </w:r>
      <w:r w:rsidRPr="00C71B92">
        <w:t>highlight</w:t>
      </w:r>
      <w:proofErr w:type="gramEnd"/>
      <w:r w:rsidRPr="00C71B92">
        <w:t xml:space="preserve"> how environ</w:t>
      </w:r>
      <w:r>
        <w:t xml:space="preserve">mental and social objectives will be addressed and balanced with </w:t>
      </w:r>
      <w:r>
        <w:lastRenderedPageBreak/>
        <w:t>economic efficiency objectives when considering change</w:t>
      </w:r>
      <w:r w:rsidR="00400232">
        <w:t>s</w:t>
      </w:r>
      <w:r>
        <w:t xml:space="preserve"> to the tariff structure.</w:t>
      </w:r>
      <w:r w:rsidR="008013DA">
        <w:t xml:space="preserve"> </w:t>
      </w:r>
      <w:r>
        <w:t>The Commission notes that the review of the tariff structure has provided useful information for establishing the direction of change that seems most likely to benefit ACT consumers as a whole</w:t>
      </w:r>
      <w:r w:rsidR="00400232">
        <w:t>,</w:t>
      </w:r>
      <w:r>
        <w:t xml:space="preserve"> but that the extent of change and the transition period will need further consideration.</w:t>
      </w:r>
      <w:r w:rsidR="008013DA">
        <w:t xml:space="preserve"> </w:t>
      </w:r>
      <w:r>
        <w:t xml:space="preserve">The </w:t>
      </w:r>
      <w:proofErr w:type="gramStart"/>
      <w:r>
        <w:t>Commission</w:t>
      </w:r>
      <w:r w:rsidR="00DC674F">
        <w:t>’</w:t>
      </w:r>
      <w:r>
        <w:t>s</w:t>
      </w:r>
      <w:proofErr w:type="gramEnd"/>
      <w:r>
        <w:t xml:space="preserve"> preferred direction for change is discussed in the next </w:t>
      </w:r>
      <w:r w:rsidR="00400232">
        <w:t>c</w:t>
      </w:r>
      <w:r>
        <w:t>hapter.</w:t>
      </w:r>
    </w:p>
    <w:p w14:paraId="6C450541" w14:textId="77777777" w:rsidR="00CA7AFB" w:rsidRDefault="00CA7AFB" w:rsidP="00CA7AFB">
      <w:pPr>
        <w:sectPr w:rsidR="00CA7AFB" w:rsidSect="00CA7AFB">
          <w:headerReference w:type="even" r:id="rId52"/>
          <w:headerReference w:type="default" r:id="rId53"/>
          <w:endnotePr>
            <w:numFmt w:val="decimal"/>
          </w:endnotePr>
          <w:type w:val="continuous"/>
          <w:pgSz w:w="11907" w:h="16840" w:code="9"/>
          <w:pgMar w:top="2268" w:right="2098" w:bottom="1701" w:left="2098" w:header="578" w:footer="578" w:gutter="0"/>
          <w:cols w:space="720"/>
          <w:docGrid w:linePitch="299"/>
        </w:sectPr>
      </w:pPr>
      <w:r w:rsidRPr="00C71B92">
        <w:t xml:space="preserve">As explained elsewhere in this report, these issues </w:t>
      </w:r>
      <w:proofErr w:type="gramStart"/>
      <w:r w:rsidRPr="00C71B92">
        <w:t xml:space="preserve">will be </w:t>
      </w:r>
      <w:r w:rsidR="00C71B92">
        <w:t>considered</w:t>
      </w:r>
      <w:proofErr w:type="gramEnd"/>
      <w:r w:rsidR="00C71B92">
        <w:t xml:space="preserve"> as </w:t>
      </w:r>
      <w:r w:rsidRPr="00C71B92">
        <w:t>part of the Commission</w:t>
      </w:r>
      <w:r w:rsidR="00DC674F" w:rsidRPr="00C71B92">
        <w:t>’</w:t>
      </w:r>
      <w:r w:rsidRPr="00C71B92">
        <w:t>s separate review of the water and sewerage</w:t>
      </w:r>
      <w:r w:rsidR="00D47384">
        <w:t xml:space="preserve"> service</w:t>
      </w:r>
      <w:r w:rsidRPr="00C71B92">
        <w:t xml:space="preserve"> </w:t>
      </w:r>
      <w:r w:rsidR="00D47384">
        <w:t>prices</w:t>
      </w:r>
      <w:r w:rsidR="00D47384" w:rsidRPr="00C71B92">
        <w:t xml:space="preserve"> </w:t>
      </w:r>
      <w:r w:rsidRPr="00C71B92">
        <w:t>that will apply for the next regulatory period</w:t>
      </w:r>
      <w:r w:rsidR="00B27A6F">
        <w:t>.</w:t>
      </w:r>
    </w:p>
    <w:p w14:paraId="2EE77D49" w14:textId="77777777" w:rsidR="00B27A6F" w:rsidRDefault="00B27A6F" w:rsidP="00B27A6F">
      <w:pPr>
        <w:pStyle w:val="Heading1"/>
        <w:sectPr w:rsidR="00B27A6F" w:rsidSect="00B27A6F">
          <w:headerReference w:type="even" r:id="rId54"/>
          <w:headerReference w:type="default" r:id="rId55"/>
          <w:endnotePr>
            <w:numFmt w:val="decimal"/>
          </w:endnotePr>
          <w:type w:val="oddPage"/>
          <w:pgSz w:w="11907" w:h="16840" w:code="9"/>
          <w:pgMar w:top="2268" w:right="2098" w:bottom="1701" w:left="2098" w:header="578" w:footer="578" w:gutter="0"/>
          <w:cols w:space="720"/>
          <w:noEndnote/>
          <w:docGrid w:linePitch="299"/>
        </w:sectPr>
      </w:pPr>
      <w:bookmarkStart w:id="231" w:name="_Ref454886877"/>
      <w:bookmarkStart w:id="232" w:name="_Ref454888001"/>
      <w:bookmarkStart w:id="233" w:name="_Ref454888010"/>
      <w:bookmarkStart w:id="234" w:name="_Ref454888018"/>
      <w:bookmarkStart w:id="235" w:name="_Ref454888029"/>
      <w:bookmarkStart w:id="236" w:name="_Ref454888039"/>
      <w:bookmarkStart w:id="237" w:name="_Ref460828934"/>
      <w:bookmarkStart w:id="238" w:name="_Ref460828950"/>
      <w:bookmarkStart w:id="239" w:name="_Toc476753988"/>
      <w:bookmarkStart w:id="240" w:name="_Ref477267509"/>
      <w:bookmarkStart w:id="241" w:name="_Ref477267518"/>
      <w:bookmarkStart w:id="242" w:name="_Toc478465465"/>
      <w:r>
        <w:lastRenderedPageBreak/>
        <w:t>Directions for improving</w:t>
      </w:r>
      <w:bookmarkEnd w:id="231"/>
      <w:bookmarkEnd w:id="232"/>
      <w:bookmarkEnd w:id="233"/>
      <w:bookmarkEnd w:id="234"/>
      <w:bookmarkEnd w:id="235"/>
      <w:bookmarkEnd w:id="236"/>
      <w:bookmarkEnd w:id="237"/>
      <w:bookmarkEnd w:id="238"/>
      <w:r>
        <w:t xml:space="preserve"> the water services tariff structure</w:t>
      </w:r>
      <w:bookmarkEnd w:id="239"/>
      <w:bookmarkEnd w:id="240"/>
      <w:bookmarkEnd w:id="241"/>
      <w:bookmarkEnd w:id="242"/>
    </w:p>
    <w:p w14:paraId="01BE17F0" w14:textId="77777777" w:rsidR="00B27A6F" w:rsidRDefault="00B27A6F" w:rsidP="00B27A6F">
      <w:pPr>
        <w:pStyle w:val="Heading2a"/>
      </w:pPr>
      <w:bookmarkStart w:id="243" w:name="_Toc476753989"/>
      <w:bookmarkStart w:id="244" w:name="_Toc478465466"/>
      <w:r>
        <w:t>5.1</w:t>
      </w:r>
      <w:r>
        <w:tab/>
        <w:t>Introduction</w:t>
      </w:r>
      <w:bookmarkEnd w:id="243"/>
      <w:bookmarkEnd w:id="244"/>
    </w:p>
    <w:p w14:paraId="74A9116D" w14:textId="77777777" w:rsidR="00B27A6F" w:rsidRDefault="00B27A6F" w:rsidP="00B27A6F">
      <w:r>
        <w:t>Chapter 4 identified iss</w:t>
      </w:r>
      <w:r w:rsidRPr="00C71B92">
        <w:t xml:space="preserve">ues </w:t>
      </w:r>
      <w:r w:rsidR="00C71B92">
        <w:t>with</w:t>
      </w:r>
      <w:r w:rsidRPr="00C71B92">
        <w:t xml:space="preserve"> the curre</w:t>
      </w:r>
      <w:r>
        <w:t>nt water services and sewerage services tariff structure.</w:t>
      </w:r>
      <w:r w:rsidR="008013DA">
        <w:t xml:space="preserve"> </w:t>
      </w:r>
    </w:p>
    <w:p w14:paraId="150E6821" w14:textId="77777777" w:rsidR="00B27A6F" w:rsidRDefault="00B27A6F" w:rsidP="00B27A6F">
      <w:r>
        <w:t xml:space="preserve">Application of the pricing principles indicated that changing the </w:t>
      </w:r>
      <w:r w:rsidR="00C71B92">
        <w:t xml:space="preserve">water </w:t>
      </w:r>
      <w:r>
        <w:t>tariff structure could improve its economic efficiency, but subject to balancing economic, social and environmental object</w:t>
      </w:r>
      <w:r w:rsidRPr="00C71B92">
        <w:t>ives in the</w:t>
      </w:r>
      <w:r>
        <w:t xml:space="preserve"> long</w:t>
      </w:r>
      <w:r w:rsidR="00400232">
        <w:t>-</w:t>
      </w:r>
      <w:r>
        <w:t xml:space="preserve">term interests of consumers. </w:t>
      </w:r>
    </w:p>
    <w:p w14:paraId="64BD8930" w14:textId="77777777" w:rsidR="00B27A6F" w:rsidRDefault="00B27A6F" w:rsidP="00B27A6F">
      <w:r>
        <w:t xml:space="preserve">In contrast, there </w:t>
      </w:r>
      <w:r w:rsidR="00400232">
        <w:t xml:space="preserve">does </w:t>
      </w:r>
      <w:r>
        <w:t>not seem to be a strong economic rationale or significant community support for changing the sewerage services tariff structure</w:t>
      </w:r>
      <w:r w:rsidR="00400232">
        <w:t>,</w:t>
      </w:r>
      <w:r>
        <w:t xml:space="preserve"> although there is a case for introduc</w:t>
      </w:r>
      <w:r w:rsidR="00C71B92">
        <w:t>ing</w:t>
      </w:r>
      <w:r>
        <w:t xml:space="preserve"> a cost</w:t>
      </w:r>
      <w:r w:rsidR="00400232">
        <w:t>-</w:t>
      </w:r>
      <w:r>
        <w:t>based pricing regime</w:t>
      </w:r>
      <w:r w:rsidR="00400232">
        <w:t xml:space="preserve"> for trade waste</w:t>
      </w:r>
      <w:r>
        <w:t>.</w:t>
      </w:r>
      <w:r w:rsidR="008013DA">
        <w:t xml:space="preserve"> </w:t>
      </w:r>
      <w:r>
        <w:t xml:space="preserve">These issues </w:t>
      </w:r>
      <w:proofErr w:type="gramStart"/>
      <w:r>
        <w:t>are discussed</w:t>
      </w:r>
      <w:proofErr w:type="gramEnd"/>
      <w:r>
        <w:t xml:space="preserve"> in Chapter 6.</w:t>
      </w:r>
    </w:p>
    <w:p w14:paraId="5644D00D" w14:textId="77777777" w:rsidR="00B27A6F" w:rsidRDefault="00B27A6F" w:rsidP="00B27A6F">
      <w:r>
        <w:t xml:space="preserve">Several submissions, including the submission of the ACT </w:t>
      </w:r>
      <w:r w:rsidR="00400232">
        <w:t>G</w:t>
      </w:r>
      <w:r>
        <w:t xml:space="preserve">overnment, raised concerns about the extent of rebalancing </w:t>
      </w:r>
      <w:r w:rsidR="00400232">
        <w:t xml:space="preserve">of the tariff components </w:t>
      </w:r>
      <w:r>
        <w:t xml:space="preserve">that </w:t>
      </w:r>
      <w:proofErr w:type="gramStart"/>
      <w:r>
        <w:t xml:space="preserve">was </w:t>
      </w:r>
      <w:r w:rsidRPr="00C71B92">
        <w:t>recommended</w:t>
      </w:r>
      <w:proofErr w:type="gramEnd"/>
      <w:r w:rsidRPr="00C71B92">
        <w:t xml:space="preserve"> in th</w:t>
      </w:r>
      <w:r>
        <w:t>e Commission</w:t>
      </w:r>
      <w:r w:rsidR="00DC674F">
        <w:t>’</w:t>
      </w:r>
      <w:r>
        <w:t xml:space="preserve">s </w:t>
      </w:r>
      <w:r w:rsidR="00400232">
        <w:t>d</w:t>
      </w:r>
      <w:r>
        <w:t xml:space="preserve">raft </w:t>
      </w:r>
      <w:r w:rsidR="00400232">
        <w:t>r</w:t>
      </w:r>
      <w:r>
        <w:t xml:space="preserve">eport and the need for more careful consideration of equity impacts in particular. </w:t>
      </w:r>
    </w:p>
    <w:p w14:paraId="28EE65DB" w14:textId="77777777" w:rsidR="00B27A6F" w:rsidRDefault="00B27A6F" w:rsidP="00B27A6F">
      <w:r>
        <w:t xml:space="preserve">This </w:t>
      </w:r>
      <w:r w:rsidR="00400232">
        <w:t>c</w:t>
      </w:r>
      <w:r>
        <w:t>hapte</w:t>
      </w:r>
      <w:r w:rsidRPr="00C71B92">
        <w:t>r focuses on the Commission</w:t>
      </w:r>
      <w:r w:rsidR="00DC674F" w:rsidRPr="00C71B92">
        <w:t>’</w:t>
      </w:r>
      <w:r w:rsidRPr="00C71B92">
        <w:t xml:space="preserve">s preferred approach for improving the water tariff structure and </w:t>
      </w:r>
      <w:r w:rsidRPr="00F466DB">
        <w:t>how the Comm</w:t>
      </w:r>
      <w:r>
        <w:t>ission proposes to take account of concerns raised in the submissions in developing and implementing its preferred approach.</w:t>
      </w:r>
      <w:r w:rsidR="008013DA">
        <w:t xml:space="preserve"> </w:t>
      </w:r>
      <w:r>
        <w:t xml:space="preserve">The </w:t>
      </w:r>
      <w:proofErr w:type="gramStart"/>
      <w:r>
        <w:t>Commission</w:t>
      </w:r>
      <w:r w:rsidR="00DC674F">
        <w:t>’</w:t>
      </w:r>
      <w:r>
        <w:t>s</w:t>
      </w:r>
      <w:proofErr w:type="gramEnd"/>
      <w:r>
        <w:t xml:space="preserve"> preferred option is presented first, followed by a response to how the preferred option addresses the key issues of concern raised in submissions. </w:t>
      </w:r>
    </w:p>
    <w:p w14:paraId="5CC641F2" w14:textId="77777777" w:rsidR="00B27A6F" w:rsidRDefault="00B27A6F" w:rsidP="00B27A6F">
      <w:r w:rsidRPr="00C71B92">
        <w:t xml:space="preserve">The </w:t>
      </w:r>
      <w:r w:rsidR="00820D42" w:rsidRPr="00C71B92">
        <w:t>c</w:t>
      </w:r>
      <w:r w:rsidRPr="00C71B92">
        <w:t xml:space="preserve">hapter also discusses the form of regulation and issues in adopting a price cap or a revenue cap, </w:t>
      </w:r>
      <w:r>
        <w:t xml:space="preserve">with </w:t>
      </w:r>
      <w:r w:rsidR="00C71B92">
        <w:t xml:space="preserve">reference to </w:t>
      </w:r>
      <w:r>
        <w:t xml:space="preserve">the pricing principles set out in Chapter 3. </w:t>
      </w:r>
    </w:p>
    <w:p w14:paraId="3CDCD461" w14:textId="77777777" w:rsidR="00B27A6F" w:rsidRDefault="00B27A6F" w:rsidP="00B27A6F">
      <w:pPr>
        <w:pStyle w:val="Heading2a"/>
      </w:pPr>
      <w:bookmarkStart w:id="245" w:name="_Toc476753990"/>
      <w:bookmarkStart w:id="246" w:name="_Toc478465467"/>
      <w:r>
        <w:t>5.2</w:t>
      </w:r>
      <w:r>
        <w:tab/>
      </w:r>
      <w:r w:rsidRPr="009E2FB3">
        <w:t xml:space="preserve">The preferred </w:t>
      </w:r>
      <w:bookmarkEnd w:id="245"/>
      <w:r w:rsidR="009E2FB3" w:rsidRPr="009E2FB3">
        <w:t>direction for change</w:t>
      </w:r>
      <w:bookmarkEnd w:id="246"/>
    </w:p>
    <w:p w14:paraId="7ECC638D" w14:textId="77777777" w:rsidR="00B27A6F" w:rsidRDefault="00B27A6F" w:rsidP="00B27A6F">
      <w:pPr>
        <w:pStyle w:val="Heading3"/>
        <w:numPr>
          <w:ilvl w:val="0"/>
          <w:numId w:val="0"/>
        </w:numPr>
      </w:pPr>
      <w:r>
        <w:t>5.2.1</w:t>
      </w:r>
      <w:r>
        <w:tab/>
        <w:t xml:space="preserve">Key considerations in improving the tariff structure </w:t>
      </w:r>
    </w:p>
    <w:p w14:paraId="02142205" w14:textId="77777777" w:rsidR="00B27A6F" w:rsidRDefault="00B27A6F" w:rsidP="00B27A6F">
      <w:r>
        <w:t>The problems with the current water services tariff structure essentially relate to the loss of economic efficiency that arises because the usage components do not reflect the marginal social cost of additional consumption</w:t>
      </w:r>
      <w:r w:rsidR="00820D42">
        <w:t>,</w:t>
      </w:r>
      <w:r>
        <w:t xml:space="preserve"> and the </w:t>
      </w:r>
      <w:r w:rsidR="00820D42">
        <w:t xml:space="preserve">inefficiency in raising revenue </w:t>
      </w:r>
      <w:r w:rsidR="00070EF6">
        <w:t xml:space="preserve">to cover efficient costs </w:t>
      </w:r>
      <w:r w:rsidR="00820D42">
        <w:t xml:space="preserve">that arises from the </w:t>
      </w:r>
      <w:r>
        <w:t xml:space="preserve">high reliance on the usage component relative to </w:t>
      </w:r>
      <w:r w:rsidR="00070EF6">
        <w:t xml:space="preserve">the </w:t>
      </w:r>
      <w:r>
        <w:t xml:space="preserve">fixed </w:t>
      </w:r>
      <w:r w:rsidR="00070EF6">
        <w:t xml:space="preserve">supply </w:t>
      </w:r>
      <w:r>
        <w:t xml:space="preserve">component. </w:t>
      </w:r>
    </w:p>
    <w:p w14:paraId="5969CECA" w14:textId="77777777" w:rsidR="00B27A6F" w:rsidRDefault="00B27A6F" w:rsidP="00B27A6F">
      <w:r>
        <w:t>From an economic efficiency perspective, there are many options for setting the tariff structure</w:t>
      </w:r>
      <w:r w:rsidR="009D00FE">
        <w:t>,</w:t>
      </w:r>
      <w:r>
        <w:t xml:space="preserve"> including differentiation of both the fixed and usage components for different types of customers.</w:t>
      </w:r>
      <w:r w:rsidR="008013DA">
        <w:t xml:space="preserve"> </w:t>
      </w:r>
      <w:r>
        <w:t xml:space="preserve">However, the key requirement, from an economic efficiency </w:t>
      </w:r>
      <w:r>
        <w:lastRenderedPageBreak/>
        <w:t>perspective, is to refl</w:t>
      </w:r>
      <w:r w:rsidRPr="00070EF6">
        <w:t xml:space="preserve">ect </w:t>
      </w:r>
      <w:r w:rsidR="009D00FE" w:rsidRPr="00070EF6">
        <w:t xml:space="preserve">the </w:t>
      </w:r>
      <w:r w:rsidRPr="00070EF6">
        <w:t>margi</w:t>
      </w:r>
      <w:r>
        <w:t>nal costs associated with marginal usage of water while ensuring the combination of the tariff structure and the levels of its components generate</w:t>
      </w:r>
      <w:r w:rsidR="009D00FE">
        <w:t>s</w:t>
      </w:r>
      <w:r>
        <w:t xml:space="preserve"> sufficient revenue to recover efficient total costs.</w:t>
      </w:r>
      <w:r w:rsidR="008013DA">
        <w:t xml:space="preserve"> </w:t>
      </w:r>
      <w:r>
        <w:t>To achieve these objectives the Commission considers that in the current circumstances there is a case for some adjustment of the tariff structure so that there is less reliance on usage charges.</w:t>
      </w:r>
    </w:p>
    <w:p w14:paraId="4B2F0555" w14:textId="77777777" w:rsidR="00B27A6F" w:rsidRDefault="00B27A6F" w:rsidP="00B27A6F">
      <w:r>
        <w:t>The Commission recognises that adjustment of the fixed and usage charges should avoid adverse environmental impacts.</w:t>
      </w:r>
      <w:r w:rsidR="008013DA">
        <w:t xml:space="preserve"> </w:t>
      </w:r>
      <w:r>
        <w:t xml:space="preserve">However, the existing environmental policies and legislated requirements </w:t>
      </w:r>
      <w:proofErr w:type="gramStart"/>
      <w:r>
        <w:t>are designed</w:t>
      </w:r>
      <w:proofErr w:type="gramEnd"/>
      <w:r>
        <w:t xml:space="preserve"> to ensure that key environmental objectives are m</w:t>
      </w:r>
      <w:r w:rsidRPr="00070EF6">
        <w:t>et.</w:t>
      </w:r>
      <w:r w:rsidR="008013DA" w:rsidRPr="00070EF6">
        <w:t xml:space="preserve"> </w:t>
      </w:r>
      <w:proofErr w:type="gramStart"/>
      <w:r w:rsidRPr="00070EF6">
        <w:t>And</w:t>
      </w:r>
      <w:proofErr w:type="gramEnd"/>
      <w:r w:rsidRPr="00070EF6">
        <w:t xml:space="preserve"> the Commission will take care that the abilit</w:t>
      </w:r>
      <w:r>
        <w:t>y to meet these environmental objectives will not be compromised by changes in the tariff structure.</w:t>
      </w:r>
      <w:r w:rsidR="008013DA">
        <w:t xml:space="preserve"> </w:t>
      </w:r>
      <w:r>
        <w:t xml:space="preserve">The Commission also recognises that ideally the usage component of the tariff should reflect the marginal value of the cost of supply, including any externality costs and the value of water. </w:t>
      </w:r>
    </w:p>
    <w:p w14:paraId="65EC7893" w14:textId="77777777" w:rsidR="00B27A6F" w:rsidRDefault="00B27A6F" w:rsidP="00B27A6F">
      <w:r>
        <w:t>However, such a change would have equity and so</w:t>
      </w:r>
      <w:r w:rsidRPr="00070EF6">
        <w:t>cial implications that imply diff</w:t>
      </w:r>
      <w:r>
        <w:t xml:space="preserve">erent bill impacts for different types of customers, unless adjustments </w:t>
      </w:r>
      <w:proofErr w:type="gramStart"/>
      <w:r>
        <w:t>were made</w:t>
      </w:r>
      <w:proofErr w:type="gramEnd"/>
      <w:r>
        <w:t xml:space="preserve"> to one or both components of the tariff. </w:t>
      </w:r>
    </w:p>
    <w:p w14:paraId="3BDA926B" w14:textId="77777777" w:rsidR="00B27A6F" w:rsidRDefault="00B27A6F" w:rsidP="00B27A6F">
      <w:r>
        <w:t xml:space="preserve">As explained in Chapter 3, ideally other government policies </w:t>
      </w:r>
      <w:proofErr w:type="gramStart"/>
      <w:r>
        <w:t>should be developed</w:t>
      </w:r>
      <w:proofErr w:type="gramEnd"/>
      <w:r>
        <w:t xml:space="preserve"> to address the equity and social impacts of utility prices.</w:t>
      </w:r>
      <w:r w:rsidR="008013DA">
        <w:t xml:space="preserve"> </w:t>
      </w:r>
      <w:r>
        <w:t>However, in practice such policies may not be well developed or well targeted to address changes in tariff structures and levels.</w:t>
      </w:r>
      <w:r w:rsidR="008013DA">
        <w:t xml:space="preserve"> </w:t>
      </w:r>
      <w:r>
        <w:t xml:space="preserve">This means that a compromise position needs to be developed and </w:t>
      </w:r>
      <w:proofErr w:type="gramStart"/>
      <w:r>
        <w:t>implemen</w:t>
      </w:r>
      <w:r w:rsidRPr="00070EF6">
        <w:t>ted</w:t>
      </w:r>
      <w:proofErr w:type="gramEnd"/>
      <w:r w:rsidR="00070EF6">
        <w:t>,</w:t>
      </w:r>
      <w:r w:rsidRPr="00070EF6">
        <w:t xml:space="preserve"> as explained below.</w:t>
      </w:r>
      <w:r w:rsidR="008013DA" w:rsidRPr="00070EF6">
        <w:t xml:space="preserve"> </w:t>
      </w:r>
      <w:r w:rsidR="00070EF6">
        <w:t>I</w:t>
      </w:r>
      <w:r w:rsidRPr="00070EF6">
        <w:t>n its investigation into the price levels t</w:t>
      </w:r>
      <w:r>
        <w:t>hat will apply in the next regulatory period, the Commi</w:t>
      </w:r>
      <w:r w:rsidRPr="00070EF6">
        <w:t>ssion will</w:t>
      </w:r>
      <w:r>
        <w:t xml:space="preserve"> </w:t>
      </w:r>
      <w:r w:rsidR="00070EF6">
        <w:t xml:space="preserve">also </w:t>
      </w:r>
      <w:r>
        <w:t>note the relevance of other government policies that may be better suited to addressing equity concerns.</w:t>
      </w:r>
    </w:p>
    <w:p w14:paraId="4B2FE5BE" w14:textId="77777777" w:rsidR="00B27A6F" w:rsidRDefault="00B27A6F" w:rsidP="00B27A6F">
      <w:pPr>
        <w:pStyle w:val="Heading3"/>
        <w:numPr>
          <w:ilvl w:val="0"/>
          <w:numId w:val="0"/>
        </w:numPr>
      </w:pPr>
      <w:r w:rsidRPr="009E2FB3">
        <w:t>5.2.2</w:t>
      </w:r>
      <w:r w:rsidRPr="009E2FB3">
        <w:tab/>
      </w:r>
      <w:r w:rsidRPr="00A4360B">
        <w:t>The preferred tariff structure over the longer term</w:t>
      </w:r>
      <w:r>
        <w:t xml:space="preserve"> </w:t>
      </w:r>
    </w:p>
    <w:p w14:paraId="078D7FD2" w14:textId="77777777" w:rsidR="00B27A6F" w:rsidRDefault="00B27A6F" w:rsidP="00B27A6F">
      <w:r w:rsidRPr="00567669">
        <w:t xml:space="preserve">From an economic efficiency perspective, the tariff structure should comprise a fixed tariff and a single usage charge, with the usage charge </w:t>
      </w:r>
      <w:r w:rsidR="00070EF6">
        <w:t xml:space="preserve">set to </w:t>
      </w:r>
      <w:r w:rsidRPr="00567669">
        <w:t>reflect the additional costs to society that are incurred as additional water services and the water itself are used and the fixed charge set to ensure that overall costs are recovered.</w:t>
      </w:r>
      <w:r w:rsidR="008013DA">
        <w:t xml:space="preserve"> </w:t>
      </w:r>
      <w:r w:rsidRPr="00567669">
        <w:t xml:space="preserve">The fixed charge </w:t>
      </w:r>
      <w:proofErr w:type="gramStart"/>
      <w:r w:rsidRPr="00567669">
        <w:t>should not be related</w:t>
      </w:r>
      <w:proofErr w:type="gramEnd"/>
      <w:r w:rsidRPr="00567669">
        <w:t xml:space="preserve"> to usage</w:t>
      </w:r>
      <w:r w:rsidR="009D00FE">
        <w:t>,</w:t>
      </w:r>
      <w:r w:rsidRPr="00567669">
        <w:t xml:space="preserve"> but it can differ by type of use</w:t>
      </w:r>
      <w:r w:rsidR="009D00FE">
        <w:t xml:space="preserve"> (</w:t>
      </w:r>
      <w:r w:rsidRPr="00567669">
        <w:t>for example, business or household</w:t>
      </w:r>
      <w:r w:rsidR="009D00FE">
        <w:t>)</w:t>
      </w:r>
      <w:r w:rsidRPr="00567669">
        <w:t xml:space="preserve"> or in other ways that help to minimise adverse impacts on low</w:t>
      </w:r>
      <w:r w:rsidR="009D00FE">
        <w:t>-</w:t>
      </w:r>
      <w:r w:rsidRPr="00567669">
        <w:t>income users.</w:t>
      </w:r>
      <w:r w:rsidR="008013DA">
        <w:t xml:space="preserve"> </w:t>
      </w:r>
      <w:r w:rsidRPr="00567669">
        <w:t>A two</w:t>
      </w:r>
      <w:r w:rsidR="009D00FE">
        <w:t>-</w:t>
      </w:r>
      <w:r w:rsidRPr="00567669">
        <w:t xml:space="preserve">part tariff can ensure that the efficient level of output </w:t>
      </w:r>
      <w:proofErr w:type="gramStart"/>
      <w:r w:rsidRPr="00567669">
        <w:t>is provided</w:t>
      </w:r>
      <w:proofErr w:type="gramEnd"/>
      <w:r w:rsidRPr="00567669">
        <w:t xml:space="preserve"> as well as ensur</w:t>
      </w:r>
      <w:r w:rsidR="009D00FE">
        <w:t>e</w:t>
      </w:r>
      <w:r w:rsidRPr="00567669">
        <w:t xml:space="preserve"> that fixed costs are recovered, </w:t>
      </w:r>
      <w:r w:rsidR="009D00FE">
        <w:t>as long as</w:t>
      </w:r>
      <w:r w:rsidR="009D00FE" w:rsidRPr="00567669">
        <w:t xml:space="preserve"> </w:t>
      </w:r>
      <w:r w:rsidRPr="00567669">
        <w:t>the fixed charge does not mean that some users opt out of the service.</w:t>
      </w:r>
      <w:r w:rsidRPr="00567669">
        <w:rPr>
          <w:vertAlign w:val="superscript"/>
        </w:rPr>
        <w:footnoteReference w:id="49"/>
      </w:r>
      <w:r w:rsidR="008013DA">
        <w:t xml:space="preserve"> </w:t>
      </w:r>
      <w:r w:rsidRPr="00567669">
        <w:t xml:space="preserve">When the single usage price </w:t>
      </w:r>
      <w:proofErr w:type="gramStart"/>
      <w:r w:rsidRPr="00567669">
        <w:t>is based</w:t>
      </w:r>
      <w:proofErr w:type="gramEnd"/>
      <w:r w:rsidRPr="00567669">
        <w:t xml:space="preserve"> on an</w:t>
      </w:r>
      <w:r>
        <w:t xml:space="preserve"> </w:t>
      </w:r>
      <w:r>
        <w:lastRenderedPageBreak/>
        <w:t>appropriate measure of marginal cost and the fixed component is set to help recover efficient costs</w:t>
      </w:r>
      <w:r w:rsidR="009E2FB3">
        <w:t>,</w:t>
      </w:r>
      <w:r>
        <w:t xml:space="preserve"> the risk of uneconomic bypass should also be avoided.</w:t>
      </w:r>
      <w:r w:rsidR="008013DA">
        <w:t xml:space="preserve"> </w:t>
      </w:r>
    </w:p>
    <w:p w14:paraId="5A6D4DF0" w14:textId="77777777" w:rsidR="00B27A6F" w:rsidRDefault="00B27A6F" w:rsidP="00B27A6F">
      <w:r>
        <w:t>In addition, the Commission considers that ideally it is preferable to address equity concerns and access to essential water with other measu</w:t>
      </w:r>
      <w:r w:rsidRPr="00070EF6">
        <w:t>res rather than an</w:t>
      </w:r>
      <w:r>
        <w:t xml:space="preserve"> inclining block tariff with two or more usage components</w:t>
      </w:r>
      <w:r w:rsidR="009E2FB3">
        <w:t>.</w:t>
      </w:r>
    </w:p>
    <w:p w14:paraId="2E53E84D" w14:textId="77777777" w:rsidR="00B27A6F" w:rsidRDefault="00B27A6F" w:rsidP="00B27A6F">
      <w:r>
        <w:t xml:space="preserve">However, as noted, economic efficiency considerations need to </w:t>
      </w:r>
      <w:proofErr w:type="gramStart"/>
      <w:r>
        <w:t>be balanced</w:t>
      </w:r>
      <w:proofErr w:type="gramEnd"/>
      <w:r>
        <w:t xml:space="preserve"> with social and environmental objectives.</w:t>
      </w:r>
      <w:r w:rsidR="008013DA">
        <w:t xml:space="preserve"> </w:t>
      </w:r>
      <w:r w:rsidR="009E2FB3">
        <w:t>S</w:t>
      </w:r>
      <w:r>
        <w:t>everal submissions provided strong support for retention of a two-tier usage charge, particularly in relation to concerns about the impacts on low</w:t>
      </w:r>
      <w:r w:rsidR="009E2FB3">
        <w:t>-</w:t>
      </w:r>
      <w:r>
        <w:t xml:space="preserve">income households if the existing structure </w:t>
      </w:r>
      <w:proofErr w:type="gramStart"/>
      <w:r>
        <w:t>was changed</w:t>
      </w:r>
      <w:proofErr w:type="gramEnd"/>
      <w:r>
        <w:t xml:space="preserve"> to raise fixed charges and </w:t>
      </w:r>
      <w:r w:rsidR="009E2FB3">
        <w:t>reduce</w:t>
      </w:r>
      <w:r>
        <w:t xml:space="preserve"> usage charges.</w:t>
      </w:r>
      <w:r w:rsidR="008013DA">
        <w:t xml:space="preserve"> </w:t>
      </w:r>
      <w:r>
        <w:t xml:space="preserve">Recognising these concerns and </w:t>
      </w:r>
      <w:r w:rsidR="009E2FB3">
        <w:t xml:space="preserve">the </w:t>
      </w:r>
      <w:r>
        <w:t>difficulties in effectively addressing equi</w:t>
      </w:r>
      <w:r w:rsidRPr="00070EF6">
        <w:t>ty concerns wit</w:t>
      </w:r>
      <w:r>
        <w:t xml:space="preserve">h other measures, the Commission proposes to retain the existing </w:t>
      </w:r>
      <w:r w:rsidR="00564CEF">
        <w:t xml:space="preserve">inclining block structure </w:t>
      </w:r>
      <w:r>
        <w:t xml:space="preserve">with two usage </w:t>
      </w:r>
      <w:r w:rsidR="00592426">
        <w:t xml:space="preserve">tiers </w:t>
      </w:r>
      <w:r>
        <w:t>for the next regulatory period.</w:t>
      </w:r>
      <w:r w:rsidR="008013DA">
        <w:t xml:space="preserve"> </w:t>
      </w:r>
      <w:r>
        <w:t xml:space="preserve">However, the Commission proposes to take the opportunity to narrow the difference between the two usage </w:t>
      </w:r>
      <w:r w:rsidR="00592426">
        <w:t xml:space="preserve">prices </w:t>
      </w:r>
      <w:r>
        <w:t xml:space="preserve">and </w:t>
      </w:r>
      <w:r w:rsidR="009E2FB3">
        <w:t xml:space="preserve">to </w:t>
      </w:r>
      <w:r>
        <w:t>reduce the reliance on usage charges and increase fixed charges in a gradual and measured way.</w:t>
      </w:r>
      <w:r w:rsidR="008013DA">
        <w:t xml:space="preserve"> </w:t>
      </w:r>
      <w:r>
        <w:t xml:space="preserve">Over time, more consideration </w:t>
      </w:r>
      <w:proofErr w:type="gramStart"/>
      <w:r>
        <w:t>can be given</w:t>
      </w:r>
      <w:proofErr w:type="gramEnd"/>
      <w:r>
        <w:t xml:space="preserve"> to moving towards a single usage charge</w:t>
      </w:r>
      <w:r w:rsidR="009E2FB3">
        <w:t>,</w:t>
      </w:r>
      <w:r>
        <w:t xml:space="preserve"> provided economic, environment and social objectives can be appropriately balanced.</w:t>
      </w:r>
    </w:p>
    <w:p w14:paraId="64038BF7" w14:textId="77777777" w:rsidR="00B27A6F" w:rsidRDefault="009E2FB3" w:rsidP="00B27A6F">
      <w:r>
        <w:t>The Commission considers that s</w:t>
      </w:r>
      <w:r w:rsidR="00B27A6F">
        <w:t xml:space="preserve">ome rebalancing of the components in the existing tariff structure </w:t>
      </w:r>
      <w:proofErr w:type="gramStart"/>
      <w:r w:rsidR="00B27A6F">
        <w:t>is needed</w:t>
      </w:r>
      <w:proofErr w:type="gramEnd"/>
      <w:r w:rsidR="00B27A6F">
        <w:t>, given the high reliance on usage charges.</w:t>
      </w:r>
      <w:r w:rsidR="008013DA">
        <w:t xml:space="preserve"> </w:t>
      </w:r>
      <w:r w:rsidR="00B27A6F">
        <w:t>This is in an environment where there appears to be little growth in dem</w:t>
      </w:r>
      <w:r w:rsidR="00B27A6F" w:rsidRPr="00592426">
        <w:t xml:space="preserve">and and </w:t>
      </w:r>
      <w:r w:rsidR="00592426">
        <w:t xml:space="preserve">where </w:t>
      </w:r>
      <w:r w:rsidR="00B27A6F">
        <w:t xml:space="preserve">high usage charges </w:t>
      </w:r>
      <w:r w:rsidR="00592426">
        <w:t xml:space="preserve">have the potential to </w:t>
      </w:r>
      <w:r w:rsidR="00B27A6F">
        <w:t xml:space="preserve">create a strong risk of uneconomic bypass by large users. </w:t>
      </w:r>
    </w:p>
    <w:p w14:paraId="771D7332" w14:textId="77777777" w:rsidR="00B27A6F" w:rsidRDefault="00B27A6F" w:rsidP="00B27A6F">
      <w:r>
        <w:t xml:space="preserve">If large users were to bypass the purchase of water from Icon Water, the average bills for the rest of the customer base </w:t>
      </w:r>
      <w:r w:rsidR="009E2FB3">
        <w:t xml:space="preserve">would </w:t>
      </w:r>
      <w:r>
        <w:t>have to incre</w:t>
      </w:r>
      <w:r w:rsidRPr="00592426">
        <w:t>ase materially to cov</w:t>
      </w:r>
      <w:r>
        <w:t>er the predominantly fixed costs of Icon Water.</w:t>
      </w:r>
      <w:r w:rsidR="008013DA">
        <w:t xml:space="preserve"> </w:t>
      </w:r>
      <w:r>
        <w:t xml:space="preserve">It is also better if the structure of charges can readily accommodate variability in demand without prices </w:t>
      </w:r>
      <w:r w:rsidR="00592426">
        <w:t xml:space="preserve">having </w:t>
      </w:r>
      <w:r w:rsidR="009E2FB3">
        <w:t xml:space="preserve">to </w:t>
      </w:r>
      <w:proofErr w:type="gramStart"/>
      <w:r w:rsidR="009E2FB3">
        <w:t>be reset</w:t>
      </w:r>
      <w:proofErr w:type="gramEnd"/>
      <w:r w:rsidR="009E2FB3">
        <w:t xml:space="preserve"> </w:t>
      </w:r>
      <w:r w:rsidRPr="00592426">
        <w:t>frequently.</w:t>
      </w:r>
    </w:p>
    <w:p w14:paraId="3FD937A8" w14:textId="77777777" w:rsidR="00B27A6F" w:rsidRDefault="00B27A6F" w:rsidP="00B27A6F">
      <w:pPr>
        <w:pStyle w:val="Heading3"/>
        <w:numPr>
          <w:ilvl w:val="0"/>
          <w:numId w:val="0"/>
        </w:numPr>
      </w:pPr>
      <w:r>
        <w:t>5.2.3</w:t>
      </w:r>
      <w:r>
        <w:tab/>
        <w:t>Addressing fairness concerns</w:t>
      </w:r>
    </w:p>
    <w:p w14:paraId="0B38F07E" w14:textId="77777777" w:rsidR="00B27A6F" w:rsidRDefault="00B27A6F" w:rsidP="00B27A6F">
      <w:r>
        <w:t>In addressing relevant fairness or equity concerns</w:t>
      </w:r>
      <w:r w:rsidR="009E2FB3">
        <w:t xml:space="preserve"> – </w:t>
      </w:r>
      <w:r w:rsidR="000D252B">
        <w:t>that is,</w:t>
      </w:r>
      <w:r>
        <w:t xml:space="preserve"> concerns about the fairness of changes for those who have made investments in water</w:t>
      </w:r>
      <w:r w:rsidR="009E2FB3">
        <w:t>-</w:t>
      </w:r>
      <w:r>
        <w:t>saving technologies and for low</w:t>
      </w:r>
      <w:r w:rsidR="009E2FB3">
        <w:t>-</w:t>
      </w:r>
      <w:r>
        <w:t>income consumers affected by tariff changes</w:t>
      </w:r>
      <w:r w:rsidR="009E2FB3">
        <w:t xml:space="preserve"> –</w:t>
      </w:r>
      <w:r>
        <w:t xml:space="preserve"> the preferred direction for change entails two key features.</w:t>
      </w:r>
      <w:r w:rsidR="008013DA">
        <w:t xml:space="preserve"> </w:t>
      </w:r>
      <w:r>
        <w:t xml:space="preserve">As in the </w:t>
      </w:r>
      <w:r w:rsidR="009E2FB3">
        <w:t>d</w:t>
      </w:r>
      <w:r>
        <w:t xml:space="preserve">raft </w:t>
      </w:r>
      <w:r w:rsidR="009E2FB3">
        <w:t>r</w:t>
      </w:r>
      <w:r>
        <w:t>eport</w:t>
      </w:r>
      <w:r w:rsidR="00D348D5">
        <w:t>,</w:t>
      </w:r>
      <w:r>
        <w:t xml:space="preserve"> it </w:t>
      </w:r>
      <w:proofErr w:type="gramStart"/>
      <w:r>
        <w:t>is proposed</w:t>
      </w:r>
      <w:proofErr w:type="gramEnd"/>
      <w:r>
        <w:t xml:space="preserve"> that any changes to tariffs should be gradual and measured in order to avoid abrupt changes in bills purely associated with the tariff structure changes.</w:t>
      </w:r>
      <w:r w:rsidR="008013DA">
        <w:t xml:space="preserve"> </w:t>
      </w:r>
      <w:r>
        <w:t>A gradual transition would recognise the impact on households and businesses that had made investments in water</w:t>
      </w:r>
      <w:r w:rsidR="00D348D5">
        <w:t>-</w:t>
      </w:r>
      <w:r>
        <w:t xml:space="preserve">saving technologies </w:t>
      </w:r>
      <w:r w:rsidR="00D348D5">
        <w:t xml:space="preserve">and </w:t>
      </w:r>
      <w:r>
        <w:t xml:space="preserve">might receive lower benefits </w:t>
      </w:r>
      <w:r w:rsidR="00592426">
        <w:t xml:space="preserve">from those investments </w:t>
      </w:r>
      <w:r>
        <w:t xml:space="preserve">if </w:t>
      </w:r>
      <w:r w:rsidR="00D348D5">
        <w:t xml:space="preserve">the </w:t>
      </w:r>
      <w:r>
        <w:t xml:space="preserve">Tier 2 usage price </w:t>
      </w:r>
      <w:proofErr w:type="gramStart"/>
      <w:r w:rsidR="00D348D5">
        <w:t>were reduced</w:t>
      </w:r>
      <w:proofErr w:type="gramEnd"/>
      <w:r>
        <w:t>.</w:t>
      </w:r>
      <w:r w:rsidR="008013DA">
        <w:t xml:space="preserve"> </w:t>
      </w:r>
    </w:p>
    <w:p w14:paraId="226EB7B0" w14:textId="77777777" w:rsidR="00B27A6F" w:rsidRDefault="00B27A6F" w:rsidP="00B27A6F">
      <w:r>
        <w:t>However, a gradual transition by itself is not likely to be sufficient to limit adverse impacts on low</w:t>
      </w:r>
      <w:r w:rsidR="00D348D5">
        <w:t>-</w:t>
      </w:r>
      <w:r>
        <w:t xml:space="preserve">income households, if the </w:t>
      </w:r>
      <w:proofErr w:type="gramStart"/>
      <w:r>
        <w:t>end point</w:t>
      </w:r>
      <w:proofErr w:type="gramEnd"/>
      <w:r>
        <w:t xml:space="preserve"> entails materially higher charges for low</w:t>
      </w:r>
      <w:r w:rsidR="00D348D5">
        <w:t>-</w:t>
      </w:r>
      <w:r>
        <w:t>income households.</w:t>
      </w:r>
      <w:r w:rsidR="008013DA">
        <w:t xml:space="preserve"> </w:t>
      </w:r>
      <w:r>
        <w:t xml:space="preserve">This implies that restructuring of tariffs would need to </w:t>
      </w:r>
      <w:proofErr w:type="gramStart"/>
      <w:r>
        <w:t xml:space="preserve">be </w:t>
      </w:r>
      <w:r>
        <w:lastRenderedPageBreak/>
        <w:t>coupled</w:t>
      </w:r>
      <w:proofErr w:type="gramEnd"/>
      <w:r>
        <w:t xml:space="preserve"> with other policy measures such as rebates for low</w:t>
      </w:r>
      <w:r w:rsidR="00D348D5">
        <w:t>-</w:t>
      </w:r>
      <w:r>
        <w:t xml:space="preserve">income households to avoid or ameliorate adverse impacts. </w:t>
      </w:r>
    </w:p>
    <w:p w14:paraId="0C89B155" w14:textId="77777777" w:rsidR="00B27A6F" w:rsidRDefault="00B27A6F" w:rsidP="00B27A6F">
      <w:r>
        <w:t xml:space="preserve">Ideally, the relevant fairness or equity objective </w:t>
      </w:r>
      <w:proofErr w:type="gramStart"/>
      <w:r>
        <w:t>should be clearly defined and addressed</w:t>
      </w:r>
      <w:proofErr w:type="gramEnd"/>
      <w:r>
        <w:t>.</w:t>
      </w:r>
      <w:r w:rsidR="008013DA">
        <w:t xml:space="preserve"> </w:t>
      </w:r>
      <w:r>
        <w:t xml:space="preserve">The options for this may need to also involve other arms of </w:t>
      </w:r>
      <w:proofErr w:type="gramStart"/>
      <w:r>
        <w:t>government</w:t>
      </w:r>
      <w:proofErr w:type="gramEnd"/>
      <w:r>
        <w:t xml:space="preserve"> as there is limited scope</w:t>
      </w:r>
      <w:r w:rsidRPr="008E220C">
        <w:t xml:space="preserve"> to use the tariff structure to addre</w:t>
      </w:r>
      <w:r w:rsidRPr="00592426">
        <w:t>ss equity objectives.</w:t>
      </w:r>
      <w:r w:rsidR="008013DA" w:rsidRPr="00592426">
        <w:t xml:space="preserve"> </w:t>
      </w:r>
    </w:p>
    <w:p w14:paraId="1964CDEB" w14:textId="77777777" w:rsidR="00B27A6F" w:rsidRDefault="00B27A6F" w:rsidP="00B27A6F">
      <w:r>
        <w:t>One approach could be to allow discounts or a rebate system in relation to the fixed charge that would be available for low</w:t>
      </w:r>
      <w:r w:rsidR="00D348D5">
        <w:t>-</w:t>
      </w:r>
      <w:r>
        <w:t>income households.</w:t>
      </w:r>
      <w:r w:rsidR="008013DA">
        <w:t xml:space="preserve"> </w:t>
      </w:r>
      <w:r w:rsidR="00D348D5">
        <w:t>I</w:t>
      </w:r>
      <w:r>
        <w:t xml:space="preserve">t </w:t>
      </w:r>
      <w:proofErr w:type="gramStart"/>
      <w:r>
        <w:t>is noted</w:t>
      </w:r>
      <w:proofErr w:type="gramEnd"/>
      <w:r>
        <w:t xml:space="preserve"> that Icon Water did in the past offer a substantial discou</w:t>
      </w:r>
      <w:r w:rsidR="00D348D5">
        <w:t>nt for customers classified as ‘Utilities Concession Customers’</w:t>
      </w:r>
      <w:r>
        <w:t>.</w:t>
      </w:r>
      <w:r w:rsidR="008013DA">
        <w:t xml:space="preserve"> </w:t>
      </w:r>
      <w:r>
        <w:t>These are customers holding pensioner, health care card or life support concessions.</w:t>
      </w:r>
      <w:r w:rsidR="008013DA">
        <w:t xml:space="preserve"> </w:t>
      </w:r>
      <w:r>
        <w:t>Icon Water provided a discount to these customers on behalf of the ACT Government.</w:t>
      </w:r>
      <w:r w:rsidR="008013DA">
        <w:t xml:space="preserve"> </w:t>
      </w:r>
      <w:r>
        <w:t>However, this sche</w:t>
      </w:r>
      <w:r w:rsidR="00D348D5">
        <w:t xml:space="preserve">me </w:t>
      </w:r>
      <w:proofErr w:type="gramStart"/>
      <w:r w:rsidR="00D348D5">
        <w:t>was discontinued</w:t>
      </w:r>
      <w:proofErr w:type="gramEnd"/>
      <w:r w:rsidR="00D348D5">
        <w:t xml:space="preserve"> in the 2016–</w:t>
      </w:r>
      <w:r>
        <w:t>17 Budget when the energy and utility concession and the water and sewerage rebate were combined into one concession from 1 July 2017.</w:t>
      </w:r>
      <w:r w:rsidR="008013DA">
        <w:t xml:space="preserve"> </w:t>
      </w:r>
      <w:r>
        <w:t xml:space="preserve">This change </w:t>
      </w:r>
      <w:proofErr w:type="gramStart"/>
      <w:r>
        <w:t>was motivated</w:t>
      </w:r>
      <w:proofErr w:type="gramEnd"/>
      <w:r>
        <w:t xml:space="preserve"> by a concern that many low</w:t>
      </w:r>
      <w:r w:rsidR="00D348D5">
        <w:t>-</w:t>
      </w:r>
      <w:r>
        <w:t xml:space="preserve">income households renting their accommodation did not receive the water and sewerage concession because the water and sewerage bill was not in their name. </w:t>
      </w:r>
    </w:p>
    <w:p w14:paraId="4B3C6126" w14:textId="77777777" w:rsidR="00B27A6F" w:rsidRDefault="00B27A6F" w:rsidP="00B27A6F">
      <w:r>
        <w:t>However, there may be scope to amend the combined concession system to provide compensation for an increase in the fixed charges for water for low</w:t>
      </w:r>
      <w:r w:rsidR="00D348D5">
        <w:t>-</w:t>
      </w:r>
      <w:r>
        <w:t>income households.</w:t>
      </w:r>
      <w:r w:rsidR="008013DA">
        <w:t xml:space="preserve"> </w:t>
      </w:r>
      <w:r>
        <w:t xml:space="preserve">Discussions with other parts of government </w:t>
      </w:r>
      <w:proofErr w:type="gramStart"/>
      <w:r>
        <w:t>would be needed</w:t>
      </w:r>
      <w:proofErr w:type="gramEnd"/>
      <w:r>
        <w:t xml:space="preserve"> in the consideration of this or other options that could be pursued to address concerns about impacts on bills for low</w:t>
      </w:r>
      <w:r w:rsidR="00D348D5">
        <w:t>-</w:t>
      </w:r>
      <w:r>
        <w:t>income households.</w:t>
      </w:r>
    </w:p>
    <w:p w14:paraId="6667D228" w14:textId="77777777" w:rsidR="00B27A6F" w:rsidRDefault="00B27A6F" w:rsidP="00B27A6F">
      <w:r w:rsidRPr="008E220C">
        <w:t>Another approach might be to allow the fixed charge to vary with customer characteristics.</w:t>
      </w:r>
      <w:r w:rsidR="008013DA">
        <w:t xml:space="preserve"> </w:t>
      </w:r>
      <w:r w:rsidRPr="008E220C">
        <w:t xml:space="preserve">Relevant customer characteristics could include business or household user, size of </w:t>
      </w:r>
      <w:r w:rsidRPr="0019082C">
        <w:t>meter and property values.</w:t>
      </w:r>
      <w:r w:rsidR="008013DA">
        <w:t xml:space="preserve"> </w:t>
      </w:r>
    </w:p>
    <w:p w14:paraId="37F64331" w14:textId="77777777" w:rsidR="00B27A6F" w:rsidRDefault="00B27A6F" w:rsidP="00B27A6F">
      <w:r>
        <w:t xml:space="preserve">As discussed in the </w:t>
      </w:r>
      <w:r w:rsidR="00D348D5">
        <w:t>i</w:t>
      </w:r>
      <w:r>
        <w:t xml:space="preserve">ssues </w:t>
      </w:r>
      <w:r w:rsidR="00D348D5">
        <w:t>p</w:t>
      </w:r>
      <w:r>
        <w:t>aper, a number of utilities in other jurisdictions have different tariffs for residential and business customers.</w:t>
      </w:r>
      <w:r w:rsidR="008013DA">
        <w:t xml:space="preserve"> </w:t>
      </w:r>
      <w:r>
        <w:t>The Icon Water submiss</w:t>
      </w:r>
      <w:r w:rsidRPr="00592426">
        <w:t xml:space="preserve">ion </w:t>
      </w:r>
      <w:r w:rsidR="00592426">
        <w:t xml:space="preserve">on </w:t>
      </w:r>
      <w:r>
        <w:t xml:space="preserve">the </w:t>
      </w:r>
      <w:r w:rsidR="00D348D5">
        <w:t>d</w:t>
      </w:r>
      <w:r>
        <w:t xml:space="preserve">raft </w:t>
      </w:r>
      <w:r w:rsidR="00D348D5">
        <w:t>r</w:t>
      </w:r>
      <w:r>
        <w:t>eport noted that many of the large water utilities have supply charges based on meter size for non-residential customers.</w:t>
      </w:r>
      <w:r>
        <w:rPr>
          <w:rStyle w:val="FootnoteReference"/>
        </w:rPr>
        <w:footnoteReference w:id="50"/>
      </w:r>
      <w:r w:rsidR="008013DA">
        <w:t xml:space="preserve"> </w:t>
      </w:r>
      <w:r>
        <w:t xml:space="preserve">Appendix 3 in the </w:t>
      </w:r>
      <w:r w:rsidR="00D348D5">
        <w:t>d</w:t>
      </w:r>
      <w:r>
        <w:t xml:space="preserve">raft </w:t>
      </w:r>
      <w:r w:rsidR="00D348D5">
        <w:t>r</w:t>
      </w:r>
      <w:r>
        <w:t>eport</w:t>
      </w:r>
      <w:r w:rsidR="00D348D5">
        <w:t xml:space="preserve">, which </w:t>
      </w:r>
      <w:proofErr w:type="gramStart"/>
      <w:r w:rsidR="00D348D5">
        <w:t>is</w:t>
      </w:r>
      <w:r>
        <w:t xml:space="preserve"> re-presented</w:t>
      </w:r>
      <w:proofErr w:type="gramEnd"/>
      <w:r>
        <w:t xml:space="preserve"> in this report</w:t>
      </w:r>
      <w:r w:rsidR="00D348D5">
        <w:t>,</w:t>
      </w:r>
      <w:r>
        <w:t xml:space="preserve"> confirms very high fixed supply charg</w:t>
      </w:r>
      <w:r w:rsidRPr="00592426">
        <w:t xml:space="preserve">es </w:t>
      </w:r>
      <w:r w:rsidR="00592426">
        <w:t>by</w:t>
      </w:r>
      <w:r w:rsidR="00592426" w:rsidRPr="00592426">
        <w:t xml:space="preserve"> </w:t>
      </w:r>
      <w:r w:rsidRPr="00592426">
        <w:t>Sy</w:t>
      </w:r>
      <w:r>
        <w:t>dney Water, TasWater and Hunter Water for large business connections.</w:t>
      </w:r>
    </w:p>
    <w:p w14:paraId="7D7C6F89" w14:textId="77777777" w:rsidR="00B27A6F" w:rsidRDefault="00B27A6F" w:rsidP="00B27A6F">
      <w:r>
        <w:t>Some large users may require proportionately more water transport and connection infrastructure than small u</w:t>
      </w:r>
      <w:r w:rsidRPr="00F466DB">
        <w:t>sers</w:t>
      </w:r>
      <w:r w:rsidR="00F466DB">
        <w:t>, which suggests</w:t>
      </w:r>
      <w:r w:rsidRPr="00F466DB">
        <w:t xml:space="preserve"> that there is a partial cost-causation rationale for a higher fixed charge, but such a consideration wo</w:t>
      </w:r>
      <w:r>
        <w:t>uld also need to take account of the risk of bypas</w:t>
      </w:r>
      <w:r w:rsidRPr="00F466DB">
        <w:t>s.</w:t>
      </w:r>
      <w:r w:rsidR="008013DA" w:rsidRPr="00F466DB">
        <w:t xml:space="preserve"> </w:t>
      </w:r>
      <w:r w:rsidR="00367CDC" w:rsidRPr="00F466DB">
        <w:t>Consideration of the</w:t>
      </w:r>
      <w:r w:rsidRPr="00F466DB">
        <w:t xml:space="preserve"> bypass </w:t>
      </w:r>
      <w:r w:rsidR="00367CDC" w:rsidRPr="00F466DB">
        <w:t xml:space="preserve">risk </w:t>
      </w:r>
      <w:r w:rsidRPr="00F466DB">
        <w:t>ne</w:t>
      </w:r>
      <w:r>
        <w:t>eds to have regard to the total bill for large users</w:t>
      </w:r>
      <w:r w:rsidR="00367CDC">
        <w:t>,</w:t>
      </w:r>
      <w:r>
        <w:t xml:space="preserve"> which </w:t>
      </w:r>
      <w:r w:rsidR="00367CDC">
        <w:t>should</w:t>
      </w:r>
      <w:r>
        <w:t xml:space="preserve"> be less than the average stand-alone costs that large users may face if they can purchase from alternative sources.</w:t>
      </w:r>
      <w:r w:rsidR="008013DA">
        <w:t xml:space="preserve"> </w:t>
      </w:r>
      <w:r>
        <w:t>As a result</w:t>
      </w:r>
      <w:r w:rsidR="00367CDC">
        <w:t>,</w:t>
      </w:r>
      <w:r>
        <w:t xml:space="preserve"> </w:t>
      </w:r>
      <w:r w:rsidR="00F466DB">
        <w:t>it would be necessary</w:t>
      </w:r>
      <w:r w:rsidRPr="00F466DB">
        <w:t xml:space="preserve"> to </w:t>
      </w:r>
      <w:r w:rsidR="00F466DB">
        <w:t>have</w:t>
      </w:r>
      <w:r w:rsidR="00F466DB" w:rsidRPr="00F466DB">
        <w:t xml:space="preserve"> </w:t>
      </w:r>
      <w:r w:rsidRPr="00F466DB">
        <w:t>s</w:t>
      </w:r>
      <w:r>
        <w:t xml:space="preserve">ome flexibility </w:t>
      </w:r>
      <w:r w:rsidR="00F466DB">
        <w:t xml:space="preserve">in </w:t>
      </w:r>
      <w:r>
        <w:t xml:space="preserve">total charges for high </w:t>
      </w:r>
      <w:r w:rsidRPr="00F466DB">
        <w:t>water users to ensure they do not bypass the supply of water services provided by Icon</w:t>
      </w:r>
      <w:r>
        <w:t xml:space="preserve"> Water.</w:t>
      </w:r>
    </w:p>
    <w:p w14:paraId="29CFD893" w14:textId="77777777" w:rsidR="00B27A6F" w:rsidRDefault="00B27A6F" w:rsidP="00B27A6F">
      <w:r>
        <w:lastRenderedPageBreak/>
        <w:t>If there is no scope for some variation in the fixed charge across usage groups and there is a strong community expectation to avoid material increases in water bills for low</w:t>
      </w:r>
      <w:r w:rsidR="00367CDC">
        <w:t>-</w:t>
      </w:r>
      <w:r>
        <w:t>income or low</w:t>
      </w:r>
      <w:r w:rsidR="00367CDC">
        <w:t>-</w:t>
      </w:r>
      <w:r>
        <w:t>demand water users, then only very modest changes in the direction of a more efficient structure are likely to be acceptable.</w:t>
      </w:r>
    </w:p>
    <w:p w14:paraId="25B45858" w14:textId="77777777" w:rsidR="00B27A6F" w:rsidRDefault="00B27A6F" w:rsidP="00B27A6F">
      <w:pPr>
        <w:pStyle w:val="Heading3"/>
        <w:numPr>
          <w:ilvl w:val="0"/>
          <w:numId w:val="0"/>
        </w:numPr>
      </w:pPr>
      <w:r>
        <w:t>5.2.4</w:t>
      </w:r>
      <w:r>
        <w:tab/>
        <w:t>Short</w:t>
      </w:r>
      <w:r w:rsidR="00367CDC">
        <w:t>-</w:t>
      </w:r>
      <w:r>
        <w:t>run marginal cost or long</w:t>
      </w:r>
      <w:r w:rsidR="00367CDC">
        <w:t>-</w:t>
      </w:r>
      <w:r>
        <w:t>run marginal cost as the marginal usage charge</w:t>
      </w:r>
    </w:p>
    <w:p w14:paraId="12ADF2C0" w14:textId="77777777" w:rsidR="00B27A6F" w:rsidRDefault="00B27A6F" w:rsidP="00B27A6F">
      <w:r>
        <w:t>On the choice between setting the usage prices with refer</w:t>
      </w:r>
      <w:r w:rsidRPr="00F466DB">
        <w:t xml:space="preserve">ence to </w:t>
      </w:r>
      <w:r w:rsidR="00F466DB">
        <w:t xml:space="preserve">the </w:t>
      </w:r>
      <w:r w:rsidRPr="00F466DB">
        <w:t>sh</w:t>
      </w:r>
      <w:r>
        <w:t>ort</w:t>
      </w:r>
      <w:r w:rsidR="00367CDC">
        <w:t>-run</w:t>
      </w:r>
      <w:r>
        <w:t xml:space="preserve"> or </w:t>
      </w:r>
      <w:proofErr w:type="gramStart"/>
      <w:r>
        <w:t>long</w:t>
      </w:r>
      <w:r w:rsidR="00367CDC">
        <w:t>-</w:t>
      </w:r>
      <w:r>
        <w:t>run</w:t>
      </w:r>
      <w:proofErr w:type="gramEnd"/>
      <w:r>
        <w:t xml:space="preserve"> marginal cost, the Commission concluded in the </w:t>
      </w:r>
      <w:r w:rsidR="00367CDC">
        <w:t>d</w:t>
      </w:r>
      <w:r>
        <w:t xml:space="preserve">raft </w:t>
      </w:r>
      <w:r w:rsidR="00367CDC">
        <w:t>r</w:t>
      </w:r>
      <w:r>
        <w:t>eport that, in principle, short</w:t>
      </w:r>
      <w:r w:rsidR="00367CDC">
        <w:t>-</w:t>
      </w:r>
      <w:r>
        <w:t>run marginal cost pricing is the efficient basis for pricing</w:t>
      </w:r>
      <w:r w:rsidR="00367CDC">
        <w:t>,</w:t>
      </w:r>
      <w:r>
        <w:t xml:space="preserve"> but that, in practice, a long</w:t>
      </w:r>
      <w:r w:rsidR="00367CDC">
        <w:t>-</w:t>
      </w:r>
      <w:r>
        <w:t>run measure is preferred.</w:t>
      </w:r>
      <w:r>
        <w:rPr>
          <w:rStyle w:val="FootnoteReference"/>
        </w:rPr>
        <w:footnoteReference w:id="51"/>
      </w:r>
      <w:r w:rsidR="008013DA">
        <w:t xml:space="preserve"> </w:t>
      </w:r>
    </w:p>
    <w:p w14:paraId="36466DDE" w14:textId="77777777" w:rsidR="00B27A6F" w:rsidRDefault="00871C75" w:rsidP="00B27A6F">
      <w:r>
        <w:t>The s</w:t>
      </w:r>
      <w:r w:rsidR="00B27A6F">
        <w:t>hort</w:t>
      </w:r>
      <w:r w:rsidR="00367CDC">
        <w:t>-</w:t>
      </w:r>
      <w:r w:rsidR="00B27A6F">
        <w:t xml:space="preserve">run marginal cost is relevant provided it </w:t>
      </w:r>
      <w:proofErr w:type="gramStart"/>
      <w:r w:rsidR="00B27A6F">
        <w:t>is defined</w:t>
      </w:r>
      <w:proofErr w:type="gramEnd"/>
      <w:r w:rsidR="00B27A6F">
        <w:t xml:space="preserve"> comprehensive</w:t>
      </w:r>
      <w:r>
        <w:t>ly</w:t>
      </w:r>
      <w:r w:rsidR="00B27A6F">
        <w:t xml:space="preserve"> to include all of the costs incurred by society when additional consumption of water occurs.</w:t>
      </w:r>
      <w:r w:rsidR="008013DA">
        <w:t xml:space="preserve"> </w:t>
      </w:r>
      <w:r w:rsidR="00B27A6F">
        <w:t xml:space="preserve">This includes operating costs, the costs of using the water itself and any externality costs (e.g. adverse environmental effects) that </w:t>
      </w:r>
      <w:proofErr w:type="gramStart"/>
      <w:r w:rsidR="00B27A6F">
        <w:t>are linked</w:t>
      </w:r>
      <w:proofErr w:type="gramEnd"/>
      <w:r w:rsidR="00B27A6F">
        <w:t xml:space="preserve"> to additional consumption.</w:t>
      </w:r>
      <w:r w:rsidR="008013DA">
        <w:t xml:space="preserve"> </w:t>
      </w:r>
      <w:r w:rsidR="00B27A6F">
        <w:t>The short</w:t>
      </w:r>
      <w:r w:rsidR="00367CDC">
        <w:t>-</w:t>
      </w:r>
      <w:r w:rsidR="00B27A6F">
        <w:t>run marginal cost concept is also</w:t>
      </w:r>
      <w:r>
        <w:t>,</w:t>
      </w:r>
      <w:r w:rsidR="00B27A6F">
        <w:t xml:space="preserve"> in effect</w:t>
      </w:r>
      <w:r>
        <w:t>,</w:t>
      </w:r>
      <w:r w:rsidR="00B27A6F">
        <w:t xml:space="preserve"> a</w:t>
      </w:r>
      <w:r w:rsidR="008013DA">
        <w:t xml:space="preserve"> </w:t>
      </w:r>
      <w:r w:rsidR="00B27A6F">
        <w:t>form of scarcity pricing that requires a higher price in times of drought.</w:t>
      </w:r>
      <w:r w:rsidR="008013DA">
        <w:t xml:space="preserve"> </w:t>
      </w:r>
      <w:r w:rsidR="00B27A6F">
        <w:t xml:space="preserve">However, </w:t>
      </w:r>
      <w:r>
        <w:t>it</w:t>
      </w:r>
      <w:r w:rsidR="00B27A6F">
        <w:t xml:space="preserve"> is difficult to implement and</w:t>
      </w:r>
      <w:r w:rsidR="00367CDC">
        <w:t>,</w:t>
      </w:r>
      <w:r w:rsidR="00B27A6F">
        <w:t xml:space="preserve"> as a </w:t>
      </w:r>
      <w:r w:rsidR="001317F7">
        <w:t>result,</w:t>
      </w:r>
      <w:r w:rsidR="00B27A6F">
        <w:t xml:space="preserve"> </w:t>
      </w:r>
      <w:r>
        <w:t xml:space="preserve">the </w:t>
      </w:r>
      <w:r w:rsidR="00B27A6F">
        <w:t>long</w:t>
      </w:r>
      <w:r w:rsidR="00367CDC">
        <w:t>-</w:t>
      </w:r>
      <w:r w:rsidR="00B27A6F">
        <w:t xml:space="preserve">run marginal cost tends to </w:t>
      </w:r>
      <w:proofErr w:type="gramStart"/>
      <w:r w:rsidR="00B27A6F">
        <w:t>be adopted</w:t>
      </w:r>
      <w:proofErr w:type="gramEnd"/>
      <w:r w:rsidR="00B27A6F">
        <w:t xml:space="preserve"> in practice. </w:t>
      </w:r>
    </w:p>
    <w:p w14:paraId="46F1A761" w14:textId="77777777" w:rsidR="00B27A6F" w:rsidRPr="00F51424" w:rsidRDefault="00871C75" w:rsidP="00B27A6F">
      <w:r>
        <w:t>The l</w:t>
      </w:r>
      <w:r w:rsidR="00B27A6F">
        <w:t>ong</w:t>
      </w:r>
      <w:r w:rsidR="00367CDC">
        <w:t>-</w:t>
      </w:r>
      <w:r w:rsidR="00B27A6F">
        <w:t xml:space="preserve">run marginal cost </w:t>
      </w:r>
      <w:r w:rsidR="00B27A6F" w:rsidRPr="00F51424">
        <w:t>provide</w:t>
      </w:r>
      <w:r w:rsidR="00B27A6F">
        <w:t>s</w:t>
      </w:r>
      <w:r w:rsidR="00B27A6F" w:rsidRPr="00F51424">
        <w:t xml:space="preserve"> a signal about the cost of fu</w:t>
      </w:r>
      <w:r w:rsidR="00B27A6F">
        <w:t xml:space="preserve">ture supply augmentation and </w:t>
      </w:r>
      <w:r w:rsidR="00B27A6F" w:rsidRPr="00F51424">
        <w:t>avoid</w:t>
      </w:r>
      <w:r w:rsidR="00B27A6F">
        <w:t>s</w:t>
      </w:r>
      <w:r w:rsidR="00B27A6F" w:rsidRPr="00F51424">
        <w:t xml:space="preserve"> the potential high variability of using a measure of short</w:t>
      </w:r>
      <w:r w:rsidR="00367CDC">
        <w:t>-</w:t>
      </w:r>
      <w:r w:rsidR="00B27A6F" w:rsidRPr="00F51424">
        <w:t>run marginal cost that recognises capacity supply constraints and the value of water.</w:t>
      </w:r>
      <w:r w:rsidR="008013DA">
        <w:t xml:space="preserve"> </w:t>
      </w:r>
    </w:p>
    <w:p w14:paraId="3FAF03E3" w14:textId="77777777" w:rsidR="00B27A6F" w:rsidRDefault="00B27A6F" w:rsidP="00B27A6F">
      <w:proofErr w:type="gramStart"/>
      <w:r>
        <w:t>Provided equity issues can be effectively addressed, the Commission considers that a tariff structure that is more cost</w:t>
      </w:r>
      <w:r w:rsidR="00367CDC">
        <w:t>-</w:t>
      </w:r>
      <w:r>
        <w:t>reflective will enhance community welfare as it would encourage consumers to use water in a way that better reflects the costs to society of using the water supply infrastructure and the water resource itself while providing better assurance of the efficient recovery of the cost of supply.</w:t>
      </w:r>
      <w:proofErr w:type="gramEnd"/>
      <w:r>
        <w:t xml:space="preserve"> </w:t>
      </w:r>
    </w:p>
    <w:p w14:paraId="3834F887" w14:textId="77777777" w:rsidR="00B27A6F" w:rsidRDefault="00B27A6F" w:rsidP="00B27A6F">
      <w:r>
        <w:t>However, in order to balance concerns about the sharing of costs and the community</w:t>
      </w:r>
      <w:r w:rsidR="00DC674F">
        <w:t>’</w:t>
      </w:r>
      <w:r>
        <w:t>s preferences for a strong conservation signal, the starting point for a marginal usage price will most likely need to be considerably higher than the Commission</w:t>
      </w:r>
      <w:r w:rsidR="00DC674F">
        <w:t>’</w:t>
      </w:r>
      <w:r>
        <w:t>s estimates of long</w:t>
      </w:r>
      <w:r w:rsidR="00367CDC">
        <w:t>-</w:t>
      </w:r>
      <w:r>
        <w:t>run marginal costs.</w:t>
      </w:r>
      <w:r w:rsidR="008013DA">
        <w:t xml:space="preserve"> </w:t>
      </w:r>
      <w:r>
        <w:t xml:space="preserve">In addition, adjustment of the marginal usage price would need to </w:t>
      </w:r>
      <w:proofErr w:type="gramStart"/>
      <w:r>
        <w:t>be</w:t>
      </w:r>
      <w:r w:rsidR="00367CDC">
        <w:t xml:space="preserve"> done</w:t>
      </w:r>
      <w:proofErr w:type="gramEnd"/>
      <w:r>
        <w:t xml:space="preserve"> gradual</w:t>
      </w:r>
      <w:r w:rsidR="00367CDC">
        <w:t>ly</w:t>
      </w:r>
      <w:r>
        <w:t xml:space="preserve"> over a long timeframe in order to effectively balance economic, environmental and social objectives. </w:t>
      </w:r>
    </w:p>
    <w:p w14:paraId="632F1D72" w14:textId="77777777" w:rsidR="00B27A6F" w:rsidRDefault="00B27A6F" w:rsidP="00B27A6F">
      <w:r>
        <w:t>Appendix 4 provides a more detailed discussion of the choice of an appropriate measure of marginal cost to help set the marginal usage charge.</w:t>
      </w:r>
    </w:p>
    <w:p w14:paraId="2189866B" w14:textId="77777777" w:rsidR="00B27A6F" w:rsidRDefault="00B27A6F" w:rsidP="00B27A6F">
      <w:pPr>
        <w:pStyle w:val="Heading2a"/>
      </w:pPr>
      <w:bookmarkStart w:id="247" w:name="_Toc476753991"/>
      <w:bookmarkStart w:id="248" w:name="_Toc478465468"/>
      <w:r>
        <w:lastRenderedPageBreak/>
        <w:t>5.3</w:t>
      </w:r>
      <w:r>
        <w:tab/>
        <w:t>Submissions and Commission</w:t>
      </w:r>
      <w:r w:rsidR="00DC674F">
        <w:t>’</w:t>
      </w:r>
      <w:r>
        <w:t>s consideration</w:t>
      </w:r>
      <w:bookmarkEnd w:id="247"/>
      <w:bookmarkEnd w:id="248"/>
      <w:r>
        <w:t xml:space="preserve"> </w:t>
      </w:r>
    </w:p>
    <w:p w14:paraId="33F66ED8" w14:textId="77777777" w:rsidR="00A4360B" w:rsidRDefault="00F466DB" w:rsidP="00A4360B">
      <w:r>
        <w:t xml:space="preserve">This section </w:t>
      </w:r>
      <w:r w:rsidR="00871C75">
        <w:t>summarises</w:t>
      </w:r>
      <w:r>
        <w:t xml:space="preserve"> the k</w:t>
      </w:r>
      <w:r w:rsidR="00A4360B">
        <w:t xml:space="preserve">ey points made in submissions </w:t>
      </w:r>
      <w:r w:rsidR="00871C75">
        <w:t>about the</w:t>
      </w:r>
      <w:r>
        <w:t xml:space="preserve"> proposed direction for change, </w:t>
      </w:r>
      <w:r w:rsidR="00A4360B">
        <w:t>followed by the Commission’s consideration.</w:t>
      </w:r>
    </w:p>
    <w:p w14:paraId="1007223F" w14:textId="77777777" w:rsidR="00980AB5" w:rsidRDefault="00A4360B">
      <w:pPr>
        <w:pStyle w:val="Heading3"/>
        <w:numPr>
          <w:ilvl w:val="0"/>
          <w:numId w:val="0"/>
        </w:numPr>
      </w:pPr>
      <w:r>
        <w:t>5.3.1</w:t>
      </w:r>
      <w:r>
        <w:tab/>
        <w:t>Submissions</w:t>
      </w:r>
    </w:p>
    <w:p w14:paraId="7CB99330" w14:textId="77777777" w:rsidR="00B27A6F" w:rsidRDefault="00B27A6F" w:rsidP="00A4360B">
      <w:pPr>
        <w:pStyle w:val="Bodybulletintro"/>
      </w:pPr>
      <w:r>
        <w:t xml:space="preserve">The submissions by Icon Water and the ACT Government included material that focused on specific aspects of the </w:t>
      </w:r>
      <w:proofErr w:type="gramStart"/>
      <w:r w:rsidR="00871C75">
        <w:t>Commission’s</w:t>
      </w:r>
      <w:proofErr w:type="gramEnd"/>
      <w:r w:rsidR="00871C75">
        <w:t xml:space="preserve"> preferred </w:t>
      </w:r>
      <w:r>
        <w:t>direction for reform.</w:t>
      </w:r>
      <w:r w:rsidR="008013DA">
        <w:t xml:space="preserve"> </w:t>
      </w:r>
      <w:r>
        <w:t xml:space="preserve">Most of the points made </w:t>
      </w:r>
      <w:r w:rsidR="00871C75">
        <w:t xml:space="preserve">in </w:t>
      </w:r>
      <w:r>
        <w:t xml:space="preserve">other submissions </w:t>
      </w:r>
      <w:proofErr w:type="gramStart"/>
      <w:r>
        <w:t>were covered</w:t>
      </w:r>
      <w:proofErr w:type="gramEnd"/>
      <w:r>
        <w:t xml:space="preserve"> in Chapter 4 or </w:t>
      </w:r>
      <w:r w:rsidR="00871C75">
        <w:t xml:space="preserve">are </w:t>
      </w:r>
      <w:r>
        <w:t xml:space="preserve">captured in </w:t>
      </w:r>
      <w:r w:rsidR="00871C75">
        <w:t xml:space="preserve">the </w:t>
      </w:r>
      <w:r w:rsidRPr="00871C75">
        <w:t xml:space="preserve">comments </w:t>
      </w:r>
      <w:r w:rsidR="00871C75">
        <w:t>by</w:t>
      </w:r>
      <w:r>
        <w:t xml:space="preserve"> Icon Water and </w:t>
      </w:r>
      <w:r w:rsidR="00871C75">
        <w:t xml:space="preserve">the </w:t>
      </w:r>
      <w:r>
        <w:t>ACT Government. In relation to key features of the preferred change in the tariff structure</w:t>
      </w:r>
      <w:r w:rsidR="00A4360B">
        <w:t>,</w:t>
      </w:r>
      <w:r>
        <w:t xml:space="preserve"> Icon Water:</w:t>
      </w:r>
    </w:p>
    <w:p w14:paraId="7650A380" w14:textId="77777777" w:rsidR="00B27A6F" w:rsidRDefault="00B27A6F" w:rsidP="00B27A6F">
      <w:pPr>
        <w:pStyle w:val="ColorfulList-Accent110"/>
        <w:numPr>
          <w:ilvl w:val="0"/>
          <w:numId w:val="20"/>
        </w:numPr>
      </w:pPr>
      <w:r>
        <w:t>supported the promotion of the use of existing infrastructure where it is valued above marginal cost;</w:t>
      </w:r>
      <w:r>
        <w:rPr>
          <w:rStyle w:val="FootnoteReference"/>
        </w:rPr>
        <w:footnoteReference w:id="52"/>
      </w:r>
    </w:p>
    <w:p w14:paraId="0E9D6A80" w14:textId="77777777" w:rsidR="00B27A6F" w:rsidRDefault="00B27A6F" w:rsidP="00B27A6F">
      <w:pPr>
        <w:pStyle w:val="ColorfulList-Accent110"/>
        <w:numPr>
          <w:ilvl w:val="0"/>
          <w:numId w:val="20"/>
        </w:numPr>
      </w:pPr>
      <w:r>
        <w:t>supported working towards a single usage price that applies to all water use and is significantly lower than the current Tier 2 price;</w:t>
      </w:r>
      <w:r>
        <w:rPr>
          <w:rStyle w:val="FootnoteReference"/>
        </w:rPr>
        <w:footnoteReference w:id="53"/>
      </w:r>
    </w:p>
    <w:p w14:paraId="480B73DC" w14:textId="77777777" w:rsidR="00B27A6F" w:rsidRDefault="00B27A6F" w:rsidP="00B27A6F">
      <w:pPr>
        <w:pStyle w:val="ColorfulList-Accent110"/>
        <w:numPr>
          <w:ilvl w:val="0"/>
          <w:numId w:val="20"/>
        </w:numPr>
      </w:pPr>
      <w:r>
        <w:t xml:space="preserve">supported the implementation of some form of drought pricing in its initial response to the </w:t>
      </w:r>
      <w:r w:rsidR="00A4360B">
        <w:t>i</w:t>
      </w:r>
      <w:r>
        <w:t xml:space="preserve">ssues </w:t>
      </w:r>
      <w:r w:rsidR="00A4360B">
        <w:t>p</w:t>
      </w:r>
      <w:r>
        <w:t>aper</w:t>
      </w:r>
      <w:r>
        <w:rPr>
          <w:rStyle w:val="FootnoteReference"/>
        </w:rPr>
        <w:footnoteReference w:id="54"/>
      </w:r>
      <w:r>
        <w:t xml:space="preserve"> and in its second submission;</w:t>
      </w:r>
      <w:r>
        <w:rPr>
          <w:rStyle w:val="FootnoteReference"/>
        </w:rPr>
        <w:footnoteReference w:id="55"/>
      </w:r>
    </w:p>
    <w:p w14:paraId="7A68A412" w14:textId="77777777" w:rsidR="00B27A6F" w:rsidRDefault="00FC3756" w:rsidP="00B27A6F">
      <w:pPr>
        <w:pStyle w:val="ColorfulList-Accent110"/>
        <w:numPr>
          <w:ilvl w:val="0"/>
          <w:numId w:val="20"/>
        </w:numPr>
      </w:pPr>
      <w:r>
        <w:t>highlighted</w:t>
      </w:r>
      <w:r w:rsidR="00B27A6F">
        <w:t xml:space="preserve"> the need for the tariff structure to discourage uneconomic bypass;</w:t>
      </w:r>
      <w:r w:rsidR="00B27A6F">
        <w:rPr>
          <w:rStyle w:val="FootnoteReference"/>
        </w:rPr>
        <w:footnoteReference w:id="56"/>
      </w:r>
      <w:r w:rsidR="00B27A6F">
        <w:t xml:space="preserve"> and</w:t>
      </w:r>
    </w:p>
    <w:p w14:paraId="1B6B4EFC" w14:textId="77777777" w:rsidR="00B27A6F" w:rsidRDefault="00B27A6F" w:rsidP="00B27A6F">
      <w:pPr>
        <w:pStyle w:val="ColorfulList-Accent110"/>
        <w:numPr>
          <w:ilvl w:val="0"/>
          <w:numId w:val="20"/>
        </w:numPr>
      </w:pPr>
      <w:r>
        <w:t xml:space="preserve">expressed concerns about the extent of rebalancing presented in the </w:t>
      </w:r>
      <w:r w:rsidR="00A4360B">
        <w:t>d</w:t>
      </w:r>
      <w:r>
        <w:t xml:space="preserve">raft </w:t>
      </w:r>
      <w:r w:rsidR="00A4360B">
        <w:t>r</w:t>
      </w:r>
      <w:r>
        <w:t>eport and suggested some adjustments that would be considered fairer by the community</w:t>
      </w:r>
      <w:r w:rsidR="00A4360B">
        <w:t>:</w:t>
      </w:r>
    </w:p>
    <w:p w14:paraId="7EC1EA8A" w14:textId="77777777" w:rsidR="00B27A6F" w:rsidRDefault="00B27A6F" w:rsidP="00B27A6F">
      <w:pPr>
        <w:pStyle w:val="ColorfulList-Accent110"/>
        <w:numPr>
          <w:ilvl w:val="1"/>
          <w:numId w:val="20"/>
        </w:numPr>
      </w:pPr>
      <w:r>
        <w:t xml:space="preserve">introduction of separate residential and non-residential tariffs, with </w:t>
      </w:r>
      <w:r w:rsidR="00A4360B">
        <w:t xml:space="preserve">a </w:t>
      </w:r>
      <w:r>
        <w:t>higher supply charge for non-residential customers;</w:t>
      </w:r>
    </w:p>
    <w:p w14:paraId="704FBDE5" w14:textId="77777777" w:rsidR="00B27A6F" w:rsidRDefault="00B27A6F" w:rsidP="00B27A6F">
      <w:pPr>
        <w:pStyle w:val="ColorfulList-Accent110"/>
        <w:numPr>
          <w:ilvl w:val="1"/>
          <w:numId w:val="20"/>
        </w:numPr>
      </w:pPr>
      <w:r>
        <w:t>supply charges that vary according to customer characteristics such as meter size; and</w:t>
      </w:r>
    </w:p>
    <w:p w14:paraId="3E34ED82" w14:textId="77777777" w:rsidR="00B27A6F" w:rsidRDefault="00B27A6F" w:rsidP="00B27A6F">
      <w:pPr>
        <w:pStyle w:val="ColorfulList-Accent110"/>
        <w:numPr>
          <w:ilvl w:val="1"/>
          <w:numId w:val="20"/>
        </w:numPr>
      </w:pPr>
      <w:proofErr w:type="gramStart"/>
      <w:r>
        <w:t>setting</w:t>
      </w:r>
      <w:proofErr w:type="gramEnd"/>
      <w:r>
        <w:t xml:space="preserve"> </w:t>
      </w:r>
      <w:r w:rsidR="00A4360B">
        <w:t xml:space="preserve">the </w:t>
      </w:r>
      <w:r>
        <w:t xml:space="preserve">price above </w:t>
      </w:r>
      <w:r w:rsidR="00FC3756">
        <w:t xml:space="preserve">the </w:t>
      </w:r>
      <w:r>
        <w:t>marginal cost.</w:t>
      </w:r>
      <w:r w:rsidR="00A4360B">
        <w:rPr>
          <w:rStyle w:val="FootnoteReference"/>
        </w:rPr>
        <w:footnoteReference w:id="57"/>
      </w:r>
    </w:p>
    <w:p w14:paraId="0F885CAF" w14:textId="77777777" w:rsidR="00B27A6F" w:rsidRDefault="00B27A6F" w:rsidP="00A4360B">
      <w:pPr>
        <w:pStyle w:val="Bodybulletintro"/>
      </w:pPr>
      <w:r>
        <w:t>The ACT Government:</w:t>
      </w:r>
    </w:p>
    <w:p w14:paraId="7D5871D9" w14:textId="77777777" w:rsidR="00B27A6F" w:rsidRDefault="00B27A6F" w:rsidP="00B27A6F">
      <w:pPr>
        <w:pStyle w:val="ColorfulList-Accent110"/>
        <w:numPr>
          <w:ilvl w:val="0"/>
          <w:numId w:val="21"/>
        </w:numPr>
      </w:pPr>
      <w:r>
        <w:t>expressed support for improving the economic efficiency of the tariff, entailing rebalancing of the fixed and variable components, but was concerned about addressing social and environmental impacts;</w:t>
      </w:r>
      <w:r>
        <w:rPr>
          <w:rStyle w:val="FootnoteReference"/>
        </w:rPr>
        <w:footnoteReference w:id="58"/>
      </w:r>
    </w:p>
    <w:p w14:paraId="45148E96" w14:textId="77777777" w:rsidR="00B27A6F" w:rsidRDefault="00B27A6F" w:rsidP="00B27A6F">
      <w:pPr>
        <w:pStyle w:val="ColorfulList-Accent110"/>
        <w:numPr>
          <w:ilvl w:val="0"/>
          <w:numId w:val="21"/>
        </w:numPr>
      </w:pPr>
      <w:r>
        <w:lastRenderedPageBreak/>
        <w:t xml:space="preserve">preferred a continuation of the current tariff structure in the next regulatory period but supported a </w:t>
      </w:r>
      <w:r w:rsidR="00C001CF">
        <w:t>10-</w:t>
      </w:r>
      <w:r>
        <w:t>year transition period;</w:t>
      </w:r>
      <w:r>
        <w:rPr>
          <w:rStyle w:val="FootnoteReference"/>
        </w:rPr>
        <w:footnoteReference w:id="59"/>
      </w:r>
    </w:p>
    <w:p w14:paraId="40AEFAF7" w14:textId="77777777" w:rsidR="00B27A6F" w:rsidRDefault="00B27A6F" w:rsidP="00B27A6F">
      <w:pPr>
        <w:pStyle w:val="ColorfulList-Accent110"/>
        <w:numPr>
          <w:ilvl w:val="0"/>
          <w:numId w:val="21"/>
        </w:numPr>
      </w:pPr>
      <w:r>
        <w:t>expressed concern that a single volumetric (usage) price would not provide pricing signals in relation to discretionary and non-discretionary use;</w:t>
      </w:r>
      <w:r>
        <w:rPr>
          <w:rStyle w:val="FootnoteReference"/>
        </w:rPr>
        <w:footnoteReference w:id="60"/>
      </w:r>
    </w:p>
    <w:p w14:paraId="13DEB3D8" w14:textId="77777777" w:rsidR="00B27A6F" w:rsidRDefault="00B27A6F" w:rsidP="00B27A6F">
      <w:pPr>
        <w:pStyle w:val="ColorfulList-Accent110"/>
        <w:numPr>
          <w:ilvl w:val="0"/>
          <w:numId w:val="21"/>
        </w:numPr>
      </w:pPr>
      <w:r>
        <w:t xml:space="preserve">submitted that it would be beneficial if the Commission, in its </w:t>
      </w:r>
      <w:r w:rsidR="00A4360B">
        <w:t>f</w:t>
      </w:r>
      <w:r>
        <w:t xml:space="preserve">inal </w:t>
      </w:r>
      <w:r w:rsidR="00A4360B">
        <w:t>r</w:t>
      </w:r>
      <w:r>
        <w:t xml:space="preserve">eport, demonstrated the consistency of its proposed tariff reforms with the requirements of the </w:t>
      </w:r>
      <w:r w:rsidR="009E7A13" w:rsidRPr="009E7A13">
        <w:rPr>
          <w:i/>
        </w:rPr>
        <w:t>Human Rights Act 2004</w:t>
      </w:r>
      <w:r>
        <w:t>;</w:t>
      </w:r>
      <w:r>
        <w:rPr>
          <w:rStyle w:val="FootnoteReference"/>
        </w:rPr>
        <w:footnoteReference w:id="61"/>
      </w:r>
    </w:p>
    <w:p w14:paraId="61A61E56" w14:textId="77777777" w:rsidR="00B27A6F" w:rsidRDefault="00B27A6F" w:rsidP="00B27A6F">
      <w:pPr>
        <w:pStyle w:val="ColorfulList-Accent110"/>
        <w:numPr>
          <w:ilvl w:val="0"/>
          <w:numId w:val="21"/>
        </w:numPr>
      </w:pPr>
      <w:r>
        <w:t>submitted that if a single volumetric charge was adopted, a drought pricing regime would be required to support other demand management measures;</w:t>
      </w:r>
      <w:r>
        <w:rPr>
          <w:rStyle w:val="FootnoteReference"/>
        </w:rPr>
        <w:footnoteReference w:id="62"/>
      </w:r>
    </w:p>
    <w:p w14:paraId="3CE6C446" w14:textId="77777777" w:rsidR="00B27A6F" w:rsidRDefault="00B27A6F" w:rsidP="00B27A6F">
      <w:pPr>
        <w:pStyle w:val="ColorfulList-Accent110"/>
        <w:numPr>
          <w:ilvl w:val="0"/>
          <w:numId w:val="21"/>
        </w:numPr>
      </w:pPr>
      <w:r>
        <w:t>did not support recovering all historical investment costs through fixed charges;</w:t>
      </w:r>
      <w:r>
        <w:rPr>
          <w:rStyle w:val="FootnoteReference"/>
        </w:rPr>
        <w:footnoteReference w:id="63"/>
      </w:r>
      <w:r w:rsidR="00A4360B">
        <w:t xml:space="preserve"> </w:t>
      </w:r>
      <w:r>
        <w:t>and</w:t>
      </w:r>
    </w:p>
    <w:p w14:paraId="7C049502" w14:textId="77777777" w:rsidR="00B27A6F" w:rsidRDefault="00B27A6F" w:rsidP="00B27A6F">
      <w:pPr>
        <w:pStyle w:val="ColorfulList-Accent110"/>
        <w:numPr>
          <w:ilvl w:val="0"/>
          <w:numId w:val="21"/>
        </w:numPr>
      </w:pPr>
      <w:proofErr w:type="gramStart"/>
      <w:r>
        <w:t>supported</w:t>
      </w:r>
      <w:proofErr w:type="gramEnd"/>
      <w:r>
        <w:t xml:space="preserve"> consideration of the merits of implementing a different charging structure for large users, potentially incorporating a higher fixed charge.</w:t>
      </w:r>
      <w:r>
        <w:rPr>
          <w:rStyle w:val="FootnoteReference"/>
        </w:rPr>
        <w:footnoteReference w:id="64"/>
      </w:r>
    </w:p>
    <w:p w14:paraId="56D556ED" w14:textId="77777777" w:rsidR="00B27A6F" w:rsidRDefault="00D4103B" w:rsidP="00B27A6F">
      <w:r>
        <w:t>The ACT Civil and Administrative Tribunal (</w:t>
      </w:r>
      <w:r w:rsidR="00B27A6F">
        <w:t>ACAT</w:t>
      </w:r>
      <w:r>
        <w:t>)</w:t>
      </w:r>
      <w:r w:rsidR="00B27A6F">
        <w:t xml:space="preserve"> supp</w:t>
      </w:r>
      <w:r w:rsidR="00B27A6F" w:rsidRPr="00FC3756">
        <w:t>orted a</w:t>
      </w:r>
      <w:r w:rsidR="00FC3756">
        <w:t xml:space="preserve"> two-tier</w:t>
      </w:r>
      <w:r w:rsidR="00B27A6F" w:rsidRPr="00FC3756">
        <w:t xml:space="preserve"> inclining block tariff structure to ensure access to an essential service at a reasonable price and encourage conse</w:t>
      </w:r>
      <w:r w:rsidR="00B27A6F">
        <w:t>rvation of water</w:t>
      </w:r>
      <w:r w:rsidR="00794D40">
        <w:t xml:space="preserve"> through a second-tier price</w:t>
      </w:r>
      <w:r w:rsidR="00B27A6F">
        <w:t>.</w:t>
      </w:r>
      <w:r w:rsidR="00B27A6F" w:rsidRPr="00201C9D">
        <w:rPr>
          <w:vertAlign w:val="superscript"/>
        </w:rPr>
        <w:footnoteReference w:id="65"/>
      </w:r>
      <w:r w:rsidR="008013DA">
        <w:t xml:space="preserve"> </w:t>
      </w:r>
      <w:r w:rsidR="00B27A6F">
        <w:t>ACAT did not support a maj</w:t>
      </w:r>
      <w:r w:rsidR="00B27A6F" w:rsidRPr="00FC3756">
        <w:t xml:space="preserve">or </w:t>
      </w:r>
      <w:r w:rsidR="00FC3756">
        <w:t>rebalancing of</w:t>
      </w:r>
      <w:r w:rsidR="00B27A6F">
        <w:t xml:space="preserve"> usage </w:t>
      </w:r>
      <w:r w:rsidR="00FC3756">
        <w:t xml:space="preserve">and </w:t>
      </w:r>
      <w:r w:rsidR="00B27A6F">
        <w:t xml:space="preserve">supply charges, </w:t>
      </w:r>
      <w:r w:rsidR="00794D40">
        <w:t xml:space="preserve">but observed that </w:t>
      </w:r>
      <w:r w:rsidR="00B27A6F">
        <w:t>a modest staged increase in the supply charge may be approp</w:t>
      </w:r>
      <w:r w:rsidR="00B27A6F" w:rsidRPr="00FC3756">
        <w:t>riate</w:t>
      </w:r>
      <w:r w:rsidR="00FC3756">
        <w:t xml:space="preserve">, </w:t>
      </w:r>
      <w:r w:rsidR="00B27A6F" w:rsidRPr="00FC3756">
        <w:t>noting</w:t>
      </w:r>
      <w:r w:rsidR="00FC3756">
        <w:t>, however,</w:t>
      </w:r>
      <w:r w:rsidR="00B27A6F" w:rsidRPr="00FC3756">
        <w:t xml:space="preserve"> the impact</w:t>
      </w:r>
      <w:r w:rsidR="00B27A6F">
        <w:t xml:space="preserve"> </w:t>
      </w:r>
      <w:r w:rsidR="00FC3756">
        <w:t xml:space="preserve">on </w:t>
      </w:r>
      <w:r w:rsidR="00B27A6F">
        <w:t>frugal small users.</w:t>
      </w:r>
      <w:r w:rsidR="00B27A6F">
        <w:rPr>
          <w:rStyle w:val="FootnoteReference"/>
        </w:rPr>
        <w:footnoteReference w:id="66"/>
      </w:r>
    </w:p>
    <w:p w14:paraId="51749CD6" w14:textId="77777777" w:rsidR="00B27A6F" w:rsidRDefault="00B27A6F" w:rsidP="00B27A6F">
      <w:r>
        <w:t>The Canberra Business Chamber also raised concerns that the proposed tariff structure would increase costs to smaller users but reduce the incentive for them to be more efficient in their use of water.</w:t>
      </w:r>
      <w:r w:rsidR="008013DA">
        <w:t xml:space="preserve"> </w:t>
      </w:r>
      <w:r>
        <w:t xml:space="preserve">However, it proposed that non-residential and residential tariffs </w:t>
      </w:r>
      <w:proofErr w:type="gramStart"/>
      <w:r>
        <w:t>be treated</w:t>
      </w:r>
      <w:proofErr w:type="gramEnd"/>
      <w:r>
        <w:t xml:space="preserve"> differently</w:t>
      </w:r>
      <w:r w:rsidR="00C32E8B">
        <w:t>,</w:t>
      </w:r>
      <w:r>
        <w:t xml:space="preserve"> with a medium supply charge and low usage charge for commercial users, a low supply charge and medium usage charge at the higher threshold for residential users</w:t>
      </w:r>
      <w:r w:rsidR="00C32E8B">
        <w:t>,</w:t>
      </w:r>
      <w:r>
        <w:t xml:space="preserve"> and flexible usage pricing when water is scarce.</w:t>
      </w:r>
      <w:r>
        <w:rPr>
          <w:rStyle w:val="FootnoteReference"/>
        </w:rPr>
        <w:footnoteReference w:id="67"/>
      </w:r>
    </w:p>
    <w:p w14:paraId="01B19650" w14:textId="77777777" w:rsidR="00B27A6F" w:rsidRDefault="00B27A6F" w:rsidP="00B27A6F">
      <w:r>
        <w:t>ClubsACT submitted that clubs should receive a discount on water prices in recognition of their contribution to the community.</w:t>
      </w:r>
      <w:r>
        <w:rPr>
          <w:rStyle w:val="FootnoteReference"/>
        </w:rPr>
        <w:footnoteReference w:id="68"/>
      </w:r>
    </w:p>
    <w:p w14:paraId="14E02301" w14:textId="77777777" w:rsidR="00B27A6F" w:rsidRDefault="00B27A6F" w:rsidP="00B27A6F">
      <w:r>
        <w:lastRenderedPageBreak/>
        <w:t>The Federal Golf Club supported a move towards a higher supply charge and lower usage charges.</w:t>
      </w:r>
      <w:r>
        <w:rPr>
          <w:rStyle w:val="FootnoteReference"/>
        </w:rPr>
        <w:footnoteReference w:id="69"/>
      </w:r>
    </w:p>
    <w:p w14:paraId="75AB89B8" w14:textId="77777777" w:rsidR="00B27A6F" w:rsidRDefault="00B27A6F" w:rsidP="00B27A6F">
      <w:r>
        <w:t>Several submissions from the ACT community supported retention of the existing tariff structure, with some noting the potential adverse impacts on low</w:t>
      </w:r>
      <w:r w:rsidR="00C32E8B">
        <w:t>-</w:t>
      </w:r>
      <w:r>
        <w:t xml:space="preserve">income households and incentives to conserve water if the changes set out in the </w:t>
      </w:r>
      <w:r w:rsidR="00C32E8B">
        <w:t>d</w:t>
      </w:r>
      <w:r>
        <w:t xml:space="preserve">raft </w:t>
      </w:r>
      <w:r w:rsidR="00C32E8B">
        <w:t>r</w:t>
      </w:r>
      <w:r>
        <w:t xml:space="preserve">eport </w:t>
      </w:r>
      <w:proofErr w:type="gramStart"/>
      <w:r>
        <w:t>were implemented</w:t>
      </w:r>
      <w:proofErr w:type="gramEnd"/>
      <w:r>
        <w:t>.</w:t>
      </w:r>
      <w:r w:rsidR="008013DA">
        <w:t xml:space="preserve"> </w:t>
      </w:r>
      <w:r>
        <w:t>Some submissions considered that the Tier 2 charge was too high. D</w:t>
      </w:r>
      <w:r w:rsidRPr="00C32E8B">
        <w:t>r Terry Dw</w:t>
      </w:r>
      <w:r>
        <w:t>yer supported a rebalancing of the tariff structure</w:t>
      </w:r>
      <w:r w:rsidR="00C32E8B">
        <w:t>,</w:t>
      </w:r>
      <w:r>
        <w:t xml:space="preserve"> with the fixed charge based on the value added to lands serviced plus a usage charge set at </w:t>
      </w:r>
      <w:r w:rsidR="00794D40">
        <w:t xml:space="preserve">the </w:t>
      </w:r>
      <w:r>
        <w:t>short</w:t>
      </w:r>
      <w:r w:rsidR="00C32E8B">
        <w:t>-</w:t>
      </w:r>
      <w:r>
        <w:t>run marginal cost.</w:t>
      </w:r>
      <w:r>
        <w:rPr>
          <w:rStyle w:val="FootnoteReference"/>
        </w:rPr>
        <w:footnoteReference w:id="70"/>
      </w:r>
      <w:r w:rsidR="008013DA">
        <w:t xml:space="preserve"> </w:t>
      </w:r>
      <w:r>
        <w:t>All of the submissions are summarised in Appendix 1.</w:t>
      </w:r>
    </w:p>
    <w:p w14:paraId="50CF5D11" w14:textId="77777777" w:rsidR="00B27A6F" w:rsidRDefault="00B27A6F" w:rsidP="00B27A6F">
      <w:pPr>
        <w:pStyle w:val="Heading3"/>
        <w:numPr>
          <w:ilvl w:val="0"/>
          <w:numId w:val="0"/>
        </w:numPr>
      </w:pPr>
      <w:r>
        <w:t>5.3.2</w:t>
      </w:r>
      <w:r>
        <w:tab/>
        <w:t>Commission</w:t>
      </w:r>
      <w:r w:rsidR="00DC674F">
        <w:t>’</w:t>
      </w:r>
      <w:r>
        <w:t>s consideration</w:t>
      </w:r>
    </w:p>
    <w:p w14:paraId="3E322D84" w14:textId="77777777" w:rsidR="00B27A6F" w:rsidRDefault="00B27A6F" w:rsidP="00794D40">
      <w:r>
        <w:t>The Commission</w:t>
      </w:r>
      <w:r w:rsidR="00DC674F">
        <w:t>’</w:t>
      </w:r>
      <w:r>
        <w:t xml:space="preserve">s response to the main concerns about changing the </w:t>
      </w:r>
      <w:r w:rsidR="00696502">
        <w:t xml:space="preserve">water </w:t>
      </w:r>
      <w:r>
        <w:t xml:space="preserve">tariff to increase the fixed charge and lower the reliance on usage charges </w:t>
      </w:r>
      <w:proofErr w:type="gramStart"/>
      <w:r>
        <w:t>was presented</w:t>
      </w:r>
      <w:proofErr w:type="gramEnd"/>
      <w:r>
        <w:t xml:space="preserve"> in detail in Chapter 4.</w:t>
      </w:r>
      <w:r w:rsidR="008013DA">
        <w:t xml:space="preserve"> </w:t>
      </w:r>
    </w:p>
    <w:p w14:paraId="260900B7" w14:textId="2BC32643" w:rsidR="00B27A6F" w:rsidRDefault="00794D40" w:rsidP="00B27A6F">
      <w:r>
        <w:t>In</w:t>
      </w:r>
      <w:r w:rsidR="00B27A6F" w:rsidRPr="00794D40">
        <w:t xml:space="preserve"> set</w:t>
      </w:r>
      <w:r>
        <w:t>ting</w:t>
      </w:r>
      <w:r w:rsidR="00B27A6F" w:rsidRPr="00794D40">
        <w:t xml:space="preserve"> out </w:t>
      </w:r>
      <w:r>
        <w:t>its</w:t>
      </w:r>
      <w:r w:rsidRPr="00794D40">
        <w:t xml:space="preserve"> </w:t>
      </w:r>
      <w:r w:rsidR="00B27A6F" w:rsidRPr="00794D40">
        <w:t xml:space="preserve">preferred </w:t>
      </w:r>
      <w:r>
        <w:t>direction for change, the Commission has</w:t>
      </w:r>
      <w:r w:rsidR="00B27A6F" w:rsidRPr="00794D40">
        <w:t xml:space="preserve"> </w:t>
      </w:r>
      <w:r>
        <w:t>noted</w:t>
      </w:r>
      <w:r w:rsidR="00B27A6F" w:rsidRPr="00794D40">
        <w:t xml:space="preserve"> the nee</w:t>
      </w:r>
      <w:r w:rsidR="00B27A6F">
        <w:t xml:space="preserve">d to ensure </w:t>
      </w:r>
      <w:r>
        <w:t>any propos</w:t>
      </w:r>
      <w:r w:rsidR="00696502">
        <w:t>ed</w:t>
      </w:r>
      <w:r>
        <w:t xml:space="preserve"> change</w:t>
      </w:r>
      <w:r w:rsidR="00696502">
        <w:t xml:space="preserve"> to the tariff structure</w:t>
      </w:r>
      <w:r>
        <w:t xml:space="preserve"> </w:t>
      </w:r>
      <w:r w:rsidR="00B27A6F">
        <w:t>has features that effectively address key social issues.</w:t>
      </w:r>
      <w:r w:rsidR="008013DA">
        <w:t xml:space="preserve"> </w:t>
      </w:r>
      <w:r w:rsidR="00B27A6F">
        <w:t>This includes specific features to address adverse impacts on low</w:t>
      </w:r>
      <w:r w:rsidR="00C32E8B">
        <w:t>-</w:t>
      </w:r>
      <w:r w:rsidR="00B27A6F">
        <w:t>income households as well as a long transition period to help reduce adjustment costs.</w:t>
      </w:r>
      <w:r w:rsidR="008013DA">
        <w:t xml:space="preserve"> </w:t>
      </w:r>
    </w:p>
    <w:p w14:paraId="426D2534" w14:textId="77777777" w:rsidR="00B27A6F" w:rsidRDefault="00B27A6F" w:rsidP="00B27A6F">
      <w:r>
        <w:t xml:space="preserve">Specific changes to tariffs </w:t>
      </w:r>
      <w:proofErr w:type="gramStart"/>
      <w:r>
        <w:t>are not proposed</w:t>
      </w:r>
      <w:proofErr w:type="gramEnd"/>
      <w:r>
        <w:t xml:space="preserve"> in this report.</w:t>
      </w:r>
      <w:r w:rsidR="008013DA">
        <w:t xml:space="preserve"> </w:t>
      </w:r>
      <w:r>
        <w:t xml:space="preserve">Any adjustments to the tariff structure </w:t>
      </w:r>
      <w:proofErr w:type="gramStart"/>
      <w:r>
        <w:t>will be made</w:t>
      </w:r>
      <w:proofErr w:type="gramEnd"/>
      <w:r>
        <w:t xml:space="preserve"> as part of the Commission</w:t>
      </w:r>
      <w:r w:rsidR="00DC674F">
        <w:t>’</w:t>
      </w:r>
      <w:r>
        <w:t xml:space="preserve">s investigation into the price direction that will apply for water services from 1 July 2018 to 30 June 2023, when relevant information about costs and demand </w:t>
      </w:r>
      <w:r w:rsidR="00C32E8B">
        <w:t xml:space="preserve">is </w:t>
      </w:r>
      <w:r>
        <w:t>available</w:t>
      </w:r>
      <w:r w:rsidR="00C32E8B">
        <w:t>.</w:t>
      </w:r>
    </w:p>
    <w:p w14:paraId="7039029F" w14:textId="77777777" w:rsidR="00B27A6F" w:rsidRDefault="00B27A6F" w:rsidP="00B27A6F">
      <w:r>
        <w:t xml:space="preserve">In summary, the </w:t>
      </w:r>
      <w:proofErr w:type="gramStart"/>
      <w:r>
        <w:t>Commission</w:t>
      </w:r>
      <w:r w:rsidR="00DC674F">
        <w:t>’</w:t>
      </w:r>
      <w:r>
        <w:t>s</w:t>
      </w:r>
      <w:proofErr w:type="gramEnd"/>
      <w:r>
        <w:t xml:space="preserve"> preferred water services tariff structure for the next regulatory period</w:t>
      </w:r>
      <w:r w:rsidR="00D32B2A">
        <w:t>,</w:t>
      </w:r>
      <w:r>
        <w:t xml:space="preserve"> from 1 July 2018 to 30 June 2023, has the following features:</w:t>
      </w:r>
    </w:p>
    <w:p w14:paraId="56267995" w14:textId="77777777" w:rsidR="00B27A6F" w:rsidRDefault="00B27A6F" w:rsidP="00B27A6F">
      <w:pPr>
        <w:numPr>
          <w:ilvl w:val="0"/>
          <w:numId w:val="22"/>
        </w:numPr>
      </w:pPr>
      <w:r>
        <w:t>Retention of an inclining block tariff structure but with gradual change to reduced reliance on usage charges and higher reliance on the fixed charge calibrated to recover the efficient costs of water supply services provided by Icon Water.</w:t>
      </w:r>
      <w:r w:rsidR="008013DA">
        <w:t xml:space="preserve"> </w:t>
      </w:r>
    </w:p>
    <w:p w14:paraId="1D1331A8" w14:textId="77777777" w:rsidR="00B27A6F" w:rsidRDefault="00B27A6F" w:rsidP="00B27A6F">
      <w:pPr>
        <w:pStyle w:val="ColorfulList-Accent110"/>
        <w:numPr>
          <w:ilvl w:val="0"/>
          <w:numId w:val="22"/>
        </w:numPr>
      </w:pPr>
      <w:r>
        <w:t>Consideration of a separate tariff for different customer groups</w:t>
      </w:r>
      <w:r w:rsidR="00C32E8B">
        <w:t>,</w:t>
      </w:r>
      <w:r>
        <w:t xml:space="preserve"> such as large users</w:t>
      </w:r>
      <w:r w:rsidR="00C32E8B">
        <w:t>,</w:t>
      </w:r>
      <w:r>
        <w:t xml:space="preserve"> and variation of the</w:t>
      </w:r>
      <w:r w:rsidRPr="008E220C">
        <w:t xml:space="preserve"> fixed charge to limit adverse impacts on low</w:t>
      </w:r>
      <w:r w:rsidR="00C32E8B">
        <w:t>-</w:t>
      </w:r>
      <w:r w:rsidRPr="008E220C">
        <w:t>income households</w:t>
      </w:r>
      <w:r>
        <w:t xml:space="preserve">. </w:t>
      </w:r>
    </w:p>
    <w:p w14:paraId="0464BC6C" w14:textId="77777777" w:rsidR="00B27A6F" w:rsidRDefault="00D32B2A" w:rsidP="00B27A6F">
      <w:pPr>
        <w:numPr>
          <w:ilvl w:val="0"/>
          <w:numId w:val="22"/>
        </w:numPr>
      </w:pPr>
      <w:r>
        <w:t xml:space="preserve">Retention of </w:t>
      </w:r>
      <w:r w:rsidR="00B27A6F">
        <w:t>a relatively low Tier 1 usage charge to help contain costs for low</w:t>
      </w:r>
      <w:r w:rsidR="00C32E8B">
        <w:t>-</w:t>
      </w:r>
      <w:r w:rsidR="00B27A6F">
        <w:t>volume users of water.</w:t>
      </w:r>
    </w:p>
    <w:p w14:paraId="279D2C2A" w14:textId="77777777" w:rsidR="00B27A6F" w:rsidRDefault="00B27A6F" w:rsidP="00B27A6F">
      <w:pPr>
        <w:numPr>
          <w:ilvl w:val="0"/>
          <w:numId w:val="22"/>
        </w:numPr>
      </w:pPr>
      <w:r>
        <w:t>Setting the marginal (Tier 2) usage charge at a mark</w:t>
      </w:r>
      <w:r w:rsidR="00C32E8B">
        <w:t>-</w:t>
      </w:r>
      <w:r>
        <w:t xml:space="preserve">up to </w:t>
      </w:r>
      <w:r w:rsidR="00D32B2A">
        <w:t xml:space="preserve">the </w:t>
      </w:r>
      <w:r>
        <w:t>long</w:t>
      </w:r>
      <w:r w:rsidR="00C32E8B">
        <w:t>-</w:t>
      </w:r>
      <w:r>
        <w:t>run marginal cost to reflect the community</w:t>
      </w:r>
      <w:r w:rsidR="00DC674F">
        <w:t>’</w:t>
      </w:r>
      <w:r>
        <w:t xml:space="preserve">s strong preference for water </w:t>
      </w:r>
      <w:r>
        <w:lastRenderedPageBreak/>
        <w:t>conservation while also reducing the high reliance on usage charges for revenue</w:t>
      </w:r>
      <w:r w:rsidR="00C32E8B">
        <w:t>-</w:t>
      </w:r>
      <w:r>
        <w:t>raising purposes.</w:t>
      </w:r>
    </w:p>
    <w:p w14:paraId="53B4122F" w14:textId="77777777" w:rsidR="00B27A6F" w:rsidRDefault="00B27A6F" w:rsidP="00B27A6F">
      <w:pPr>
        <w:numPr>
          <w:ilvl w:val="0"/>
          <w:numId w:val="22"/>
        </w:numPr>
      </w:pPr>
      <w:r>
        <w:t xml:space="preserve">Adjustment of the marginal (Tier 2) usage charge in times of drought </w:t>
      </w:r>
      <w:proofErr w:type="gramStart"/>
      <w:r>
        <w:t>to better reflect</w:t>
      </w:r>
      <w:proofErr w:type="gramEnd"/>
      <w:r>
        <w:t xml:space="preserve"> the scarcity value of water. </w:t>
      </w:r>
    </w:p>
    <w:p w14:paraId="3E2A877D" w14:textId="77777777" w:rsidR="00B27A6F" w:rsidRDefault="00B27A6F" w:rsidP="00B27A6F">
      <w:pPr>
        <w:numPr>
          <w:ilvl w:val="0"/>
          <w:numId w:val="22"/>
        </w:numPr>
      </w:pPr>
      <w:r>
        <w:t xml:space="preserve">Adjustment of charges where necessary to ensure that large users do not opt out of the water supply services provided by Icon Water. </w:t>
      </w:r>
    </w:p>
    <w:p w14:paraId="009CAE44" w14:textId="77777777" w:rsidR="00B27A6F" w:rsidRDefault="00B27A6F" w:rsidP="00B27A6F">
      <w:pPr>
        <w:numPr>
          <w:ilvl w:val="0"/>
          <w:numId w:val="22"/>
        </w:numPr>
      </w:pPr>
      <w:r>
        <w:t>Gradual and measured transition in the tariff structure.</w:t>
      </w:r>
    </w:p>
    <w:p w14:paraId="15D610BE" w14:textId="77777777" w:rsidR="00B27A6F" w:rsidRDefault="00B27A6F" w:rsidP="00B27A6F">
      <w:pPr>
        <w:numPr>
          <w:ilvl w:val="0"/>
          <w:numId w:val="22"/>
        </w:numPr>
      </w:pPr>
      <w:r>
        <w:t>Application of the pricing principles set out in this report as a guide in changing the tariff structure and setting any new tariffs</w:t>
      </w:r>
      <w:r w:rsidR="00C32E8B">
        <w:t>.</w:t>
      </w:r>
    </w:p>
    <w:p w14:paraId="504CF8AE" w14:textId="77777777" w:rsidR="00B27A6F" w:rsidRDefault="00B27A6F" w:rsidP="00B27A6F">
      <w:r>
        <w:t>The Commission considers that</w:t>
      </w:r>
      <w:r w:rsidR="00D32B2A">
        <w:t xml:space="preserve"> this set of features</w:t>
      </w:r>
      <w:r w:rsidRPr="00D32B2A">
        <w:t xml:space="preserve"> represent</w:t>
      </w:r>
      <w:r w:rsidR="00D32B2A">
        <w:t>s</w:t>
      </w:r>
      <w:r>
        <w:t xml:space="preserve"> the best mix to balance economic, social and environmental considerations in the long</w:t>
      </w:r>
      <w:r w:rsidR="00C32E8B">
        <w:t>-</w:t>
      </w:r>
      <w:r>
        <w:t xml:space="preserve">term interests of consumers. </w:t>
      </w:r>
    </w:p>
    <w:p w14:paraId="33ECFE45" w14:textId="77777777" w:rsidR="00B27A6F" w:rsidRDefault="00B27A6F" w:rsidP="00B27A6F">
      <w:r>
        <w:t xml:space="preserve">It should be clear, for example, that the features address most of the specific points of concern highlighted in the submissions. </w:t>
      </w:r>
    </w:p>
    <w:p w14:paraId="25E37123" w14:textId="77777777" w:rsidR="00B27A6F" w:rsidRDefault="00B27A6F" w:rsidP="00B27A6F">
      <w:r>
        <w:t xml:space="preserve">However, it may not be clear how the proposed direction </w:t>
      </w:r>
      <w:r w:rsidR="00D32B2A">
        <w:t xml:space="preserve">for change </w:t>
      </w:r>
      <w:r>
        <w:t>addresses the concern that there are not signals for discretionary and non-discretionary use.</w:t>
      </w:r>
      <w:r w:rsidR="008013DA">
        <w:t xml:space="preserve"> </w:t>
      </w:r>
      <w:r>
        <w:t>From an economic efficiency perspective</w:t>
      </w:r>
      <w:r w:rsidR="00151B59">
        <w:t>,</w:t>
      </w:r>
      <w:r>
        <w:t xml:space="preserve"> there is no meaningful distinction, for price signalling purposes, between discretionary and non-discretionary use because there is a single marginal cost</w:t>
      </w:r>
      <w:r w:rsidR="00151B59">
        <w:t>–</w:t>
      </w:r>
      <w:r>
        <w:t>based price reflecting the impact on society of using an additional unit of water.</w:t>
      </w:r>
      <w:r w:rsidR="008013DA">
        <w:t xml:space="preserve"> </w:t>
      </w:r>
      <w:r>
        <w:t>If there is a concern about the impact on low</w:t>
      </w:r>
      <w:r w:rsidR="00151B59">
        <w:t>-</w:t>
      </w:r>
      <w:r>
        <w:t>income households</w:t>
      </w:r>
      <w:r w:rsidR="00151B59">
        <w:t>,</w:t>
      </w:r>
      <w:r>
        <w:t xml:space="preserve"> that concern </w:t>
      </w:r>
      <w:proofErr w:type="gramStart"/>
      <w:r>
        <w:t>is best addressed</w:t>
      </w:r>
      <w:proofErr w:type="gramEnd"/>
      <w:r>
        <w:t xml:space="preserve"> with a separate well</w:t>
      </w:r>
      <w:r w:rsidR="00151B59">
        <w:t>-</w:t>
      </w:r>
      <w:r>
        <w:t>targeted response.</w:t>
      </w:r>
      <w:r w:rsidR="008013DA">
        <w:t xml:space="preserve"> </w:t>
      </w:r>
      <w:r>
        <w:t>This could include variation in the fixed price for low</w:t>
      </w:r>
      <w:r w:rsidR="00151B59">
        <w:t>-</w:t>
      </w:r>
      <w:r>
        <w:t>income households or a targeted rebate or subsidy system.</w:t>
      </w:r>
      <w:r w:rsidR="008013DA">
        <w:t xml:space="preserve"> </w:t>
      </w:r>
      <w:r>
        <w:t xml:space="preserve">The Commission also notes that many other products and services </w:t>
      </w:r>
      <w:r w:rsidR="00151B59">
        <w:t>have</w:t>
      </w:r>
      <w:r>
        <w:t xml:space="preserve"> an </w:t>
      </w:r>
      <w:r w:rsidR="00DC674F">
        <w:t>‘</w:t>
      </w:r>
      <w:r>
        <w:t>essential</w:t>
      </w:r>
      <w:r w:rsidR="00DC674F">
        <w:t>’</w:t>
      </w:r>
      <w:r>
        <w:t xml:space="preserve"> consumption level but that market prices </w:t>
      </w:r>
      <w:proofErr w:type="gramStart"/>
      <w:r>
        <w:t>are not differentiated</w:t>
      </w:r>
      <w:proofErr w:type="gramEnd"/>
      <w:r>
        <w:t xml:space="preserve"> according to essential and non-essential use.</w:t>
      </w:r>
    </w:p>
    <w:p w14:paraId="21781DEA" w14:textId="77777777" w:rsidR="00B27A6F" w:rsidRPr="00BC5F2A" w:rsidRDefault="00B27A6F" w:rsidP="00B27A6F">
      <w:r w:rsidRPr="00BC5F2A">
        <w:t xml:space="preserve">The issue of appropriate prices for discretionary and non-discretionary use </w:t>
      </w:r>
      <w:proofErr w:type="gramStart"/>
      <w:r w:rsidRPr="00BC5F2A">
        <w:t>is also related</w:t>
      </w:r>
      <w:proofErr w:type="gramEnd"/>
      <w:r w:rsidRPr="00BC5F2A">
        <w:t xml:space="preserve"> to the ACT Government</w:t>
      </w:r>
      <w:r w:rsidR="00DC674F">
        <w:t>’</w:t>
      </w:r>
      <w:r w:rsidRPr="00BC5F2A">
        <w:t xml:space="preserve">s </w:t>
      </w:r>
      <w:r w:rsidR="00151B59">
        <w:t>suggestion</w:t>
      </w:r>
      <w:r w:rsidR="00151B59" w:rsidRPr="00BC5F2A">
        <w:t xml:space="preserve"> </w:t>
      </w:r>
      <w:r w:rsidRPr="00BC5F2A">
        <w:t xml:space="preserve">that the Commission demonstrate that its decisions are compatible with the requirements of the </w:t>
      </w:r>
      <w:r w:rsidRPr="00601988">
        <w:rPr>
          <w:i/>
        </w:rPr>
        <w:t>Human Rights Act 2004</w:t>
      </w:r>
      <w:r w:rsidRPr="00BC5F2A">
        <w:t>. The ACT Government did not note any incompatibilities between the Commission</w:t>
      </w:r>
      <w:r w:rsidR="00DC674F">
        <w:t>’</w:t>
      </w:r>
      <w:r w:rsidRPr="00BC5F2A">
        <w:t xml:space="preserve">s proposed decisions and the Human </w:t>
      </w:r>
      <w:r w:rsidR="00151B59">
        <w:t>R</w:t>
      </w:r>
      <w:r w:rsidRPr="00BC5F2A">
        <w:t>ights Act.</w:t>
      </w:r>
    </w:p>
    <w:p w14:paraId="18205774" w14:textId="77777777" w:rsidR="00B27A6F" w:rsidRPr="00BC5F2A" w:rsidRDefault="00B27A6F" w:rsidP="00B27A6F">
      <w:r w:rsidRPr="00BC5F2A">
        <w:t xml:space="preserve">Under section 30 of the Human Rights Act, the ICRC </w:t>
      </w:r>
      <w:r>
        <w:t xml:space="preserve">Act </w:t>
      </w:r>
      <w:r w:rsidRPr="00BC5F2A">
        <w:t xml:space="preserve">must, </w:t>
      </w:r>
      <w:proofErr w:type="gramStart"/>
      <w:r w:rsidRPr="00BC5F2A">
        <w:t>in so</w:t>
      </w:r>
      <w:proofErr w:type="gramEnd"/>
      <w:r w:rsidRPr="00BC5F2A">
        <w:t xml:space="preserve"> far as it is possible to do so consistently with its purpose, be interpreted in a way that is compatible with human rights. Human rights </w:t>
      </w:r>
      <w:proofErr w:type="gramStart"/>
      <w:r w:rsidRPr="00BC5F2A">
        <w:t>are defined</w:t>
      </w:r>
      <w:proofErr w:type="gramEnd"/>
      <w:r w:rsidRPr="00BC5F2A">
        <w:t xml:space="preserve"> under section 5 of the Human Rights Act to mean civil, political, economic, social and cultural rights. The right to essential </w:t>
      </w:r>
      <w:r>
        <w:t xml:space="preserve">services, as a human right, </w:t>
      </w:r>
      <w:proofErr w:type="gramStart"/>
      <w:r>
        <w:t xml:space="preserve">is </w:t>
      </w:r>
      <w:r w:rsidRPr="00BC5F2A">
        <w:t>not specifically defined</w:t>
      </w:r>
      <w:proofErr w:type="gramEnd"/>
      <w:r w:rsidRPr="00BC5F2A">
        <w:t xml:space="preserve"> in the Human Rights Act or </w:t>
      </w:r>
      <w:r w:rsidR="00151B59">
        <w:t xml:space="preserve">in </w:t>
      </w:r>
      <w:r w:rsidRPr="00BC5F2A">
        <w:t>the international</w:t>
      </w:r>
      <w:r>
        <w:t xml:space="preserve"> human rights treaties. Article</w:t>
      </w:r>
      <w:r w:rsidRPr="00BC5F2A">
        <w:t xml:space="preserve"> 11 of the International Covenant on Economic, Social and Cultural Rights </w:t>
      </w:r>
      <w:proofErr w:type="gramStart"/>
      <w:r w:rsidRPr="00BC5F2A">
        <w:t>does</w:t>
      </w:r>
      <w:r w:rsidR="00151B59">
        <w:t>,</w:t>
      </w:r>
      <w:r w:rsidRPr="00BC5F2A">
        <w:t xml:space="preserve"> however</w:t>
      </w:r>
      <w:r w:rsidR="00151B59">
        <w:t>,</w:t>
      </w:r>
      <w:r w:rsidRPr="00BC5F2A">
        <w:t xml:space="preserve"> set</w:t>
      </w:r>
      <w:proofErr w:type="gramEnd"/>
      <w:r w:rsidRPr="00BC5F2A">
        <w:t xml:space="preserve"> out a broader right to an adequate standard of living.</w:t>
      </w:r>
    </w:p>
    <w:p w14:paraId="2BC7AE85" w14:textId="77777777" w:rsidR="00B27A6F" w:rsidRDefault="00B27A6F" w:rsidP="00B27A6F">
      <w:r>
        <w:lastRenderedPageBreak/>
        <w:t xml:space="preserve">As noted in </w:t>
      </w:r>
      <w:r w:rsidR="00151B59">
        <w:t>C</w:t>
      </w:r>
      <w:r w:rsidRPr="00BC5F2A">
        <w:t xml:space="preserve">hapter </w:t>
      </w:r>
      <w:r>
        <w:t xml:space="preserve">2, </w:t>
      </w:r>
      <w:r w:rsidRPr="00BC5F2A">
        <w:t>one of the Commission</w:t>
      </w:r>
      <w:r w:rsidR="00DC674F">
        <w:t>’</w:t>
      </w:r>
      <w:r w:rsidRPr="00BC5F2A">
        <w:t xml:space="preserve">s objectives under section 7 of the ICRC Act is to facilitate </w:t>
      </w:r>
      <w:r>
        <w:t xml:space="preserve">an appropriate balance between </w:t>
      </w:r>
      <w:r w:rsidR="001A2EBE">
        <w:t xml:space="preserve">economic </w:t>
      </w:r>
      <w:r>
        <w:t xml:space="preserve">efficiency and environmental </w:t>
      </w:r>
      <w:r w:rsidRPr="00BC5F2A">
        <w:t xml:space="preserve">and social considerations. This very balance is one of the primary focuses of the review. It is also important to note the </w:t>
      </w:r>
      <w:proofErr w:type="gramStart"/>
      <w:r w:rsidRPr="00BC5F2A">
        <w:t>Commission</w:t>
      </w:r>
      <w:r w:rsidR="00DC674F">
        <w:t>’</w:t>
      </w:r>
      <w:r w:rsidRPr="00BC5F2A">
        <w:t>s</w:t>
      </w:r>
      <w:proofErr w:type="gramEnd"/>
      <w:r w:rsidRPr="00BC5F2A">
        <w:t xml:space="preserve"> overarching objective to promote efficient investment in, and efficient operation and use of</w:t>
      </w:r>
      <w:r w:rsidR="00151B59">
        <w:t>,</w:t>
      </w:r>
      <w:r w:rsidRPr="00BC5F2A">
        <w:t xml:space="preserve"> regulated services for the long</w:t>
      </w:r>
      <w:r w:rsidR="00151B59">
        <w:t>-</w:t>
      </w:r>
      <w:r w:rsidRPr="00BC5F2A">
        <w:t>term interests of consumers in relation to the price, quality, safety, reliability and security of the service.</w:t>
      </w:r>
    </w:p>
    <w:p w14:paraId="267EF2B1" w14:textId="77777777" w:rsidR="00D26188" w:rsidRPr="00BC5F2A" w:rsidRDefault="00D26188" w:rsidP="006221D2">
      <w:pPr>
        <w:pStyle w:val="Heading3"/>
        <w:numPr>
          <w:ilvl w:val="0"/>
          <w:numId w:val="0"/>
        </w:numPr>
      </w:pPr>
      <w:r>
        <w:t>5.3.3</w:t>
      </w:r>
      <w:r>
        <w:tab/>
        <w:t>Summary assessment of preferred direction for change</w:t>
      </w:r>
    </w:p>
    <w:p w14:paraId="6F3149FD" w14:textId="5BC67621" w:rsidR="00B27A6F" w:rsidRDefault="00B27A6F" w:rsidP="00B27A6F">
      <w:r>
        <w:t xml:space="preserve">A summary assessment </w:t>
      </w:r>
      <w:r w:rsidR="00696502">
        <w:t xml:space="preserve">against the pricing principles </w:t>
      </w:r>
      <w:r>
        <w:t xml:space="preserve">of the </w:t>
      </w:r>
      <w:proofErr w:type="gramStart"/>
      <w:r>
        <w:t>Commission</w:t>
      </w:r>
      <w:r w:rsidR="00DC674F">
        <w:t>’</w:t>
      </w:r>
      <w:r>
        <w:t>s</w:t>
      </w:r>
      <w:proofErr w:type="gramEnd"/>
      <w:r>
        <w:t xml:space="preserve"> preferred direction for a change in the tariff structure is presented in </w:t>
      </w:r>
      <w:r w:rsidR="00316BDF">
        <w:fldChar w:fldCharType="begin"/>
      </w:r>
      <w:r w:rsidR="00316BDF">
        <w:instrText xml:space="preserve"> REF _Ref478473100 \h </w:instrText>
      </w:r>
      <w:r w:rsidR="00316BDF">
        <w:fldChar w:fldCharType="separate"/>
      </w:r>
      <w:r w:rsidR="00316BDF">
        <w:t xml:space="preserve">Table </w:t>
      </w:r>
      <w:r w:rsidR="00316BDF">
        <w:rPr>
          <w:noProof/>
        </w:rPr>
        <w:t>5</w:t>
      </w:r>
      <w:r w:rsidR="00316BDF">
        <w:t>.</w:t>
      </w:r>
      <w:r w:rsidR="00316BDF">
        <w:rPr>
          <w:noProof/>
        </w:rPr>
        <w:t>1</w:t>
      </w:r>
      <w:r w:rsidR="00316BDF">
        <w:fldChar w:fldCharType="end"/>
      </w:r>
      <w:r>
        <w:t>.</w:t>
      </w:r>
    </w:p>
    <w:p w14:paraId="4C43F579" w14:textId="453882B6" w:rsidR="0014748C" w:rsidRPr="00F51C5B" w:rsidRDefault="0014748C" w:rsidP="0014748C">
      <w:pPr>
        <w:pStyle w:val="TableName0"/>
      </w:pPr>
      <w:bookmarkStart w:id="249" w:name="_Ref478473100"/>
      <w:bookmarkStart w:id="250" w:name="_Toc478480708"/>
      <w:r>
        <w:t xml:space="preserve">Table </w:t>
      </w:r>
      <w:r w:rsidR="00702C16">
        <w:fldChar w:fldCharType="begin"/>
      </w:r>
      <w:r w:rsidR="00702C16">
        <w:instrText xml:space="preserve"> STYLEREF 1 \s </w:instrText>
      </w:r>
      <w:r w:rsidR="00702C16">
        <w:fldChar w:fldCharType="separate"/>
      </w:r>
      <w:r w:rsidR="00702C16">
        <w:rPr>
          <w:noProof/>
        </w:rPr>
        <w:t>5</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249"/>
      <w:r>
        <w:tab/>
      </w:r>
      <w:r w:rsidRPr="00F51C5B">
        <w:t>Summary assessment of proposed direction for changes to water tariff structure</w:t>
      </w:r>
      <w:bookmarkEnd w:id="250"/>
    </w:p>
    <w:tbl>
      <w:tblPr>
        <w:tblW w:w="5000"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2590"/>
        <w:gridCol w:w="1514"/>
        <w:gridCol w:w="3607"/>
      </w:tblGrid>
      <w:tr w:rsidR="00B27A6F" w:rsidRPr="00144F8C" w14:paraId="781B8284" w14:textId="77777777" w:rsidTr="006B1EC0">
        <w:trPr>
          <w:cantSplit/>
        </w:trPr>
        <w:tc>
          <w:tcPr>
            <w:tcW w:w="1679" w:type="pct"/>
            <w:tcBorders>
              <w:top w:val="single" w:sz="12" w:space="0" w:color="1F497D"/>
              <w:left w:val="nil"/>
              <w:bottom w:val="single" w:sz="8" w:space="0" w:color="1F497D"/>
              <w:right w:val="nil"/>
            </w:tcBorders>
            <w:shd w:val="clear" w:color="auto" w:fill="DBE5F1"/>
            <w:vAlign w:val="bottom"/>
          </w:tcPr>
          <w:p w14:paraId="2F93835C" w14:textId="77777777" w:rsidR="00B27A6F" w:rsidRPr="00347ADB" w:rsidRDefault="00B27A6F" w:rsidP="003A7D85">
            <w:pPr>
              <w:pStyle w:val="TableHeadingLeft"/>
              <w:keepNext/>
            </w:pPr>
            <w:r>
              <w:t>Principles</w:t>
            </w:r>
          </w:p>
        </w:tc>
        <w:tc>
          <w:tcPr>
            <w:tcW w:w="982" w:type="pct"/>
            <w:tcBorders>
              <w:top w:val="single" w:sz="12" w:space="0" w:color="1F497D"/>
              <w:left w:val="nil"/>
              <w:bottom w:val="single" w:sz="8" w:space="0" w:color="1F497D"/>
              <w:right w:val="nil"/>
            </w:tcBorders>
            <w:shd w:val="clear" w:color="auto" w:fill="DBE5F1"/>
            <w:vAlign w:val="bottom"/>
          </w:tcPr>
          <w:p w14:paraId="49232DE6" w14:textId="77777777" w:rsidR="00B27A6F" w:rsidRPr="00347ADB" w:rsidRDefault="00B27A6F" w:rsidP="003A7D85">
            <w:pPr>
              <w:pStyle w:val="TableHeadingLeft"/>
              <w:keepNext/>
              <w:jc w:val="center"/>
            </w:pPr>
            <w:r>
              <w:t>Assessment</w:t>
            </w:r>
          </w:p>
        </w:tc>
        <w:tc>
          <w:tcPr>
            <w:tcW w:w="2339" w:type="pct"/>
            <w:tcBorders>
              <w:top w:val="single" w:sz="12" w:space="0" w:color="1F497D"/>
              <w:left w:val="nil"/>
              <w:bottom w:val="single" w:sz="8" w:space="0" w:color="1F497D"/>
              <w:right w:val="nil"/>
            </w:tcBorders>
            <w:shd w:val="clear" w:color="auto" w:fill="DBE5F1"/>
          </w:tcPr>
          <w:p w14:paraId="65A4A359" w14:textId="77777777" w:rsidR="00B27A6F" w:rsidRDefault="00B27A6F" w:rsidP="003A7D85">
            <w:pPr>
              <w:pStyle w:val="TableHeadingLeft"/>
              <w:keepNext/>
            </w:pPr>
            <w:r>
              <w:t>Comment</w:t>
            </w:r>
          </w:p>
        </w:tc>
      </w:tr>
      <w:tr w:rsidR="00B27A6F" w:rsidRPr="00144F8C" w14:paraId="37863D89" w14:textId="77777777" w:rsidTr="006B1EC0">
        <w:trPr>
          <w:cantSplit/>
          <w:trHeight w:val="1163"/>
        </w:trPr>
        <w:tc>
          <w:tcPr>
            <w:tcW w:w="1679" w:type="pct"/>
            <w:tcBorders>
              <w:top w:val="nil"/>
              <w:left w:val="nil"/>
              <w:bottom w:val="nil"/>
              <w:right w:val="nil"/>
            </w:tcBorders>
            <w:shd w:val="clear" w:color="auto" w:fill="DDD9C3"/>
          </w:tcPr>
          <w:p w14:paraId="526B0574" w14:textId="77777777" w:rsidR="00B27A6F" w:rsidRPr="008D70AD" w:rsidRDefault="00B27A6F" w:rsidP="003A7D85">
            <w:pPr>
              <w:pStyle w:val="TableHeadingLeft"/>
              <w:keepNext/>
              <w:rPr>
                <w:b w:val="0"/>
              </w:rPr>
            </w:pPr>
            <w:r w:rsidRPr="008D70AD">
              <w:rPr>
                <w:b w:val="0"/>
              </w:rPr>
              <w:t xml:space="preserve">1 </w:t>
            </w:r>
            <w:r>
              <w:rPr>
                <w:b w:val="0"/>
              </w:rPr>
              <w:t xml:space="preserve">Economic </w:t>
            </w:r>
            <w:r w:rsidRPr="008D70AD">
              <w:rPr>
                <w:b w:val="0"/>
              </w:rPr>
              <w:t>efficiency</w:t>
            </w:r>
            <w:r>
              <w:rPr>
                <w:b w:val="0"/>
              </w:rPr>
              <w:t xml:space="preserve"> in use</w:t>
            </w:r>
          </w:p>
        </w:tc>
        <w:tc>
          <w:tcPr>
            <w:tcW w:w="982" w:type="pct"/>
            <w:tcBorders>
              <w:top w:val="nil"/>
              <w:left w:val="nil"/>
              <w:bottom w:val="nil"/>
              <w:right w:val="nil"/>
            </w:tcBorders>
            <w:shd w:val="clear" w:color="auto" w:fill="DDD9C3"/>
          </w:tcPr>
          <w:p w14:paraId="6EBD0496" w14:textId="77777777" w:rsidR="00B27A6F" w:rsidRPr="008D70AD" w:rsidRDefault="00B27A6F" w:rsidP="003A7D85">
            <w:pPr>
              <w:pStyle w:val="TableHeadingLeft"/>
              <w:keepNext/>
              <w:jc w:val="center"/>
              <w:rPr>
                <w:b w:val="0"/>
              </w:rPr>
            </w:pPr>
            <w:r>
              <w:rPr>
                <w:b w:val="0"/>
              </w:rPr>
              <w:sym w:font="Wingdings" w:char="F0FC"/>
            </w:r>
          </w:p>
        </w:tc>
        <w:tc>
          <w:tcPr>
            <w:tcW w:w="2339" w:type="pct"/>
            <w:tcBorders>
              <w:top w:val="nil"/>
              <w:left w:val="nil"/>
              <w:bottom w:val="nil"/>
              <w:right w:val="nil"/>
            </w:tcBorders>
            <w:shd w:val="clear" w:color="auto" w:fill="DDD9C3"/>
          </w:tcPr>
          <w:p w14:paraId="6465D957" w14:textId="77777777" w:rsidR="00B27A6F" w:rsidRDefault="00B27A6F" w:rsidP="003A7D85">
            <w:pPr>
              <w:pStyle w:val="TableHeadingLeft"/>
              <w:keepNext/>
              <w:rPr>
                <w:b w:val="0"/>
              </w:rPr>
            </w:pPr>
            <w:r>
              <w:rPr>
                <w:b w:val="0"/>
              </w:rPr>
              <w:t>Improvement relative to current structure as the structure would better reflect relevant costs.</w:t>
            </w:r>
          </w:p>
          <w:p w14:paraId="324FB958" w14:textId="77777777" w:rsidR="00B27A6F" w:rsidRPr="008D70AD" w:rsidRDefault="00B27A6F" w:rsidP="003A7D85">
            <w:pPr>
              <w:pStyle w:val="TableHeadingLeft"/>
              <w:keepNext/>
              <w:rPr>
                <w:b w:val="0"/>
              </w:rPr>
            </w:pPr>
            <w:r>
              <w:rPr>
                <w:b w:val="0"/>
              </w:rPr>
              <w:t xml:space="preserve">Flexibility of the usage component can be used to reflect the scarcity value of water </w:t>
            </w:r>
            <w:proofErr w:type="gramStart"/>
            <w:r>
              <w:rPr>
                <w:b w:val="0"/>
              </w:rPr>
              <w:t>an</w:t>
            </w:r>
            <w:r w:rsidR="006B1EC0">
              <w:rPr>
                <w:b w:val="0"/>
              </w:rPr>
              <w:t>d also</w:t>
            </w:r>
            <w:proofErr w:type="gramEnd"/>
            <w:r w:rsidR="006B1EC0">
              <w:rPr>
                <w:b w:val="0"/>
              </w:rPr>
              <w:t xml:space="preserve"> avoid uneconomic bypass.</w:t>
            </w:r>
          </w:p>
        </w:tc>
      </w:tr>
      <w:tr w:rsidR="00B27A6F" w:rsidRPr="00144F8C" w14:paraId="142197D6" w14:textId="77777777" w:rsidTr="006B1EC0">
        <w:trPr>
          <w:cantSplit/>
        </w:trPr>
        <w:tc>
          <w:tcPr>
            <w:tcW w:w="1679" w:type="pct"/>
            <w:tcBorders>
              <w:top w:val="nil"/>
              <w:left w:val="nil"/>
              <w:bottom w:val="nil"/>
              <w:right w:val="nil"/>
            </w:tcBorders>
            <w:shd w:val="clear" w:color="auto" w:fill="DDD9C3"/>
          </w:tcPr>
          <w:p w14:paraId="33F37F12" w14:textId="77777777" w:rsidR="00B27A6F" w:rsidRDefault="00B27A6F" w:rsidP="003A7D85">
            <w:pPr>
              <w:pStyle w:val="TableHeadingLeft"/>
              <w:keepNext/>
              <w:rPr>
                <w:b w:val="0"/>
              </w:rPr>
            </w:pPr>
            <w:r>
              <w:rPr>
                <w:b w:val="0"/>
              </w:rPr>
              <w:t xml:space="preserve">2 Economic efficiency for investment and operation </w:t>
            </w:r>
          </w:p>
          <w:p w14:paraId="1F5EA843" w14:textId="77777777" w:rsidR="00B27A6F" w:rsidRDefault="00B27A6F" w:rsidP="003A7D85">
            <w:pPr>
              <w:pStyle w:val="TableHeadingLeft"/>
              <w:keepNext/>
              <w:rPr>
                <w:b w:val="0"/>
              </w:rPr>
            </w:pPr>
          </w:p>
        </w:tc>
        <w:tc>
          <w:tcPr>
            <w:tcW w:w="982" w:type="pct"/>
            <w:tcBorders>
              <w:top w:val="nil"/>
              <w:left w:val="nil"/>
              <w:bottom w:val="nil"/>
              <w:right w:val="nil"/>
            </w:tcBorders>
            <w:shd w:val="clear" w:color="auto" w:fill="DDD9C3"/>
          </w:tcPr>
          <w:p w14:paraId="0D69DA33" w14:textId="77777777" w:rsidR="00B27A6F" w:rsidRDefault="00B27A6F" w:rsidP="003A7D85">
            <w:pPr>
              <w:pStyle w:val="TableHeadingLeft"/>
              <w:keepNext/>
              <w:jc w:val="center"/>
              <w:rPr>
                <w:b w:val="0"/>
              </w:rPr>
            </w:pPr>
            <w:r>
              <w:rPr>
                <w:b w:val="0"/>
              </w:rPr>
              <w:sym w:font="Wingdings" w:char="F0FC"/>
            </w:r>
          </w:p>
        </w:tc>
        <w:tc>
          <w:tcPr>
            <w:tcW w:w="2339" w:type="pct"/>
            <w:tcBorders>
              <w:top w:val="nil"/>
              <w:left w:val="nil"/>
              <w:bottom w:val="nil"/>
              <w:right w:val="nil"/>
            </w:tcBorders>
            <w:shd w:val="clear" w:color="auto" w:fill="DDD9C3"/>
          </w:tcPr>
          <w:p w14:paraId="30E4916C" w14:textId="77777777" w:rsidR="00B27A6F" w:rsidRDefault="00B27A6F" w:rsidP="003A7D85">
            <w:pPr>
              <w:pStyle w:val="TableHeadingLeft"/>
              <w:keepNext/>
              <w:rPr>
                <w:b w:val="0"/>
              </w:rPr>
            </w:pPr>
            <w:r>
              <w:rPr>
                <w:b w:val="0"/>
              </w:rPr>
              <w:t xml:space="preserve">A rebalancing of the tariff </w:t>
            </w:r>
            <w:proofErr w:type="gramStart"/>
            <w:r>
              <w:rPr>
                <w:b w:val="0"/>
              </w:rPr>
              <w:t>to better reflect</w:t>
            </w:r>
            <w:proofErr w:type="gramEnd"/>
            <w:r>
              <w:rPr>
                <w:b w:val="0"/>
              </w:rPr>
              <w:t xml:space="preserve"> Icon Water</w:t>
            </w:r>
            <w:r w:rsidR="00DC674F">
              <w:rPr>
                <w:b w:val="0"/>
              </w:rPr>
              <w:t>’</w:t>
            </w:r>
            <w:r>
              <w:rPr>
                <w:b w:val="0"/>
              </w:rPr>
              <w:t xml:space="preserve">s cost structure will better ensure efficient revenue recovery. </w:t>
            </w:r>
          </w:p>
          <w:p w14:paraId="4BABAD3B" w14:textId="77777777" w:rsidR="00B27A6F" w:rsidRDefault="00B27A6F" w:rsidP="003A7D85">
            <w:pPr>
              <w:pStyle w:val="TableHeadingLeft"/>
              <w:keepNext/>
              <w:rPr>
                <w:b w:val="0"/>
              </w:rPr>
            </w:pPr>
            <w:r>
              <w:rPr>
                <w:b w:val="0"/>
              </w:rPr>
              <w:t xml:space="preserve">The efficient level of costs </w:t>
            </w:r>
            <w:proofErr w:type="gramStart"/>
            <w:r>
              <w:rPr>
                <w:b w:val="0"/>
              </w:rPr>
              <w:t>is primarily addressed</w:t>
            </w:r>
            <w:proofErr w:type="gramEnd"/>
            <w:r>
              <w:rPr>
                <w:b w:val="0"/>
              </w:rPr>
              <w:t xml:space="preserve"> with separate auditing mechanisms, as is currently the case.</w:t>
            </w:r>
          </w:p>
        </w:tc>
      </w:tr>
      <w:tr w:rsidR="00B27A6F" w:rsidRPr="00144F8C" w14:paraId="13D5ADE1" w14:textId="77777777" w:rsidTr="006B1EC0">
        <w:trPr>
          <w:cantSplit/>
          <w:trHeight w:val="695"/>
        </w:trPr>
        <w:tc>
          <w:tcPr>
            <w:tcW w:w="1679" w:type="pct"/>
            <w:tcBorders>
              <w:top w:val="nil"/>
              <w:left w:val="nil"/>
              <w:bottom w:val="nil"/>
              <w:right w:val="nil"/>
            </w:tcBorders>
            <w:shd w:val="clear" w:color="auto" w:fill="FDE9D9"/>
          </w:tcPr>
          <w:p w14:paraId="67CAB9B1" w14:textId="77777777" w:rsidR="00B27A6F" w:rsidRPr="008D70AD" w:rsidRDefault="00B27A6F" w:rsidP="003A7D85">
            <w:pPr>
              <w:pStyle w:val="TableHeadingLeft"/>
              <w:keepNext/>
              <w:rPr>
                <w:b w:val="0"/>
              </w:rPr>
            </w:pPr>
            <w:r>
              <w:rPr>
                <w:b w:val="0"/>
              </w:rPr>
              <w:t>3 Environmental considerations</w:t>
            </w:r>
          </w:p>
        </w:tc>
        <w:tc>
          <w:tcPr>
            <w:tcW w:w="982" w:type="pct"/>
            <w:tcBorders>
              <w:top w:val="nil"/>
              <w:left w:val="nil"/>
              <w:bottom w:val="nil"/>
              <w:right w:val="nil"/>
            </w:tcBorders>
            <w:shd w:val="clear" w:color="auto" w:fill="FDE9D9"/>
          </w:tcPr>
          <w:p w14:paraId="6742AA0B" w14:textId="77777777" w:rsidR="00B27A6F" w:rsidRPr="008D70AD" w:rsidRDefault="00B27A6F" w:rsidP="006B1EC0">
            <w:pPr>
              <w:pStyle w:val="TableHeadingLeft"/>
              <w:keepNext/>
              <w:jc w:val="center"/>
              <w:rPr>
                <w:b w:val="0"/>
              </w:rPr>
            </w:pPr>
            <w:r>
              <w:rPr>
                <w:b w:val="0"/>
              </w:rPr>
              <w:sym w:font="Wingdings" w:char="F0FC"/>
            </w:r>
          </w:p>
        </w:tc>
        <w:tc>
          <w:tcPr>
            <w:tcW w:w="2339" w:type="pct"/>
            <w:tcBorders>
              <w:top w:val="nil"/>
              <w:left w:val="nil"/>
              <w:bottom w:val="nil"/>
              <w:right w:val="nil"/>
            </w:tcBorders>
            <w:shd w:val="clear" w:color="auto" w:fill="FDE9D9"/>
          </w:tcPr>
          <w:p w14:paraId="038253AC" w14:textId="77777777" w:rsidR="00B27A6F" w:rsidRDefault="00B27A6F" w:rsidP="003A7D85">
            <w:pPr>
              <w:pStyle w:val="TableHeadingLeft"/>
              <w:keepNext/>
              <w:rPr>
                <w:b w:val="0"/>
              </w:rPr>
            </w:pPr>
            <w:r>
              <w:rPr>
                <w:b w:val="0"/>
              </w:rPr>
              <w:t xml:space="preserve">Priority environmental objectives will continue to </w:t>
            </w:r>
            <w:proofErr w:type="gramStart"/>
            <w:r>
              <w:rPr>
                <w:b w:val="0"/>
              </w:rPr>
              <w:t>be addressed</w:t>
            </w:r>
            <w:proofErr w:type="gramEnd"/>
            <w:r>
              <w:rPr>
                <w:b w:val="0"/>
              </w:rPr>
              <w:t xml:space="preserve"> with sep</w:t>
            </w:r>
            <w:r w:rsidRPr="001A2EBE">
              <w:rPr>
                <w:b w:val="0"/>
              </w:rPr>
              <w:t>arate restrictions.</w:t>
            </w:r>
            <w:r>
              <w:rPr>
                <w:b w:val="0"/>
              </w:rPr>
              <w:t xml:space="preserve"> </w:t>
            </w:r>
          </w:p>
          <w:p w14:paraId="39D0A1A3" w14:textId="77777777" w:rsidR="00B27A6F" w:rsidRPr="008D70AD" w:rsidRDefault="00B27A6F" w:rsidP="003A7D85">
            <w:pPr>
              <w:pStyle w:val="TableHeadingLeft"/>
              <w:keepNext/>
              <w:rPr>
                <w:b w:val="0"/>
              </w:rPr>
            </w:pPr>
            <w:r>
              <w:rPr>
                <w:b w:val="0"/>
              </w:rPr>
              <w:t xml:space="preserve">Pricing of usage above </w:t>
            </w:r>
            <w:r w:rsidR="001A2EBE">
              <w:rPr>
                <w:b w:val="0"/>
              </w:rPr>
              <w:t xml:space="preserve">the </w:t>
            </w:r>
            <w:r>
              <w:rPr>
                <w:b w:val="0"/>
              </w:rPr>
              <w:t>marginal cost will reflect the community</w:t>
            </w:r>
            <w:r w:rsidR="00DC674F">
              <w:rPr>
                <w:b w:val="0"/>
              </w:rPr>
              <w:t>’</w:t>
            </w:r>
            <w:r>
              <w:rPr>
                <w:b w:val="0"/>
              </w:rPr>
              <w:t>s strong pre</w:t>
            </w:r>
            <w:r w:rsidR="006B1EC0">
              <w:rPr>
                <w:b w:val="0"/>
              </w:rPr>
              <w:t>ference for water conservation.</w:t>
            </w:r>
          </w:p>
        </w:tc>
      </w:tr>
      <w:tr w:rsidR="00B27A6F" w:rsidRPr="00144F8C" w14:paraId="4F8361A9" w14:textId="77777777" w:rsidTr="006B1EC0">
        <w:trPr>
          <w:cantSplit/>
          <w:trHeight w:val="318"/>
        </w:trPr>
        <w:tc>
          <w:tcPr>
            <w:tcW w:w="1679" w:type="pct"/>
            <w:tcBorders>
              <w:top w:val="nil"/>
              <w:left w:val="nil"/>
              <w:bottom w:val="nil"/>
              <w:right w:val="nil"/>
            </w:tcBorders>
            <w:shd w:val="clear" w:color="auto" w:fill="DAEEF3"/>
          </w:tcPr>
          <w:p w14:paraId="077C450B" w14:textId="77777777" w:rsidR="00B27A6F" w:rsidRDefault="00B27A6F" w:rsidP="003A7D85">
            <w:pPr>
              <w:pStyle w:val="TableTextLeft"/>
              <w:keepNext/>
            </w:pPr>
            <w:r>
              <w:t>4</w:t>
            </w:r>
            <w:r w:rsidRPr="008D70AD">
              <w:t xml:space="preserve"> </w:t>
            </w:r>
            <w:r>
              <w:t xml:space="preserve">Community impact – gradual adjustment </w:t>
            </w:r>
          </w:p>
          <w:p w14:paraId="4571623B" w14:textId="77777777" w:rsidR="00B27A6F" w:rsidRPr="008D70AD" w:rsidRDefault="00B27A6F" w:rsidP="003A7D85">
            <w:pPr>
              <w:pStyle w:val="TableTextLeft"/>
              <w:keepNext/>
            </w:pPr>
          </w:p>
        </w:tc>
        <w:tc>
          <w:tcPr>
            <w:tcW w:w="982" w:type="pct"/>
            <w:tcBorders>
              <w:top w:val="nil"/>
              <w:left w:val="nil"/>
              <w:bottom w:val="nil"/>
              <w:right w:val="nil"/>
            </w:tcBorders>
            <w:shd w:val="clear" w:color="auto" w:fill="DAEEF3"/>
          </w:tcPr>
          <w:p w14:paraId="29D243DB" w14:textId="77777777" w:rsidR="00B27A6F" w:rsidRPr="008D70AD" w:rsidRDefault="00B27A6F" w:rsidP="003A7D85">
            <w:pPr>
              <w:pStyle w:val="TableTextLeft"/>
              <w:keepNext/>
              <w:jc w:val="center"/>
            </w:pPr>
            <w:r>
              <w:rPr>
                <w:b/>
              </w:rPr>
              <w:sym w:font="Wingdings" w:char="F0FC"/>
            </w:r>
          </w:p>
        </w:tc>
        <w:tc>
          <w:tcPr>
            <w:tcW w:w="2339" w:type="pct"/>
            <w:tcBorders>
              <w:top w:val="nil"/>
              <w:left w:val="nil"/>
              <w:bottom w:val="nil"/>
              <w:right w:val="nil"/>
            </w:tcBorders>
            <w:shd w:val="clear" w:color="auto" w:fill="DAEEF3"/>
          </w:tcPr>
          <w:p w14:paraId="0281FAE9" w14:textId="77777777" w:rsidR="00B27A6F" w:rsidRPr="008D70AD" w:rsidRDefault="00B27A6F" w:rsidP="003A7D85">
            <w:pPr>
              <w:pStyle w:val="TableTextLeft"/>
              <w:keepNext/>
            </w:pPr>
            <w:r>
              <w:t>A long transition period should effectively address adverse impacts for those who have investe</w:t>
            </w:r>
            <w:r w:rsidR="006B1EC0">
              <w:t>d in water</w:t>
            </w:r>
            <w:r w:rsidR="00A954F7">
              <w:t>-</w:t>
            </w:r>
            <w:r w:rsidR="006B1EC0">
              <w:t>saving technologies.</w:t>
            </w:r>
          </w:p>
        </w:tc>
      </w:tr>
      <w:tr w:rsidR="00B27A6F" w:rsidRPr="00144F8C" w14:paraId="62288CD8" w14:textId="77777777" w:rsidTr="006B1EC0">
        <w:trPr>
          <w:cantSplit/>
          <w:trHeight w:val="318"/>
        </w:trPr>
        <w:tc>
          <w:tcPr>
            <w:tcW w:w="1679" w:type="pct"/>
            <w:tcBorders>
              <w:top w:val="nil"/>
              <w:left w:val="nil"/>
              <w:bottom w:val="nil"/>
              <w:right w:val="nil"/>
            </w:tcBorders>
            <w:shd w:val="clear" w:color="auto" w:fill="DAEEF3"/>
          </w:tcPr>
          <w:p w14:paraId="7E465FE4" w14:textId="77777777" w:rsidR="00B27A6F" w:rsidRDefault="00B27A6F" w:rsidP="003A7D85">
            <w:pPr>
              <w:pStyle w:val="TableTextLeft"/>
              <w:keepNext/>
            </w:pPr>
            <w:r>
              <w:t>5</w:t>
            </w:r>
            <w:r w:rsidRPr="008D70AD">
              <w:t xml:space="preserve"> </w:t>
            </w:r>
            <w:r>
              <w:t>Community impact – fair outcomes for low</w:t>
            </w:r>
            <w:r w:rsidR="00A954F7">
              <w:t>-</w:t>
            </w:r>
            <w:r>
              <w:t>income households</w:t>
            </w:r>
          </w:p>
          <w:p w14:paraId="6CD9BA51" w14:textId="77777777" w:rsidR="00B27A6F" w:rsidRPr="008D70AD" w:rsidRDefault="00B27A6F" w:rsidP="003A7D85">
            <w:pPr>
              <w:pStyle w:val="TableTextLeft"/>
              <w:keepNext/>
            </w:pPr>
          </w:p>
        </w:tc>
        <w:tc>
          <w:tcPr>
            <w:tcW w:w="982" w:type="pct"/>
            <w:tcBorders>
              <w:top w:val="nil"/>
              <w:left w:val="nil"/>
              <w:bottom w:val="nil"/>
              <w:right w:val="nil"/>
            </w:tcBorders>
            <w:shd w:val="clear" w:color="auto" w:fill="DAEEF3"/>
          </w:tcPr>
          <w:p w14:paraId="77CDA571" w14:textId="77777777" w:rsidR="00B27A6F" w:rsidRPr="008D70AD" w:rsidRDefault="00B27A6F" w:rsidP="003A7D85">
            <w:pPr>
              <w:pStyle w:val="TableTextLeft"/>
              <w:keepNext/>
              <w:jc w:val="center"/>
            </w:pPr>
            <w:r>
              <w:rPr>
                <w:b/>
              </w:rPr>
              <w:sym w:font="Wingdings" w:char="F0FC"/>
            </w:r>
          </w:p>
        </w:tc>
        <w:tc>
          <w:tcPr>
            <w:tcW w:w="2339" w:type="pct"/>
            <w:tcBorders>
              <w:top w:val="nil"/>
              <w:left w:val="nil"/>
              <w:bottom w:val="nil"/>
              <w:right w:val="nil"/>
            </w:tcBorders>
            <w:shd w:val="clear" w:color="auto" w:fill="DAEEF3"/>
          </w:tcPr>
          <w:p w14:paraId="2750CF2C" w14:textId="77777777" w:rsidR="00B27A6F" w:rsidRPr="008D70AD" w:rsidRDefault="00B27A6F" w:rsidP="003A7D85">
            <w:pPr>
              <w:pStyle w:val="TableTextLeft"/>
              <w:keepNext/>
            </w:pPr>
            <w:r>
              <w:t xml:space="preserve">Several mechanisms are proposed and </w:t>
            </w:r>
            <w:proofErr w:type="gramStart"/>
            <w:r>
              <w:t>will be investigated</w:t>
            </w:r>
            <w:proofErr w:type="gramEnd"/>
            <w:r>
              <w:t xml:space="preserve"> further to address equity concerns for low</w:t>
            </w:r>
            <w:r w:rsidR="00A954F7">
              <w:t>-</w:t>
            </w:r>
            <w:r>
              <w:t>income households.</w:t>
            </w:r>
          </w:p>
        </w:tc>
      </w:tr>
      <w:tr w:rsidR="00B27A6F" w:rsidRPr="00144F8C" w14:paraId="309DDE49" w14:textId="77777777" w:rsidTr="006B1EC0">
        <w:trPr>
          <w:cantSplit/>
          <w:trHeight w:val="200"/>
        </w:trPr>
        <w:tc>
          <w:tcPr>
            <w:tcW w:w="1679" w:type="pct"/>
            <w:tcBorders>
              <w:top w:val="nil"/>
              <w:left w:val="nil"/>
              <w:bottom w:val="nil"/>
              <w:right w:val="nil"/>
            </w:tcBorders>
            <w:shd w:val="clear" w:color="auto" w:fill="D6E3BC"/>
          </w:tcPr>
          <w:p w14:paraId="48B02DB5" w14:textId="77777777" w:rsidR="00B27A6F" w:rsidRDefault="00B27A6F" w:rsidP="003A7D85">
            <w:pPr>
              <w:pStyle w:val="TableTextLeft"/>
              <w:keepNext/>
            </w:pPr>
            <w:r>
              <w:t xml:space="preserve">6 </w:t>
            </w:r>
            <w:r w:rsidR="00980AB5">
              <w:t>Regulatory governance – s</w:t>
            </w:r>
            <w:r w:rsidRPr="008D70AD">
              <w:t>implicity</w:t>
            </w:r>
          </w:p>
          <w:p w14:paraId="29D66088" w14:textId="77777777" w:rsidR="00B27A6F" w:rsidRPr="008D70AD" w:rsidRDefault="00B27A6F" w:rsidP="003A7D85">
            <w:pPr>
              <w:pStyle w:val="TableTextLeft"/>
              <w:keepNext/>
            </w:pPr>
          </w:p>
        </w:tc>
        <w:tc>
          <w:tcPr>
            <w:tcW w:w="982" w:type="pct"/>
            <w:tcBorders>
              <w:top w:val="nil"/>
              <w:left w:val="nil"/>
              <w:bottom w:val="nil"/>
              <w:right w:val="nil"/>
            </w:tcBorders>
            <w:shd w:val="clear" w:color="auto" w:fill="D6E3BC"/>
          </w:tcPr>
          <w:p w14:paraId="20420AD7" w14:textId="77777777" w:rsidR="00B27A6F" w:rsidRPr="008D70AD" w:rsidRDefault="00B27A6F" w:rsidP="003A7D85">
            <w:pPr>
              <w:pStyle w:val="TableTextLeft"/>
              <w:keepNext/>
              <w:jc w:val="center"/>
            </w:pPr>
            <w:r>
              <w:rPr>
                <w:b/>
              </w:rPr>
              <w:sym w:font="Wingdings" w:char="F0FC"/>
            </w:r>
          </w:p>
        </w:tc>
        <w:tc>
          <w:tcPr>
            <w:tcW w:w="2339" w:type="pct"/>
            <w:tcBorders>
              <w:top w:val="nil"/>
              <w:left w:val="nil"/>
              <w:bottom w:val="nil"/>
              <w:right w:val="nil"/>
            </w:tcBorders>
            <w:shd w:val="clear" w:color="auto" w:fill="D6E3BC"/>
          </w:tcPr>
          <w:p w14:paraId="20A68DE2" w14:textId="77777777" w:rsidR="00B27A6F" w:rsidRPr="008D70AD" w:rsidRDefault="00B27A6F" w:rsidP="003A7D85">
            <w:pPr>
              <w:pStyle w:val="TableTextLeft"/>
              <w:keepNext/>
            </w:pPr>
            <w:r>
              <w:t>The proposed changes are simple to understand an</w:t>
            </w:r>
            <w:r w:rsidR="006B1EC0">
              <w:t>d implementation is manageable.</w:t>
            </w:r>
          </w:p>
        </w:tc>
      </w:tr>
      <w:tr w:rsidR="00B27A6F" w:rsidRPr="00144F8C" w14:paraId="19657F93" w14:textId="77777777" w:rsidTr="006B1EC0">
        <w:trPr>
          <w:cantSplit/>
        </w:trPr>
        <w:tc>
          <w:tcPr>
            <w:tcW w:w="1679" w:type="pct"/>
            <w:tcBorders>
              <w:top w:val="nil"/>
              <w:left w:val="nil"/>
              <w:bottom w:val="single" w:sz="12" w:space="0" w:color="1F497D"/>
              <w:right w:val="nil"/>
            </w:tcBorders>
            <w:shd w:val="clear" w:color="auto" w:fill="D6E3BC"/>
          </w:tcPr>
          <w:p w14:paraId="33655F6D" w14:textId="77777777" w:rsidR="00B27A6F" w:rsidRPr="008D70AD" w:rsidRDefault="00B27A6F" w:rsidP="00980AB5">
            <w:pPr>
              <w:pStyle w:val="TableTextLeft"/>
              <w:keepNext/>
            </w:pPr>
            <w:r>
              <w:t xml:space="preserve">7 </w:t>
            </w:r>
            <w:r w:rsidR="00980AB5">
              <w:t>Regulatory governance – t</w:t>
            </w:r>
            <w:r>
              <w:t>ransparency</w:t>
            </w:r>
          </w:p>
        </w:tc>
        <w:tc>
          <w:tcPr>
            <w:tcW w:w="982" w:type="pct"/>
            <w:tcBorders>
              <w:top w:val="nil"/>
              <w:left w:val="nil"/>
              <w:bottom w:val="single" w:sz="12" w:space="0" w:color="1F497D"/>
              <w:right w:val="nil"/>
            </w:tcBorders>
            <w:shd w:val="clear" w:color="auto" w:fill="D6E3BC"/>
          </w:tcPr>
          <w:p w14:paraId="530AA852" w14:textId="77777777" w:rsidR="00B27A6F" w:rsidRPr="008D70AD" w:rsidRDefault="00B27A6F" w:rsidP="003A7D85">
            <w:pPr>
              <w:pStyle w:val="TableTextLeft"/>
              <w:keepNext/>
              <w:jc w:val="center"/>
            </w:pPr>
            <w:r>
              <w:rPr>
                <w:b/>
              </w:rPr>
              <w:sym w:font="Wingdings" w:char="F0FC"/>
            </w:r>
          </w:p>
        </w:tc>
        <w:tc>
          <w:tcPr>
            <w:tcW w:w="2339" w:type="pct"/>
            <w:tcBorders>
              <w:top w:val="nil"/>
              <w:left w:val="nil"/>
              <w:bottom w:val="single" w:sz="12" w:space="0" w:color="1F497D"/>
              <w:right w:val="nil"/>
            </w:tcBorders>
            <w:shd w:val="clear" w:color="auto" w:fill="D6E3BC"/>
          </w:tcPr>
          <w:p w14:paraId="5AE835D1" w14:textId="77777777" w:rsidR="00B27A6F" w:rsidRPr="008D70AD" w:rsidRDefault="00B27A6F" w:rsidP="00A954F7">
            <w:pPr>
              <w:pStyle w:val="TableTextLeft"/>
              <w:keepNext/>
            </w:pPr>
            <w:r>
              <w:t xml:space="preserve">Changes </w:t>
            </w:r>
            <w:proofErr w:type="gramStart"/>
            <w:r>
              <w:t>are being developed</w:t>
            </w:r>
            <w:proofErr w:type="gramEnd"/>
            <w:r>
              <w:t xml:space="preserve"> </w:t>
            </w:r>
            <w:r w:rsidR="00A954F7">
              <w:t xml:space="preserve">through </w:t>
            </w:r>
            <w:r>
              <w:t xml:space="preserve">a </w:t>
            </w:r>
            <w:r w:rsidR="006B1EC0">
              <w:t>transparent and public process.</w:t>
            </w:r>
          </w:p>
        </w:tc>
      </w:tr>
    </w:tbl>
    <w:p w14:paraId="65DBEC6A" w14:textId="77777777" w:rsidR="00E22682" w:rsidRDefault="00E22682">
      <w:pPr>
        <w:spacing w:after="0" w:line="240" w:lineRule="auto"/>
        <w:rPr>
          <w:rFonts w:ascii="Arial" w:hAnsi="Arial" w:cs="Arial"/>
          <w:b/>
          <w:color w:val="000033"/>
          <w:sz w:val="26"/>
          <w:szCs w:val="22"/>
        </w:rPr>
      </w:pPr>
      <w:bookmarkStart w:id="251" w:name="_Toc476753992"/>
      <w:r>
        <w:br w:type="page"/>
      </w:r>
    </w:p>
    <w:p w14:paraId="41097952" w14:textId="77777777" w:rsidR="00B27A6F" w:rsidRDefault="00B27A6F" w:rsidP="00B27A6F">
      <w:pPr>
        <w:pStyle w:val="Heading2a"/>
      </w:pPr>
      <w:bookmarkStart w:id="252" w:name="_Toc478465469"/>
      <w:r>
        <w:lastRenderedPageBreak/>
        <w:t>5.4</w:t>
      </w:r>
      <w:r>
        <w:tab/>
        <w:t>Form of regulation – a price cap or a revenue cap</w:t>
      </w:r>
      <w:bookmarkEnd w:id="251"/>
      <w:bookmarkEnd w:id="252"/>
    </w:p>
    <w:p w14:paraId="23801E53" w14:textId="77777777" w:rsidR="00B27A6F" w:rsidRDefault="00B27A6F" w:rsidP="00B27A6F">
      <w:r>
        <w:t xml:space="preserve">The Commission has to determine whether a price cap or revenue cap </w:t>
      </w:r>
      <w:proofErr w:type="gramStart"/>
      <w:r>
        <w:t>is applied</w:t>
      </w:r>
      <w:proofErr w:type="gramEnd"/>
      <w:r>
        <w:t xml:space="preserve"> to regulate Icon</w:t>
      </w:r>
      <w:r w:rsidR="001A2EBE">
        <w:t xml:space="preserve"> Water</w:t>
      </w:r>
      <w:r w:rsidR="00DC674F">
        <w:t>’</w:t>
      </w:r>
      <w:r>
        <w:t xml:space="preserve">s market power. Under a price </w:t>
      </w:r>
      <w:proofErr w:type="gramStart"/>
      <w:r>
        <w:t>cap</w:t>
      </w:r>
      <w:proofErr w:type="gramEnd"/>
      <w:r>
        <w:t xml:space="preserve"> the </w:t>
      </w:r>
      <w:r w:rsidR="00F05847">
        <w:t xml:space="preserve">regulator </w:t>
      </w:r>
      <w:r>
        <w:t xml:space="preserve">determines the structure of prices, while under a revenue </w:t>
      </w:r>
      <w:r w:rsidRPr="001A2EBE">
        <w:t>cap</w:t>
      </w:r>
      <w:r w:rsidR="00F05847">
        <w:t xml:space="preserve"> the regulator sets</w:t>
      </w:r>
      <w:r w:rsidRPr="001A2EBE">
        <w:t xml:space="preserve"> the cap but greater opportunity is provided to the regulated business to be involved in </w:t>
      </w:r>
      <w:r w:rsidR="001A2EBE">
        <w:t xml:space="preserve">determining </w:t>
      </w:r>
      <w:r w:rsidRPr="001A2EBE">
        <w:t>the structure of</w:t>
      </w:r>
      <w:r>
        <w:t xml:space="preserve"> prices.</w:t>
      </w:r>
      <w:r w:rsidR="008013DA">
        <w:t xml:space="preserve"> </w:t>
      </w:r>
      <w:r>
        <w:t xml:space="preserve">A key issue is the question of who </w:t>
      </w:r>
      <w:r w:rsidR="00C96F98">
        <w:t xml:space="preserve">bears </w:t>
      </w:r>
      <w:r>
        <w:t>the risk for demand forecasts.</w:t>
      </w:r>
      <w:r w:rsidR="008013DA">
        <w:t xml:space="preserve"> </w:t>
      </w:r>
      <w:r>
        <w:t xml:space="preserve">A price cap </w:t>
      </w:r>
      <w:proofErr w:type="gramStart"/>
      <w:r>
        <w:t>is based</w:t>
      </w:r>
      <w:proofErr w:type="gramEnd"/>
      <w:r>
        <w:t xml:space="preserve"> on forecast demand. If forecast demand turns out to be </w:t>
      </w:r>
      <w:r w:rsidR="001317F7">
        <w:t>inaccurate,</w:t>
      </w:r>
      <w:r>
        <w:t xml:space="preserve"> the overall revenue collected can be higher or lower for the regulated business.</w:t>
      </w:r>
      <w:r w:rsidR="008013DA">
        <w:t xml:space="preserve"> </w:t>
      </w:r>
      <w:r>
        <w:t xml:space="preserve">Under a pure revenue </w:t>
      </w:r>
      <w:r w:rsidR="001317F7">
        <w:t>cap,</w:t>
      </w:r>
      <w:r>
        <w:t xml:space="preserve"> the regulated business receives the revenue determined and prices can fluctuate depending on what happens to demand.</w:t>
      </w:r>
    </w:p>
    <w:p w14:paraId="05182056" w14:textId="77777777" w:rsidR="00B27A6F" w:rsidRDefault="00B27A6F" w:rsidP="00B27A6F">
      <w:r>
        <w:t xml:space="preserve">The current form of regulation </w:t>
      </w:r>
      <w:proofErr w:type="gramStart"/>
      <w:r>
        <w:t>can be considered</w:t>
      </w:r>
      <w:proofErr w:type="gramEnd"/>
      <w:r>
        <w:t xml:space="preserve"> as a hybrid of the two.</w:t>
      </w:r>
      <w:r w:rsidR="008013DA">
        <w:t xml:space="preserve"> </w:t>
      </w:r>
      <w:r>
        <w:t>The Commission determines the overall revenue cap and the structure of prices.</w:t>
      </w:r>
      <w:r w:rsidR="008013DA">
        <w:t xml:space="preserve"> </w:t>
      </w:r>
      <w:r>
        <w:t xml:space="preserve">If actual demand leads to revenue within a </w:t>
      </w:r>
      <w:r>
        <w:rPr>
          <w:webHidden/>
        </w:rPr>
        <w:t>deadband, defined as six per cent of the allowed revenue (in net present value terms relating to the regulatory period),</w:t>
      </w:r>
      <w:r>
        <w:t xml:space="preserve"> Icon Water bears any forecast risk</w:t>
      </w:r>
      <w:r w:rsidR="00A954F7">
        <w:t>,</w:t>
      </w:r>
      <w:r>
        <w:t xml:space="preserve"> but beyond that any under</w:t>
      </w:r>
      <w:r w:rsidR="00A954F7">
        <w:t>-</w:t>
      </w:r>
      <w:r>
        <w:t>recovery of costs due to lower demand is passed on to users in the form of higher prices.</w:t>
      </w:r>
    </w:p>
    <w:p w14:paraId="099D2FFA" w14:textId="77777777" w:rsidR="00B27A6F" w:rsidRDefault="00B27A6F" w:rsidP="00B27A6F">
      <w:r>
        <w:t xml:space="preserve">The </w:t>
      </w:r>
      <w:r w:rsidR="00A954F7">
        <w:t>d</w:t>
      </w:r>
      <w:r>
        <w:t xml:space="preserve">raft </w:t>
      </w:r>
      <w:r w:rsidR="00A954F7">
        <w:t>r</w:t>
      </w:r>
      <w:r>
        <w:t xml:space="preserve">eport noted that there </w:t>
      </w:r>
      <w:proofErr w:type="gramStart"/>
      <w:r>
        <w:t>may</w:t>
      </w:r>
      <w:proofErr w:type="gramEnd"/>
      <w:r>
        <w:t xml:space="preserve"> be benefit in Icon Water having a greater role in proposing some tariffs as it is best placed to consult with its customer groups.</w:t>
      </w:r>
      <w:r w:rsidR="008013DA">
        <w:t xml:space="preserve"> </w:t>
      </w:r>
      <w:r>
        <w:t xml:space="preserve">In either </w:t>
      </w:r>
      <w:r w:rsidR="001317F7">
        <w:t>case,</w:t>
      </w:r>
      <w:r>
        <w:t xml:space="preserve"> the pricing arrangements would be subject to final approval by the Commission.</w:t>
      </w:r>
      <w:r>
        <w:rPr>
          <w:rStyle w:val="FootnoteReference"/>
        </w:rPr>
        <w:footnoteReference w:id="71"/>
      </w:r>
      <w:r w:rsidR="008013DA">
        <w:t xml:space="preserve"> </w:t>
      </w:r>
    </w:p>
    <w:p w14:paraId="6E464E27" w14:textId="77777777" w:rsidR="00B27A6F" w:rsidRDefault="00B27A6F" w:rsidP="00B27A6F">
      <w:pPr>
        <w:pStyle w:val="Heading3"/>
        <w:numPr>
          <w:ilvl w:val="0"/>
          <w:numId w:val="0"/>
        </w:numPr>
      </w:pPr>
      <w:r>
        <w:t>5.4.1</w:t>
      </w:r>
      <w:r>
        <w:tab/>
        <w:t>Submissions</w:t>
      </w:r>
    </w:p>
    <w:p w14:paraId="1A31212F" w14:textId="77777777" w:rsidR="00B27A6F" w:rsidRDefault="00B27A6F" w:rsidP="00B27A6F">
      <w:r>
        <w:t>In i</w:t>
      </w:r>
      <w:r w:rsidRPr="00E22682">
        <w:t>ts response to t</w:t>
      </w:r>
      <w:r>
        <w:t>he draft report</w:t>
      </w:r>
      <w:r w:rsidR="00A954F7">
        <w:t>,</w:t>
      </w:r>
      <w:r>
        <w:t xml:space="preserve"> Icon Water noted the following in relation to a revenue cap control mechanism:</w:t>
      </w:r>
    </w:p>
    <w:p w14:paraId="69D2DB05" w14:textId="77777777" w:rsidR="00B27A6F" w:rsidRDefault="00B27A6F" w:rsidP="00B27A6F">
      <w:pPr>
        <w:pStyle w:val="ColorfulGrid-Accent110"/>
      </w:pPr>
      <w:r w:rsidRPr="007F4104">
        <w:t>I</w:t>
      </w:r>
      <w:r>
        <w:t xml:space="preserve">n the Draft Report, the ICRC has stated a preference for a </w:t>
      </w:r>
      <w:proofErr w:type="gramStart"/>
      <w:r>
        <w:t>revenue cap control mechanism</w:t>
      </w:r>
      <w:proofErr w:type="gramEnd"/>
      <w:r>
        <w:t>, where Icon Water would set tariffs subject to principles and, potentially, constraints set by the ICRC.</w:t>
      </w:r>
      <w:r w:rsidRPr="00CA2318">
        <w:rPr>
          <w:vertAlign w:val="superscript"/>
        </w:rPr>
        <w:footnoteReference w:id="72"/>
      </w:r>
      <w:r w:rsidR="008013DA">
        <w:t xml:space="preserve"> </w:t>
      </w:r>
      <w:proofErr w:type="gramStart"/>
      <w:r>
        <w:t xml:space="preserve">Icon Water remains keen to resolve the issue of form of regulation at the earliest possible stage, but notes that careful consideration will need to be given to this issue as part of the broader 2018 price review, taking account of a range of matters including </w:t>
      </w:r>
      <w:r w:rsidR="00DC674F">
        <w:t>‘</w:t>
      </w:r>
      <w:r>
        <w:t>unders and overs</w:t>
      </w:r>
      <w:r w:rsidR="00DC674F">
        <w:t>’</w:t>
      </w:r>
      <w:r>
        <w:t xml:space="preserve"> mechanisms, constraints on annual price changes, annual compliance processes, the role of customer engagement, and demand forecasting arrangements.</w:t>
      </w:r>
      <w:proofErr w:type="gramEnd"/>
    </w:p>
    <w:p w14:paraId="59292B94" w14:textId="77777777" w:rsidR="00B27A6F" w:rsidRDefault="00B27A6F" w:rsidP="00B27A6F">
      <w:r w:rsidRPr="00CA2318">
        <w:t xml:space="preserve">The ACT </w:t>
      </w:r>
      <w:r>
        <w:t>G</w:t>
      </w:r>
      <w:r w:rsidRPr="00CA2318">
        <w:t xml:space="preserve">overnment </w:t>
      </w:r>
      <w:r>
        <w:t>interpreted the Commission</w:t>
      </w:r>
      <w:r w:rsidR="00DC674F">
        <w:t>’</w:t>
      </w:r>
      <w:r>
        <w:t xml:space="preserve">s position </w:t>
      </w:r>
      <w:r w:rsidR="00827150">
        <w:t>on</w:t>
      </w:r>
      <w:r>
        <w:t xml:space="preserve"> a price cap or a revenue cap as relating to a form of lighter handed regulation and did not support a move to a revenue cap at this time.</w:t>
      </w:r>
      <w:r>
        <w:rPr>
          <w:rStyle w:val="FootnoteReference"/>
        </w:rPr>
        <w:footnoteReference w:id="73"/>
      </w:r>
    </w:p>
    <w:p w14:paraId="1B79A1A9" w14:textId="77777777" w:rsidR="00B27A6F" w:rsidRDefault="00B27A6F" w:rsidP="00B27A6F">
      <w:pPr>
        <w:pStyle w:val="Heading3"/>
        <w:numPr>
          <w:ilvl w:val="0"/>
          <w:numId w:val="0"/>
        </w:numPr>
      </w:pPr>
      <w:r>
        <w:lastRenderedPageBreak/>
        <w:t>5.4.2</w:t>
      </w:r>
      <w:r>
        <w:tab/>
        <w:t>Commission</w:t>
      </w:r>
      <w:r w:rsidR="00DC674F">
        <w:t>’</w:t>
      </w:r>
      <w:r>
        <w:t>s consideration</w:t>
      </w:r>
    </w:p>
    <w:p w14:paraId="243BA285" w14:textId="77777777" w:rsidR="00B27A6F" w:rsidRDefault="00B27A6F" w:rsidP="00B27A6F">
      <w:pPr>
        <w:sectPr w:rsidR="00B27A6F" w:rsidSect="00400232">
          <w:headerReference w:type="default" r:id="rId56"/>
          <w:endnotePr>
            <w:numFmt w:val="decimal"/>
          </w:endnotePr>
          <w:type w:val="continuous"/>
          <w:pgSz w:w="11907" w:h="16840" w:code="9"/>
          <w:pgMar w:top="2268" w:right="2098" w:bottom="1701" w:left="2098" w:header="578" w:footer="578" w:gutter="0"/>
          <w:cols w:space="720"/>
          <w:docGrid w:linePitch="299"/>
        </w:sectPr>
      </w:pPr>
      <w:r>
        <w:t xml:space="preserve">This issue </w:t>
      </w:r>
      <w:proofErr w:type="gramStart"/>
      <w:r>
        <w:t>will be considered</w:t>
      </w:r>
      <w:proofErr w:type="gramEnd"/>
      <w:r>
        <w:t xml:space="preserve"> further in the investigation of regulated water and sewerag</w:t>
      </w:r>
      <w:r w:rsidRPr="00E22682">
        <w:t>e prices f</w:t>
      </w:r>
      <w:r>
        <w:t>or 2018</w:t>
      </w:r>
      <w:r w:rsidR="00A954F7">
        <w:t>–</w:t>
      </w:r>
      <w:r>
        <w:t>2023. For the purposes of this report</w:t>
      </w:r>
      <w:r w:rsidR="00A954F7">
        <w:t>,</w:t>
      </w:r>
      <w:r>
        <w:t xml:space="preserve"> the Commission is proposing to retain the existing price cap approach. The Commission will consider proposals from Icon </w:t>
      </w:r>
      <w:r w:rsidR="00A954F7">
        <w:t xml:space="preserve">Water </w:t>
      </w:r>
      <w:r>
        <w:t>for new or alternative tariff structures. An example might be a separate tariff for large users. However, any proposal would need to be in the long</w:t>
      </w:r>
      <w:r w:rsidR="00A954F7">
        <w:t>-</w:t>
      </w:r>
      <w:r>
        <w:t>term interests of consumers and would continue to be subject to final approval by the Commission.</w:t>
      </w:r>
    </w:p>
    <w:p w14:paraId="1ED67ECB" w14:textId="77777777" w:rsidR="00B27A6F" w:rsidRDefault="00565545" w:rsidP="003A7D85">
      <w:pPr>
        <w:pStyle w:val="Heading1"/>
        <w:sectPr w:rsidR="00B27A6F" w:rsidSect="00CA7AFB">
          <w:headerReference w:type="even" r:id="rId57"/>
          <w:headerReference w:type="default" r:id="rId58"/>
          <w:endnotePr>
            <w:numFmt w:val="decimal"/>
          </w:endnotePr>
          <w:type w:val="oddPage"/>
          <w:pgSz w:w="11907" w:h="16840" w:code="9"/>
          <w:pgMar w:top="2268" w:right="2098" w:bottom="1701" w:left="2098" w:header="578" w:footer="578" w:gutter="0"/>
          <w:cols w:space="720"/>
          <w:docGrid w:linePitch="299"/>
        </w:sectPr>
      </w:pPr>
      <w:bookmarkStart w:id="253" w:name="_Toc476753993"/>
      <w:bookmarkStart w:id="254" w:name="_Ref477267415"/>
      <w:bookmarkStart w:id="255" w:name="_Ref477267424"/>
      <w:bookmarkStart w:id="256" w:name="_Ref477267822"/>
      <w:bookmarkStart w:id="257" w:name="_Ref477267829"/>
      <w:bookmarkStart w:id="258" w:name="_Ref477267858"/>
      <w:bookmarkStart w:id="259" w:name="_Ref477267870"/>
      <w:bookmarkStart w:id="260" w:name="_Toc478465470"/>
      <w:r>
        <w:lastRenderedPageBreak/>
        <w:t>Assessment of t</w:t>
      </w:r>
      <w:r w:rsidR="00B27A6F">
        <w:t xml:space="preserve">he </w:t>
      </w:r>
      <w:r>
        <w:t xml:space="preserve">current </w:t>
      </w:r>
      <w:r w:rsidR="00B27A6F">
        <w:t>sewerage services tariff structure</w:t>
      </w:r>
      <w:bookmarkEnd w:id="253"/>
      <w:bookmarkEnd w:id="254"/>
      <w:bookmarkEnd w:id="255"/>
      <w:bookmarkEnd w:id="256"/>
      <w:bookmarkEnd w:id="257"/>
      <w:bookmarkEnd w:id="258"/>
      <w:bookmarkEnd w:id="259"/>
      <w:bookmarkEnd w:id="260"/>
      <w:r w:rsidR="00B27A6F">
        <w:t xml:space="preserve"> </w:t>
      </w:r>
    </w:p>
    <w:p w14:paraId="25CAE73F" w14:textId="77777777" w:rsidR="00B27A6F" w:rsidRDefault="00B27A6F" w:rsidP="00B27A6F">
      <w:pPr>
        <w:pStyle w:val="Heading2a"/>
      </w:pPr>
      <w:bookmarkStart w:id="261" w:name="_Toc476753994"/>
      <w:bookmarkStart w:id="262" w:name="_Toc478465471"/>
      <w:r>
        <w:t>6.1</w:t>
      </w:r>
      <w:r>
        <w:tab/>
        <w:t>Introduction</w:t>
      </w:r>
      <w:bookmarkEnd w:id="261"/>
      <w:bookmarkEnd w:id="262"/>
    </w:p>
    <w:p w14:paraId="741629E2" w14:textId="77777777" w:rsidR="00B27A6F" w:rsidRPr="00A23109" w:rsidRDefault="00B27A6F" w:rsidP="00B27A6F">
      <w:r>
        <w:t>This chapter applies the pricing principles presented in Chapter 3 to identify problems with Icon Water</w:t>
      </w:r>
      <w:r w:rsidR="00DC674F">
        <w:t>’</w:t>
      </w:r>
      <w:r>
        <w:t>s current sewerage services tariff structure and potential directions for reform.</w:t>
      </w:r>
      <w:r w:rsidR="008013DA">
        <w:t xml:space="preserve"> </w:t>
      </w:r>
    </w:p>
    <w:p w14:paraId="1151C6AE" w14:textId="77777777" w:rsidR="00B27A6F" w:rsidRDefault="00B27A6F" w:rsidP="00B27A6F">
      <w:pPr>
        <w:pStyle w:val="Heading2a"/>
      </w:pPr>
      <w:bookmarkStart w:id="263" w:name="_Toc476753995"/>
      <w:bookmarkStart w:id="264" w:name="_Toc478465472"/>
      <w:r>
        <w:t>6.2</w:t>
      </w:r>
      <w:r>
        <w:tab/>
        <w:t xml:space="preserve">Current tariff structure: </w:t>
      </w:r>
      <w:r w:rsidR="00565545">
        <w:t>s</w:t>
      </w:r>
      <w:r>
        <w:t>upply charges only</w:t>
      </w:r>
      <w:bookmarkEnd w:id="263"/>
      <w:bookmarkEnd w:id="264"/>
    </w:p>
    <w:p w14:paraId="093FB331" w14:textId="77777777" w:rsidR="00B27A6F" w:rsidRDefault="00B27A6F" w:rsidP="00B27A6F">
      <w:r>
        <w:t>The current tariff structure for Icon Water</w:t>
      </w:r>
      <w:r w:rsidR="00DC674F">
        <w:t>’</w:t>
      </w:r>
      <w:r>
        <w:t>s regulated sewerage services comprises an annual fixed supply charge for residential premises and the same fixed supply charge plus an annual charge per flushing fixture (in excess of two) for non-residential premises. Icon Water does not currently have a trade waste tariff.</w:t>
      </w:r>
      <w:r w:rsidR="008013DA">
        <w:t xml:space="preserve"> </w:t>
      </w:r>
    </w:p>
    <w:p w14:paraId="6BCA1832" w14:textId="77777777" w:rsidR="00B27A6F" w:rsidRDefault="00B27A6F" w:rsidP="00B27A6F">
      <w:pPr>
        <w:pStyle w:val="Heading2a"/>
      </w:pPr>
      <w:bookmarkStart w:id="265" w:name="_Toc476753996"/>
      <w:bookmarkStart w:id="266" w:name="_Toc478465473"/>
      <w:r>
        <w:t>6.3</w:t>
      </w:r>
      <w:r>
        <w:tab/>
        <w:t>Efficient use</w:t>
      </w:r>
      <w:bookmarkEnd w:id="265"/>
      <w:bookmarkEnd w:id="266"/>
    </w:p>
    <w:p w14:paraId="430F1540" w14:textId="77777777" w:rsidR="00B27A6F" w:rsidRDefault="00B27A6F" w:rsidP="00B27A6F">
      <w:r>
        <w:t xml:space="preserve">In the </w:t>
      </w:r>
      <w:r w:rsidR="006F31CF">
        <w:t>t</w:t>
      </w:r>
      <w:r>
        <w:t xml:space="preserve">echnical </w:t>
      </w:r>
      <w:r w:rsidR="006F31CF">
        <w:t>p</w:t>
      </w:r>
      <w:r>
        <w:t>aper on marginal cost pricing</w:t>
      </w:r>
      <w:r w:rsidDel="00B9501E">
        <w:rPr>
          <w:rStyle w:val="FootnoteReference"/>
        </w:rPr>
        <w:t xml:space="preserve"> </w:t>
      </w:r>
      <w:r>
        <w:t xml:space="preserve">, the Commission concluded that, since there is no usage charge, this in itself implies that the current sewerage services </w:t>
      </w:r>
      <w:r w:rsidR="00D61A5C">
        <w:t xml:space="preserve">tariff </w:t>
      </w:r>
      <w:r>
        <w:t>structure, based entirely on supply charges, is incapable of providing suitable price signals to customers about the efficient costs of sewerage services in the ACT.</w:t>
      </w:r>
      <w:r>
        <w:rPr>
          <w:rStyle w:val="FootnoteReference"/>
        </w:rPr>
        <w:footnoteReference w:id="74"/>
      </w:r>
      <w:r>
        <w:t xml:space="preserve"> </w:t>
      </w:r>
    </w:p>
    <w:p w14:paraId="34AEFF0F" w14:textId="77777777" w:rsidR="00B27A6F" w:rsidRDefault="00B27A6F" w:rsidP="00B27A6F">
      <w:r>
        <w:t>As explained earlier in relation to water, the Commission</w:t>
      </w:r>
      <w:r w:rsidR="00DC674F">
        <w:t>’</w:t>
      </w:r>
      <w:r>
        <w:t xml:space="preserve">s general view is that, in principle, the objective of economic efficiency is best served by setting prices with reference to </w:t>
      </w:r>
      <w:r w:rsidR="00D61A5C">
        <w:t xml:space="preserve">a </w:t>
      </w:r>
      <w:r>
        <w:t>short</w:t>
      </w:r>
      <w:r w:rsidR="00014224">
        <w:t>-run</w:t>
      </w:r>
      <w:r>
        <w:t xml:space="preserve"> rather than </w:t>
      </w:r>
      <w:proofErr w:type="gramStart"/>
      <w:r>
        <w:t>long</w:t>
      </w:r>
      <w:r w:rsidR="00014224">
        <w:t>-</w:t>
      </w:r>
      <w:r>
        <w:t>run</w:t>
      </w:r>
      <w:proofErr w:type="gramEnd"/>
      <w:r>
        <w:t xml:space="preserve"> marginal cost, although in practice </w:t>
      </w:r>
      <w:r w:rsidR="00D61A5C">
        <w:t xml:space="preserve">the </w:t>
      </w:r>
      <w:r>
        <w:t>long</w:t>
      </w:r>
      <w:r w:rsidR="00014224">
        <w:t>-</w:t>
      </w:r>
      <w:r>
        <w:t>run marginal cost is typically adopted for a number of practical reasons.</w:t>
      </w:r>
      <w:r w:rsidR="008013DA">
        <w:t xml:space="preserve"> </w:t>
      </w:r>
      <w:r>
        <w:t xml:space="preserve">The primary concern here is with </w:t>
      </w:r>
      <w:r w:rsidR="00D61A5C">
        <w:t xml:space="preserve">the </w:t>
      </w:r>
      <w:r>
        <w:t>marginal cost with respect to changes in the quantity or volume of services provided through the central sewerage net</w:t>
      </w:r>
      <w:r w:rsidRPr="00014224">
        <w:t>work</w:t>
      </w:r>
      <w:r w:rsidR="00014224">
        <w:t xml:space="preserve"> –</w:t>
      </w:r>
      <w:r w:rsidRPr="00014224">
        <w:t xml:space="preserve"> that is</w:t>
      </w:r>
      <w:r w:rsidR="00014224">
        <w:t>,</w:t>
      </w:r>
      <w:r w:rsidRPr="00014224">
        <w:t xml:space="preserve"> the c</w:t>
      </w:r>
      <w:r>
        <w:t>entral treatment plants and trunk sewer pipes, as opposed to the suburb-level collection network.</w:t>
      </w:r>
      <w:r w:rsidR="008013DA">
        <w:t xml:space="preserve"> </w:t>
      </w:r>
      <w:r>
        <w:t>Given that the capacity of Icon Water</w:t>
      </w:r>
      <w:r w:rsidR="00DC674F">
        <w:t>’</w:t>
      </w:r>
      <w:r>
        <w:t xml:space="preserve">s central sewerage network </w:t>
      </w:r>
      <w:proofErr w:type="gramStart"/>
      <w:r>
        <w:t>is sized</w:t>
      </w:r>
      <w:proofErr w:type="gramEnd"/>
      <w:r>
        <w:t xml:space="preserve"> to deal with rainfall events, there is currently no immediate need to augment capac</w:t>
      </w:r>
      <w:r w:rsidRPr="00D61A5C">
        <w:t xml:space="preserve">ity </w:t>
      </w:r>
      <w:r w:rsidR="00D61A5C">
        <w:t>to accommodate</w:t>
      </w:r>
      <w:r w:rsidRPr="00D61A5C">
        <w:t xml:space="preserve"> expan</w:t>
      </w:r>
      <w:r>
        <w:t>ding demand.</w:t>
      </w:r>
      <w:r w:rsidR="008013DA">
        <w:t xml:space="preserve"> </w:t>
      </w:r>
    </w:p>
    <w:p w14:paraId="387BAEE0" w14:textId="77777777" w:rsidR="00B27A6F" w:rsidRDefault="00B27A6F" w:rsidP="00B27A6F">
      <w:r>
        <w:t>This means that a measure of short</w:t>
      </w:r>
      <w:r w:rsidR="00014224">
        <w:t>-</w:t>
      </w:r>
      <w:r>
        <w:t>run marginal cost is most relevant when considering a usage price for sewerage services.</w:t>
      </w:r>
      <w:r w:rsidR="008013DA">
        <w:t xml:space="preserve"> </w:t>
      </w:r>
      <w:r>
        <w:t xml:space="preserve">The short-run marginal cost of sewerage services in the ACT presented in the </w:t>
      </w:r>
      <w:r w:rsidR="00014224">
        <w:t>t</w:t>
      </w:r>
      <w:r>
        <w:t xml:space="preserve">echnical </w:t>
      </w:r>
      <w:r w:rsidR="00014224">
        <w:t>p</w:t>
      </w:r>
      <w:r>
        <w:t>aper comprise</w:t>
      </w:r>
      <w:r w:rsidR="00D61A5C">
        <w:t>d</w:t>
      </w:r>
      <w:r>
        <w:t>:</w:t>
      </w:r>
      <w:r>
        <w:rPr>
          <w:rStyle w:val="FootnoteReference"/>
        </w:rPr>
        <w:footnoteReference w:id="75"/>
      </w:r>
    </w:p>
    <w:p w14:paraId="7BF0ABB3" w14:textId="77777777" w:rsidR="00B27A6F" w:rsidRDefault="00B27A6F" w:rsidP="001317F7">
      <w:pPr>
        <w:pStyle w:val="BulletLast"/>
        <w:ind w:left="681" w:hanging="397"/>
      </w:pPr>
      <w:r>
        <w:lastRenderedPageBreak/>
        <w:t xml:space="preserve">treatment cost </w:t>
      </w:r>
      <w:r>
        <w:sym w:font="Symbol" w:char="F02D"/>
      </w:r>
      <w:r>
        <w:t xml:space="preserve"> the cost of chemicals, electricity, fuel and freight to treat an additional kilolitre of sewage at the Lower Molonglo Water Q</w:t>
      </w:r>
      <w:r w:rsidR="001317F7">
        <w:t>uality Control Centre; and</w:t>
      </w:r>
    </w:p>
    <w:p w14:paraId="5AF7FA8C" w14:textId="77777777" w:rsidR="00B27A6F" w:rsidRDefault="00B27A6F" w:rsidP="00B27A6F">
      <w:pPr>
        <w:pStyle w:val="BulletLast"/>
        <w:ind w:left="681" w:hanging="397"/>
      </w:pPr>
      <w:proofErr w:type="gramStart"/>
      <w:r>
        <w:t>pumping</w:t>
      </w:r>
      <w:proofErr w:type="gramEnd"/>
      <w:r>
        <w:t xml:space="preserve"> cost </w:t>
      </w:r>
      <w:r>
        <w:sym w:font="Symbol" w:char="F02D"/>
      </w:r>
      <w:r>
        <w:t xml:space="preserve"> the electricity costs to pump an additional kilolitre of sewage through the sewerage network to the treatment plant.</w:t>
      </w:r>
      <w:r>
        <w:rPr>
          <w:rStyle w:val="FootnoteReference"/>
        </w:rPr>
        <w:footnoteReference w:id="76"/>
      </w:r>
      <w:r>
        <w:t xml:space="preserve"> </w:t>
      </w:r>
    </w:p>
    <w:p w14:paraId="7653A4E6" w14:textId="77777777" w:rsidR="00B27A6F" w:rsidRDefault="00B27A6F" w:rsidP="00B27A6F">
      <w:r>
        <w:t xml:space="preserve">Icon Water estimates the marginal treatment cost at $0.25 per kL, and the marginal pumping cost at $0.005 per kL, for a total short-run marginal cost of about </w:t>
      </w:r>
      <w:r w:rsidR="00D61A5C">
        <w:t>$</w:t>
      </w:r>
      <w:r>
        <w:t>0.26</w:t>
      </w:r>
      <w:r w:rsidR="00D61A5C">
        <w:t> </w:t>
      </w:r>
      <w:r>
        <w:t>per</w:t>
      </w:r>
      <w:r w:rsidR="00D61A5C">
        <w:t> </w:t>
      </w:r>
      <w:r>
        <w:t>kL.</w:t>
      </w:r>
    </w:p>
    <w:p w14:paraId="01E9F5CF" w14:textId="0628A0B3" w:rsidR="00B27A6F" w:rsidRDefault="00B27A6F" w:rsidP="00B27A6F">
      <w:r>
        <w:t xml:space="preserve">In the </w:t>
      </w:r>
      <w:r w:rsidR="00014224">
        <w:t>t</w:t>
      </w:r>
      <w:r>
        <w:t xml:space="preserve">echnical </w:t>
      </w:r>
      <w:r w:rsidR="00014224">
        <w:t>p</w:t>
      </w:r>
      <w:r>
        <w:t xml:space="preserve">aper, in line with </w:t>
      </w:r>
      <w:r w:rsidR="00014224">
        <w:t xml:space="preserve">pricing </w:t>
      </w:r>
      <w:r>
        <w:t xml:space="preserve">principle 1, the Commission indicated that a more efficient structure would entail a multi-part tariff </w:t>
      </w:r>
      <w:r w:rsidR="00D61A5C">
        <w:t>that included</w:t>
      </w:r>
      <w:r>
        <w:t xml:space="preserve"> a </w:t>
      </w:r>
      <w:r w:rsidR="007037EE">
        <w:t xml:space="preserve">sewage volume charge </w:t>
      </w:r>
      <w:r>
        <w:t xml:space="preserve">set with reference to </w:t>
      </w:r>
      <w:r w:rsidR="00D61A5C">
        <w:t xml:space="preserve">the </w:t>
      </w:r>
      <w:r>
        <w:t>marginal cost.</w:t>
      </w:r>
    </w:p>
    <w:p w14:paraId="0787A932" w14:textId="77777777" w:rsidR="00B27A6F" w:rsidRDefault="00B27A6F" w:rsidP="00B27A6F">
      <w:r>
        <w:t>However, short</w:t>
      </w:r>
      <w:r w:rsidR="00014224">
        <w:t>-</w:t>
      </w:r>
      <w:r>
        <w:t>run marginal costs for the sewerage sector are less than seven per cent of total costs</w:t>
      </w:r>
      <w:r w:rsidR="00014224">
        <w:t>,</w:t>
      </w:r>
      <w:r>
        <w:t xml:space="preserve"> </w:t>
      </w:r>
      <w:r w:rsidRPr="00D61A5C">
        <w:t>reducing</w:t>
      </w:r>
      <w:r w:rsidRPr="002A6D4C">
        <w:t xml:space="preserve"> </w:t>
      </w:r>
      <w:r w:rsidRPr="00D61A5C">
        <w:t>the import</w:t>
      </w:r>
      <w:r>
        <w:t>ance of a usage</w:t>
      </w:r>
      <w:r w:rsidR="00014224">
        <w:t>-</w:t>
      </w:r>
      <w:r>
        <w:t>based price signal.</w:t>
      </w:r>
      <w:r>
        <w:rPr>
          <w:rStyle w:val="FootnoteReference"/>
        </w:rPr>
        <w:footnoteReference w:id="77"/>
      </w:r>
      <w:r w:rsidR="008013DA">
        <w:t xml:space="preserve"> </w:t>
      </w:r>
      <w:r>
        <w:t>There would also be additional administrative costs associated with designing and implementing a proxy measure for sewage discharge in the absence of metering.</w:t>
      </w:r>
      <w:r w:rsidR="008013DA">
        <w:t xml:space="preserve"> </w:t>
      </w:r>
      <w:r>
        <w:t>The additional administration costs would reduce the efficiency benefits from introducing a usage</w:t>
      </w:r>
      <w:r w:rsidR="00014224">
        <w:t>-</w:t>
      </w:r>
      <w:r>
        <w:t xml:space="preserve">based price component in the tariff. </w:t>
      </w:r>
    </w:p>
    <w:p w14:paraId="7A728FF8" w14:textId="77777777" w:rsidR="00B27A6F" w:rsidRDefault="00B27A6F" w:rsidP="00B27A6F">
      <w:pPr>
        <w:pStyle w:val="Heading2a"/>
      </w:pPr>
      <w:bookmarkStart w:id="267" w:name="_Toc476753997"/>
      <w:bookmarkStart w:id="268" w:name="_Toc478465474"/>
      <w:r>
        <w:t>6.4</w:t>
      </w:r>
      <w:r>
        <w:tab/>
        <w:t>Efficient cost recovery</w:t>
      </w:r>
      <w:bookmarkEnd w:id="267"/>
      <w:bookmarkEnd w:id="268"/>
    </w:p>
    <w:p w14:paraId="180A25C2" w14:textId="77777777" w:rsidR="00B27A6F" w:rsidRDefault="00B27A6F" w:rsidP="00B27A6F">
      <w:r>
        <w:t xml:space="preserve">If usage prices </w:t>
      </w:r>
      <w:proofErr w:type="gramStart"/>
      <w:r>
        <w:t>were adopted</w:t>
      </w:r>
      <w:proofErr w:type="gramEnd"/>
      <w:r>
        <w:t xml:space="preserve">, Icon Water would also face additional revenue risk for its sewerage services business, reducing the scope for efficient cost recovery. </w:t>
      </w:r>
    </w:p>
    <w:p w14:paraId="585733CE" w14:textId="77777777" w:rsidR="00B27A6F" w:rsidRDefault="00B27A6F" w:rsidP="00B27A6F">
      <w:r>
        <w:t xml:space="preserve">As the current </w:t>
      </w:r>
      <w:r w:rsidR="002A6D4C">
        <w:t xml:space="preserve">tariff </w:t>
      </w:r>
      <w:r>
        <w:t xml:space="preserve">for sewerage </w:t>
      </w:r>
      <w:r w:rsidR="002A6D4C">
        <w:t xml:space="preserve">services </w:t>
      </w:r>
      <w:r>
        <w:t>is based entirely on supply charges and Icon Water</w:t>
      </w:r>
      <w:r w:rsidR="00DC674F">
        <w:t>’</w:t>
      </w:r>
      <w:r>
        <w:t xml:space="preserve">s marginal costs are around seven per cent of its total costs of supplying sewerage services, the current tariff structure is considered </w:t>
      </w:r>
      <w:proofErr w:type="gramStart"/>
      <w:r>
        <w:t>to be effective</w:t>
      </w:r>
      <w:proofErr w:type="gramEnd"/>
      <w:r>
        <w:t xml:space="preserve"> in facilitating efficient cost recovery for sewerage services. </w:t>
      </w:r>
    </w:p>
    <w:p w14:paraId="246B45BF" w14:textId="77777777" w:rsidR="00B27A6F" w:rsidRDefault="00B27A6F" w:rsidP="00B27A6F">
      <w:pPr>
        <w:pStyle w:val="Heading2a"/>
      </w:pPr>
      <w:bookmarkStart w:id="269" w:name="_Toc476753998"/>
      <w:bookmarkStart w:id="270" w:name="_Toc478465475"/>
      <w:r>
        <w:t>6.5</w:t>
      </w:r>
      <w:r>
        <w:tab/>
        <w:t>Environmental considerations</w:t>
      </w:r>
      <w:bookmarkEnd w:id="269"/>
      <w:bookmarkEnd w:id="270"/>
    </w:p>
    <w:p w14:paraId="425F770B" w14:textId="77777777" w:rsidR="00B27A6F" w:rsidRPr="009471E7" w:rsidRDefault="00B27A6F" w:rsidP="00B27A6F">
      <w:r>
        <w:t xml:space="preserve">Icon Water is meeting its environmental objectives with actions that </w:t>
      </w:r>
      <w:proofErr w:type="gramStart"/>
      <w:r>
        <w:t>are not related</w:t>
      </w:r>
      <w:proofErr w:type="gramEnd"/>
      <w:r>
        <w:t xml:space="preserve"> to the tariff structure for sewerage services. </w:t>
      </w:r>
    </w:p>
    <w:p w14:paraId="6366C5D9" w14:textId="77777777" w:rsidR="00B27A6F" w:rsidRDefault="00565545" w:rsidP="00B27A6F">
      <w:pPr>
        <w:pStyle w:val="Heading2a"/>
      </w:pPr>
      <w:bookmarkStart w:id="271" w:name="_Toc476753999"/>
      <w:bookmarkStart w:id="272" w:name="_Toc478465476"/>
      <w:r>
        <w:lastRenderedPageBreak/>
        <w:t>6.6</w:t>
      </w:r>
      <w:r>
        <w:tab/>
        <w:t>Community impact –</w:t>
      </w:r>
      <w:r w:rsidR="00B27A6F">
        <w:t xml:space="preserve"> fairness for water conservation investments</w:t>
      </w:r>
      <w:bookmarkEnd w:id="271"/>
      <w:bookmarkEnd w:id="272"/>
      <w:r w:rsidR="00B27A6F">
        <w:t xml:space="preserve"> </w:t>
      </w:r>
    </w:p>
    <w:p w14:paraId="78C10266" w14:textId="77777777" w:rsidR="00B27A6F" w:rsidRDefault="00B27A6F" w:rsidP="00B27A6F">
      <w:r>
        <w:t>The water tariff structure has implications for those who made investments in water</w:t>
      </w:r>
      <w:r w:rsidR="00014224">
        <w:t>-</w:t>
      </w:r>
      <w:r>
        <w:t>saving initiatives</w:t>
      </w:r>
      <w:r w:rsidR="00014224">
        <w:t>,</w:t>
      </w:r>
      <w:r>
        <w:t xml:space="preserve"> as discussed in Chapter 4.</w:t>
      </w:r>
      <w:r w:rsidR="008013DA">
        <w:t xml:space="preserve"> </w:t>
      </w:r>
      <w:r>
        <w:t>However, changes in the sewerage tariff structure would have no direct impact on the benefits from water</w:t>
      </w:r>
      <w:r w:rsidR="00014224">
        <w:t>-</w:t>
      </w:r>
      <w:r>
        <w:t xml:space="preserve">saving technologies. </w:t>
      </w:r>
    </w:p>
    <w:p w14:paraId="1F860AD4" w14:textId="77777777" w:rsidR="00B27A6F" w:rsidRDefault="00565545" w:rsidP="00B27A6F">
      <w:pPr>
        <w:pStyle w:val="Heading2a"/>
      </w:pPr>
      <w:bookmarkStart w:id="273" w:name="_Toc476754000"/>
      <w:bookmarkStart w:id="274" w:name="_Toc478465477"/>
      <w:r>
        <w:t>6.7</w:t>
      </w:r>
      <w:r>
        <w:tab/>
        <w:t>Community impact –</w:t>
      </w:r>
      <w:r w:rsidR="00B27A6F">
        <w:t xml:space="preserve"> equity for low</w:t>
      </w:r>
      <w:r w:rsidR="00014224">
        <w:t>-</w:t>
      </w:r>
      <w:r w:rsidR="00B27A6F">
        <w:t>income households</w:t>
      </w:r>
      <w:bookmarkEnd w:id="273"/>
      <w:bookmarkEnd w:id="274"/>
    </w:p>
    <w:p w14:paraId="745A1F95" w14:textId="77777777" w:rsidR="00B27A6F" w:rsidRDefault="00B27A6F" w:rsidP="00B27A6F">
      <w:pPr>
        <w:rPr>
          <w:lang w:val="en-AU"/>
        </w:rPr>
      </w:pPr>
      <w:r>
        <w:t>The Commission</w:t>
      </w:r>
      <w:r w:rsidR="00DC674F">
        <w:t>’</w:t>
      </w:r>
      <w:r>
        <w:t xml:space="preserve">s </w:t>
      </w:r>
      <w:r w:rsidR="00014224">
        <w:t>d</w:t>
      </w:r>
      <w:r>
        <w:t xml:space="preserve">raft </w:t>
      </w:r>
      <w:r w:rsidR="00014224">
        <w:t>r</w:t>
      </w:r>
      <w:r>
        <w:t xml:space="preserve">eport explained that if a </w:t>
      </w:r>
      <w:proofErr w:type="gramStart"/>
      <w:r>
        <w:t xml:space="preserve">sewage </w:t>
      </w:r>
      <w:r w:rsidR="007037EE">
        <w:t xml:space="preserve">volume </w:t>
      </w:r>
      <w:r>
        <w:t>usage charge</w:t>
      </w:r>
      <w:proofErr w:type="gramEnd"/>
      <w:r>
        <w:t xml:space="preserve"> was introduced at the short</w:t>
      </w:r>
      <w:r w:rsidR="00014224">
        <w:t>-</w:t>
      </w:r>
      <w:r>
        <w:t xml:space="preserve">run marginal cost of $0.26 per kL, the </w:t>
      </w:r>
      <w:r>
        <w:rPr>
          <w:lang w:val="en-AU"/>
        </w:rPr>
        <w:t xml:space="preserve">distributional impacts and </w:t>
      </w:r>
      <w:r w:rsidR="002A6D4C">
        <w:rPr>
          <w:lang w:val="en-AU"/>
        </w:rPr>
        <w:t xml:space="preserve">change in </w:t>
      </w:r>
      <w:r>
        <w:rPr>
          <w:lang w:val="en-AU"/>
        </w:rPr>
        <w:t xml:space="preserve">price levels are likely to be relatively small. This reflects the dominance of fixed costs in the cost structure. </w:t>
      </w:r>
    </w:p>
    <w:p w14:paraId="407A9CA7" w14:textId="77777777" w:rsidR="00B27A6F" w:rsidRDefault="00B27A6F" w:rsidP="00B27A6F">
      <w:pPr>
        <w:pStyle w:val="Heading2a"/>
      </w:pPr>
      <w:bookmarkStart w:id="275" w:name="_Toc476754001"/>
      <w:bookmarkStart w:id="276" w:name="_Toc478465478"/>
      <w:r>
        <w:t>6.8</w:t>
      </w:r>
      <w:r>
        <w:tab/>
        <w:t>Simplicity</w:t>
      </w:r>
      <w:bookmarkEnd w:id="275"/>
      <w:bookmarkEnd w:id="276"/>
    </w:p>
    <w:p w14:paraId="3AD88085" w14:textId="77777777" w:rsidR="00B27A6F" w:rsidRDefault="00B27A6F" w:rsidP="00B27A6F">
      <w:r>
        <w:t xml:space="preserve">The current tariff structure has been in place for a long </w:t>
      </w:r>
      <w:proofErr w:type="gramStart"/>
      <w:r>
        <w:t>time and is simple</w:t>
      </w:r>
      <w:proofErr w:type="gramEnd"/>
      <w:r>
        <w:t xml:space="preserve"> and should be well understood by customers.</w:t>
      </w:r>
      <w:r w:rsidR="008013DA">
        <w:t xml:space="preserve"> </w:t>
      </w:r>
      <w:r>
        <w:t xml:space="preserve">It is also easy to implement. </w:t>
      </w:r>
    </w:p>
    <w:p w14:paraId="1EC73D98" w14:textId="77777777" w:rsidR="00B27A6F" w:rsidRDefault="00B27A6F" w:rsidP="00B27A6F">
      <w:pPr>
        <w:pStyle w:val="Heading2a"/>
      </w:pPr>
      <w:bookmarkStart w:id="277" w:name="_Toc476754002"/>
      <w:bookmarkStart w:id="278" w:name="_Toc478465479"/>
      <w:r>
        <w:t>6.9</w:t>
      </w:r>
      <w:r>
        <w:tab/>
        <w:t>Transparency</w:t>
      </w:r>
      <w:bookmarkEnd w:id="277"/>
      <w:bookmarkEnd w:id="278"/>
    </w:p>
    <w:p w14:paraId="5C92AA70" w14:textId="77777777" w:rsidR="00B27A6F" w:rsidRDefault="00B27A6F" w:rsidP="00B27A6F">
      <w:r>
        <w:t xml:space="preserve">The current tariff </w:t>
      </w:r>
      <w:proofErr w:type="gramStart"/>
      <w:r>
        <w:t>was introduced</w:t>
      </w:r>
      <w:proofErr w:type="gramEnd"/>
      <w:r>
        <w:t xml:space="preserve"> using a transparent methodology </w:t>
      </w:r>
      <w:r w:rsidRPr="002A6D4C">
        <w:t xml:space="preserve">and </w:t>
      </w:r>
      <w:r w:rsidR="002A6D4C">
        <w:t xml:space="preserve">the determination process was </w:t>
      </w:r>
      <w:r w:rsidRPr="002A6D4C">
        <w:t>subject to</w:t>
      </w:r>
      <w:r>
        <w:t xml:space="preserve"> public scrutiny.</w:t>
      </w:r>
    </w:p>
    <w:p w14:paraId="01A169B3" w14:textId="77777777" w:rsidR="00B27A6F" w:rsidRDefault="00B27A6F" w:rsidP="00B27A6F">
      <w:pPr>
        <w:pStyle w:val="Heading2a"/>
      </w:pPr>
      <w:bookmarkStart w:id="279" w:name="_Toc476754003"/>
      <w:bookmarkStart w:id="280" w:name="_Toc478465480"/>
      <w:r>
        <w:t>6.10</w:t>
      </w:r>
      <w:r>
        <w:tab/>
        <w:t>Summary assessment</w:t>
      </w:r>
      <w:bookmarkEnd w:id="279"/>
      <w:bookmarkEnd w:id="280"/>
    </w:p>
    <w:p w14:paraId="2860B7CB" w14:textId="591A5ED6" w:rsidR="00B27A6F" w:rsidRDefault="00316BDF" w:rsidP="00B27A6F">
      <w:r>
        <w:fldChar w:fldCharType="begin"/>
      </w:r>
      <w:r>
        <w:instrText xml:space="preserve"> REF _Ref476558740 \h </w:instrText>
      </w:r>
      <w:r>
        <w:fldChar w:fldCharType="separate"/>
      </w:r>
      <w:r>
        <w:t xml:space="preserve">Table </w:t>
      </w:r>
      <w:r>
        <w:rPr>
          <w:noProof/>
        </w:rPr>
        <w:t>6</w:t>
      </w:r>
      <w:r>
        <w:t>.</w:t>
      </w:r>
      <w:r>
        <w:rPr>
          <w:noProof/>
        </w:rPr>
        <w:t>1</w:t>
      </w:r>
      <w:r>
        <w:fldChar w:fldCharType="end"/>
      </w:r>
      <w:r>
        <w:t xml:space="preserve"> </w:t>
      </w:r>
      <w:r w:rsidR="00B27A6F">
        <w:t>shows the summary assessment of the current sewerage services tariff structure against the pricing principles.</w:t>
      </w:r>
      <w:r w:rsidR="008013DA">
        <w:t xml:space="preserve"> </w:t>
      </w:r>
      <w:r w:rsidR="00B27A6F">
        <w:t>The main point is that the tariff structure does not provide an efficient price signal in relation to usage.</w:t>
      </w:r>
      <w:r w:rsidR="008013DA">
        <w:t xml:space="preserve"> </w:t>
      </w:r>
      <w:r w:rsidR="00B27A6F">
        <w:t xml:space="preserve">However, there is not a strong case for change given the cost structure of Icon Water and the additional administration costs that would be required if a usage charge was introduced. </w:t>
      </w:r>
    </w:p>
    <w:p w14:paraId="2177B054" w14:textId="3714C548" w:rsidR="00B27A6F" w:rsidRDefault="00B27A6F" w:rsidP="00B27A6F">
      <w:pPr>
        <w:pStyle w:val="TableName0"/>
      </w:pPr>
      <w:bookmarkStart w:id="281" w:name="_Ref476558740"/>
      <w:bookmarkStart w:id="282" w:name="_Toc476559524"/>
      <w:bookmarkStart w:id="283" w:name="_Toc478480709"/>
      <w:r>
        <w:lastRenderedPageBreak/>
        <w:t xml:space="preserve">Table </w:t>
      </w:r>
      <w:r w:rsidR="00702C16">
        <w:fldChar w:fldCharType="begin"/>
      </w:r>
      <w:r w:rsidR="00702C16">
        <w:instrText xml:space="preserve"> STYLEREF 1 \s </w:instrText>
      </w:r>
      <w:r w:rsidR="00702C16">
        <w:fldChar w:fldCharType="separate"/>
      </w:r>
      <w:r w:rsidR="00702C16">
        <w:rPr>
          <w:noProof/>
        </w:rPr>
        <w:t>6</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281"/>
      <w:r>
        <w:tab/>
        <w:t>Summary assessment of current sewerage services tariff structure</w:t>
      </w:r>
      <w:bookmarkEnd w:id="282"/>
      <w:bookmarkEnd w:id="283"/>
    </w:p>
    <w:tbl>
      <w:tblPr>
        <w:tblW w:w="5000"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2975"/>
        <w:gridCol w:w="1587"/>
        <w:gridCol w:w="3149"/>
      </w:tblGrid>
      <w:tr w:rsidR="00B27A6F" w:rsidRPr="00144F8C" w14:paraId="2B406B37" w14:textId="77777777" w:rsidTr="00565545">
        <w:trPr>
          <w:cantSplit/>
        </w:trPr>
        <w:tc>
          <w:tcPr>
            <w:tcW w:w="1929" w:type="pct"/>
            <w:tcBorders>
              <w:top w:val="single" w:sz="12" w:space="0" w:color="1F497D"/>
              <w:left w:val="nil"/>
              <w:bottom w:val="single" w:sz="8" w:space="0" w:color="1F497D"/>
              <w:right w:val="nil"/>
            </w:tcBorders>
            <w:shd w:val="clear" w:color="auto" w:fill="DBE5F1"/>
            <w:vAlign w:val="bottom"/>
          </w:tcPr>
          <w:p w14:paraId="07B453BC" w14:textId="77777777" w:rsidR="00B27A6F" w:rsidRPr="00347ADB" w:rsidRDefault="00B27A6F" w:rsidP="003A7D85">
            <w:pPr>
              <w:pStyle w:val="TableHeadingLeft"/>
              <w:keepNext/>
            </w:pPr>
            <w:r>
              <w:t>Principles</w:t>
            </w:r>
          </w:p>
        </w:tc>
        <w:tc>
          <w:tcPr>
            <w:tcW w:w="1029" w:type="pct"/>
            <w:tcBorders>
              <w:top w:val="single" w:sz="12" w:space="0" w:color="1F497D"/>
              <w:left w:val="nil"/>
              <w:bottom w:val="single" w:sz="8" w:space="0" w:color="1F497D"/>
              <w:right w:val="nil"/>
            </w:tcBorders>
            <w:shd w:val="clear" w:color="auto" w:fill="DBE5F1"/>
            <w:vAlign w:val="bottom"/>
          </w:tcPr>
          <w:p w14:paraId="2BFCFA86" w14:textId="77777777" w:rsidR="00B27A6F" w:rsidRPr="00347ADB" w:rsidRDefault="00B27A6F" w:rsidP="003A7D85">
            <w:pPr>
              <w:pStyle w:val="TableHeadingLeft"/>
              <w:keepNext/>
              <w:jc w:val="center"/>
            </w:pPr>
            <w:r>
              <w:t>Assessment</w:t>
            </w:r>
          </w:p>
        </w:tc>
        <w:tc>
          <w:tcPr>
            <w:tcW w:w="2042" w:type="pct"/>
            <w:tcBorders>
              <w:top w:val="single" w:sz="12" w:space="0" w:color="1F497D"/>
              <w:left w:val="nil"/>
              <w:bottom w:val="single" w:sz="8" w:space="0" w:color="1F497D"/>
              <w:right w:val="nil"/>
            </w:tcBorders>
            <w:shd w:val="clear" w:color="auto" w:fill="DBE5F1"/>
          </w:tcPr>
          <w:p w14:paraId="2323B0C0" w14:textId="77777777" w:rsidR="00B27A6F" w:rsidRDefault="00B27A6F" w:rsidP="003A7D85">
            <w:pPr>
              <w:pStyle w:val="TableHeadingLeft"/>
              <w:keepNext/>
            </w:pPr>
            <w:r>
              <w:t>Comment</w:t>
            </w:r>
          </w:p>
        </w:tc>
      </w:tr>
      <w:tr w:rsidR="00B27A6F" w:rsidRPr="00144F8C" w14:paraId="3E256865" w14:textId="77777777" w:rsidTr="00565545">
        <w:trPr>
          <w:cantSplit/>
          <w:trHeight w:val="313"/>
        </w:trPr>
        <w:tc>
          <w:tcPr>
            <w:tcW w:w="1929" w:type="pct"/>
            <w:tcBorders>
              <w:top w:val="nil"/>
              <w:left w:val="nil"/>
              <w:bottom w:val="nil"/>
              <w:right w:val="nil"/>
            </w:tcBorders>
            <w:shd w:val="clear" w:color="auto" w:fill="DDD9C3"/>
          </w:tcPr>
          <w:p w14:paraId="615DD450" w14:textId="77777777" w:rsidR="00B27A6F" w:rsidRPr="008D70AD" w:rsidRDefault="00B27A6F" w:rsidP="003A7D85">
            <w:pPr>
              <w:pStyle w:val="TableHeadingLeft"/>
              <w:keepNext/>
              <w:rPr>
                <w:b w:val="0"/>
              </w:rPr>
            </w:pPr>
            <w:r w:rsidRPr="008D70AD">
              <w:rPr>
                <w:b w:val="0"/>
              </w:rPr>
              <w:t>1</w:t>
            </w:r>
            <w:r w:rsidR="008013DA">
              <w:rPr>
                <w:b w:val="0"/>
              </w:rPr>
              <w:t xml:space="preserve"> </w:t>
            </w:r>
            <w:r>
              <w:rPr>
                <w:b w:val="0"/>
              </w:rPr>
              <w:t xml:space="preserve">Economic </w:t>
            </w:r>
            <w:r w:rsidRPr="008D70AD">
              <w:rPr>
                <w:b w:val="0"/>
              </w:rPr>
              <w:t>efficiency</w:t>
            </w:r>
            <w:r>
              <w:rPr>
                <w:b w:val="0"/>
              </w:rPr>
              <w:t xml:space="preserve"> in use</w:t>
            </w:r>
          </w:p>
        </w:tc>
        <w:tc>
          <w:tcPr>
            <w:tcW w:w="1029" w:type="pct"/>
            <w:tcBorders>
              <w:top w:val="nil"/>
              <w:left w:val="nil"/>
              <w:bottom w:val="nil"/>
              <w:right w:val="nil"/>
            </w:tcBorders>
            <w:shd w:val="clear" w:color="auto" w:fill="DDD9C3"/>
          </w:tcPr>
          <w:p w14:paraId="67A6F383" w14:textId="77777777" w:rsidR="00B27A6F" w:rsidRPr="008D70AD" w:rsidRDefault="00B27A6F" w:rsidP="003A7D85">
            <w:pPr>
              <w:pStyle w:val="TableHeadingLeft"/>
              <w:keepNext/>
              <w:jc w:val="center"/>
              <w:rPr>
                <w:b w:val="0"/>
              </w:rPr>
            </w:pPr>
            <w:r>
              <w:rPr>
                <w:b w:val="0"/>
              </w:rPr>
              <w:sym w:font="Wingdings" w:char="F0FB"/>
            </w:r>
          </w:p>
        </w:tc>
        <w:tc>
          <w:tcPr>
            <w:tcW w:w="2042" w:type="pct"/>
            <w:tcBorders>
              <w:top w:val="nil"/>
              <w:left w:val="nil"/>
              <w:bottom w:val="nil"/>
              <w:right w:val="nil"/>
            </w:tcBorders>
            <w:shd w:val="clear" w:color="auto" w:fill="DDD9C3"/>
          </w:tcPr>
          <w:p w14:paraId="0AD8E713" w14:textId="77777777" w:rsidR="00B27A6F" w:rsidRPr="008D70AD" w:rsidRDefault="00014224" w:rsidP="003A7D85">
            <w:pPr>
              <w:pStyle w:val="TableHeadingLeft"/>
              <w:keepNext/>
              <w:rPr>
                <w:b w:val="0"/>
              </w:rPr>
            </w:pPr>
            <w:r>
              <w:rPr>
                <w:b w:val="0"/>
              </w:rPr>
              <w:t>No usage component.</w:t>
            </w:r>
          </w:p>
        </w:tc>
      </w:tr>
      <w:tr w:rsidR="00B27A6F" w:rsidRPr="00144F8C" w14:paraId="1EC07085" w14:textId="77777777" w:rsidTr="00565545">
        <w:trPr>
          <w:cantSplit/>
        </w:trPr>
        <w:tc>
          <w:tcPr>
            <w:tcW w:w="1929" w:type="pct"/>
            <w:tcBorders>
              <w:top w:val="nil"/>
              <w:left w:val="nil"/>
              <w:bottom w:val="nil"/>
              <w:right w:val="nil"/>
            </w:tcBorders>
            <w:shd w:val="clear" w:color="auto" w:fill="DDD9C3"/>
          </w:tcPr>
          <w:p w14:paraId="3C22AFC7" w14:textId="77777777" w:rsidR="00B27A6F" w:rsidRDefault="00B27A6F" w:rsidP="003A7D85">
            <w:pPr>
              <w:pStyle w:val="TableHeadingLeft"/>
              <w:keepNext/>
              <w:rPr>
                <w:b w:val="0"/>
              </w:rPr>
            </w:pPr>
            <w:r>
              <w:rPr>
                <w:b w:val="0"/>
              </w:rPr>
              <w:t>2</w:t>
            </w:r>
            <w:r w:rsidR="008013DA">
              <w:rPr>
                <w:b w:val="0"/>
              </w:rPr>
              <w:t xml:space="preserve"> </w:t>
            </w:r>
            <w:r>
              <w:rPr>
                <w:b w:val="0"/>
              </w:rPr>
              <w:t>Economic efficienc</w:t>
            </w:r>
            <w:r w:rsidR="00C9270F">
              <w:rPr>
                <w:b w:val="0"/>
              </w:rPr>
              <w:t xml:space="preserve">y for investment and operation </w:t>
            </w:r>
          </w:p>
        </w:tc>
        <w:tc>
          <w:tcPr>
            <w:tcW w:w="1029" w:type="pct"/>
            <w:tcBorders>
              <w:top w:val="nil"/>
              <w:left w:val="nil"/>
              <w:bottom w:val="nil"/>
              <w:right w:val="nil"/>
            </w:tcBorders>
            <w:shd w:val="clear" w:color="auto" w:fill="DDD9C3"/>
          </w:tcPr>
          <w:p w14:paraId="19BE2AE7" w14:textId="77777777" w:rsidR="00B27A6F" w:rsidRDefault="00B27A6F" w:rsidP="003A7D85">
            <w:pPr>
              <w:pStyle w:val="TableHeadingLeft"/>
              <w:keepNext/>
              <w:jc w:val="center"/>
              <w:rPr>
                <w:b w:val="0"/>
              </w:rPr>
            </w:pPr>
            <w:r>
              <w:rPr>
                <w:b w:val="0"/>
              </w:rPr>
              <w:sym w:font="Wingdings" w:char="F0FC"/>
            </w:r>
          </w:p>
        </w:tc>
        <w:tc>
          <w:tcPr>
            <w:tcW w:w="2042" w:type="pct"/>
            <w:tcBorders>
              <w:top w:val="nil"/>
              <w:left w:val="nil"/>
              <w:bottom w:val="nil"/>
              <w:right w:val="nil"/>
            </w:tcBorders>
            <w:shd w:val="clear" w:color="auto" w:fill="DDD9C3"/>
          </w:tcPr>
          <w:p w14:paraId="2F80AFF1" w14:textId="77777777" w:rsidR="00B27A6F" w:rsidRPr="0079124D" w:rsidRDefault="00B27A6F" w:rsidP="003A7D85">
            <w:pPr>
              <w:pStyle w:val="TableHeadingLeft"/>
              <w:keepNext/>
              <w:rPr>
                <w:b w:val="0"/>
              </w:rPr>
            </w:pPr>
            <w:r w:rsidRPr="002A6D4C">
              <w:rPr>
                <w:b w:val="0"/>
              </w:rPr>
              <w:t>Efficient cost recovery given the pre-dominance of fixed c</w:t>
            </w:r>
            <w:r w:rsidRPr="0079124D">
              <w:rPr>
                <w:b w:val="0"/>
              </w:rPr>
              <w:t>osts.</w:t>
            </w:r>
          </w:p>
          <w:p w14:paraId="76EA8A16" w14:textId="77777777" w:rsidR="00B27A6F" w:rsidRPr="0079124D" w:rsidRDefault="00B27A6F" w:rsidP="003A7D85">
            <w:pPr>
              <w:pStyle w:val="TableHeadingLeft"/>
              <w:keepNext/>
              <w:rPr>
                <w:b w:val="0"/>
              </w:rPr>
            </w:pPr>
            <w:r w:rsidRPr="00C90BD3">
              <w:rPr>
                <w:b w:val="0"/>
              </w:rPr>
              <w:t xml:space="preserve">The efficient level of costs </w:t>
            </w:r>
            <w:proofErr w:type="gramStart"/>
            <w:r w:rsidRPr="00C90BD3">
              <w:rPr>
                <w:b w:val="0"/>
              </w:rPr>
              <w:t xml:space="preserve">is </w:t>
            </w:r>
            <w:r w:rsidRPr="002A6D4C">
              <w:rPr>
                <w:b w:val="0"/>
              </w:rPr>
              <w:t>primarily</w:t>
            </w:r>
            <w:r w:rsidRPr="0079124D">
              <w:rPr>
                <w:b w:val="0"/>
              </w:rPr>
              <w:t xml:space="preserve"> addressed</w:t>
            </w:r>
            <w:proofErr w:type="gramEnd"/>
            <w:r w:rsidRPr="0079124D">
              <w:rPr>
                <w:b w:val="0"/>
              </w:rPr>
              <w:t xml:space="preserve"> with separate auditing mechanisms.</w:t>
            </w:r>
          </w:p>
        </w:tc>
      </w:tr>
      <w:tr w:rsidR="00B27A6F" w:rsidRPr="00144F8C" w14:paraId="0B17185E" w14:textId="77777777" w:rsidTr="00014224">
        <w:trPr>
          <w:cantSplit/>
          <w:trHeight w:val="410"/>
        </w:trPr>
        <w:tc>
          <w:tcPr>
            <w:tcW w:w="1929" w:type="pct"/>
            <w:tcBorders>
              <w:top w:val="nil"/>
              <w:left w:val="nil"/>
              <w:bottom w:val="nil"/>
              <w:right w:val="nil"/>
            </w:tcBorders>
            <w:shd w:val="clear" w:color="auto" w:fill="FDE9D9"/>
          </w:tcPr>
          <w:p w14:paraId="57A961FA" w14:textId="77777777" w:rsidR="00B27A6F" w:rsidRPr="008D70AD" w:rsidRDefault="00B27A6F" w:rsidP="003A7D85">
            <w:pPr>
              <w:pStyle w:val="TableHeadingLeft"/>
              <w:keepNext/>
              <w:rPr>
                <w:b w:val="0"/>
              </w:rPr>
            </w:pPr>
            <w:r>
              <w:rPr>
                <w:b w:val="0"/>
              </w:rPr>
              <w:t>3</w:t>
            </w:r>
            <w:r w:rsidR="008013DA">
              <w:rPr>
                <w:b w:val="0"/>
              </w:rPr>
              <w:t xml:space="preserve"> </w:t>
            </w:r>
            <w:r>
              <w:rPr>
                <w:b w:val="0"/>
              </w:rPr>
              <w:t>Environmental considerations</w:t>
            </w:r>
          </w:p>
        </w:tc>
        <w:tc>
          <w:tcPr>
            <w:tcW w:w="1029" w:type="pct"/>
            <w:tcBorders>
              <w:top w:val="nil"/>
              <w:left w:val="nil"/>
              <w:bottom w:val="nil"/>
              <w:right w:val="nil"/>
            </w:tcBorders>
            <w:shd w:val="clear" w:color="auto" w:fill="FDE9D9"/>
          </w:tcPr>
          <w:p w14:paraId="18208E7C" w14:textId="77777777" w:rsidR="00B27A6F" w:rsidRPr="008D70AD" w:rsidRDefault="00B27A6F" w:rsidP="003A7D85">
            <w:pPr>
              <w:pStyle w:val="TableHeadingLeft"/>
              <w:keepNext/>
              <w:jc w:val="center"/>
              <w:rPr>
                <w:b w:val="0"/>
              </w:rPr>
            </w:pPr>
            <w:r>
              <w:rPr>
                <w:b w:val="0"/>
              </w:rPr>
              <w:sym w:font="Wingdings" w:char="F0FC"/>
            </w:r>
          </w:p>
        </w:tc>
        <w:tc>
          <w:tcPr>
            <w:tcW w:w="2042" w:type="pct"/>
            <w:tcBorders>
              <w:top w:val="nil"/>
              <w:left w:val="nil"/>
              <w:bottom w:val="nil"/>
              <w:right w:val="nil"/>
            </w:tcBorders>
            <w:shd w:val="clear" w:color="auto" w:fill="FDE9D9"/>
          </w:tcPr>
          <w:p w14:paraId="3406FCA5" w14:textId="77777777" w:rsidR="00B27A6F" w:rsidRPr="002A6D4C" w:rsidRDefault="00B27A6F" w:rsidP="003A7D85">
            <w:pPr>
              <w:pStyle w:val="TableHeadingLeft"/>
              <w:keepNext/>
              <w:rPr>
                <w:b w:val="0"/>
              </w:rPr>
            </w:pPr>
            <w:r w:rsidRPr="002A6D4C">
              <w:rPr>
                <w:b w:val="0"/>
              </w:rPr>
              <w:t xml:space="preserve">Priority environmental objectives </w:t>
            </w:r>
            <w:proofErr w:type="gramStart"/>
            <w:r w:rsidRPr="002A6D4C">
              <w:rPr>
                <w:b w:val="0"/>
              </w:rPr>
              <w:t>are address</w:t>
            </w:r>
            <w:r w:rsidR="00014224" w:rsidRPr="002A6D4C">
              <w:rPr>
                <w:b w:val="0"/>
              </w:rPr>
              <w:t>ed</w:t>
            </w:r>
            <w:proofErr w:type="gramEnd"/>
            <w:r w:rsidR="00014224" w:rsidRPr="002A6D4C">
              <w:rPr>
                <w:b w:val="0"/>
              </w:rPr>
              <w:t xml:space="preserve"> with separate </w:t>
            </w:r>
            <w:r w:rsidR="00014224" w:rsidRPr="0079124D">
              <w:rPr>
                <w:b w:val="0"/>
              </w:rPr>
              <w:t>restrictions</w:t>
            </w:r>
            <w:r w:rsidR="00014224" w:rsidRPr="00C90BD3">
              <w:rPr>
                <w:b w:val="0"/>
              </w:rPr>
              <w:t>.</w:t>
            </w:r>
          </w:p>
        </w:tc>
      </w:tr>
      <w:tr w:rsidR="00B27A6F" w:rsidRPr="00144F8C" w14:paraId="7F7F616B" w14:textId="77777777" w:rsidTr="00565545">
        <w:trPr>
          <w:cantSplit/>
          <w:trHeight w:val="318"/>
        </w:trPr>
        <w:tc>
          <w:tcPr>
            <w:tcW w:w="1929" w:type="pct"/>
            <w:tcBorders>
              <w:top w:val="nil"/>
              <w:left w:val="nil"/>
              <w:bottom w:val="nil"/>
              <w:right w:val="nil"/>
            </w:tcBorders>
            <w:shd w:val="clear" w:color="auto" w:fill="DAEEF3"/>
          </w:tcPr>
          <w:p w14:paraId="100E7A22" w14:textId="77777777" w:rsidR="00B27A6F" w:rsidRDefault="00B27A6F" w:rsidP="003A7D85">
            <w:pPr>
              <w:pStyle w:val="TableTextLeft"/>
              <w:keepNext/>
            </w:pPr>
            <w:r>
              <w:t>4</w:t>
            </w:r>
            <w:r w:rsidR="008013DA">
              <w:t xml:space="preserve"> </w:t>
            </w:r>
            <w:r>
              <w:t xml:space="preserve">Community impact </w:t>
            </w:r>
            <w:r w:rsidR="00565545">
              <w:t>–</w:t>
            </w:r>
            <w:r>
              <w:t xml:space="preserve"> gradual adjustment </w:t>
            </w:r>
          </w:p>
          <w:p w14:paraId="167035BB" w14:textId="77777777" w:rsidR="00B27A6F" w:rsidRPr="008D70AD" w:rsidRDefault="00B27A6F" w:rsidP="003A7D85">
            <w:pPr>
              <w:pStyle w:val="TableTextLeft"/>
              <w:keepNext/>
            </w:pPr>
          </w:p>
        </w:tc>
        <w:tc>
          <w:tcPr>
            <w:tcW w:w="1029" w:type="pct"/>
            <w:tcBorders>
              <w:top w:val="nil"/>
              <w:left w:val="nil"/>
              <w:bottom w:val="nil"/>
              <w:right w:val="nil"/>
            </w:tcBorders>
            <w:shd w:val="clear" w:color="auto" w:fill="DAEEF3"/>
          </w:tcPr>
          <w:p w14:paraId="69CA166E" w14:textId="77777777" w:rsidR="00B27A6F" w:rsidRPr="008D70AD" w:rsidRDefault="00B27A6F" w:rsidP="003A7D85">
            <w:pPr>
              <w:pStyle w:val="TableTextLeft"/>
              <w:keepNext/>
              <w:jc w:val="center"/>
            </w:pPr>
            <w:r>
              <w:t>not applicable unless there is change</w:t>
            </w:r>
          </w:p>
        </w:tc>
        <w:tc>
          <w:tcPr>
            <w:tcW w:w="2042" w:type="pct"/>
            <w:tcBorders>
              <w:top w:val="nil"/>
              <w:left w:val="nil"/>
              <w:bottom w:val="nil"/>
              <w:right w:val="nil"/>
            </w:tcBorders>
            <w:shd w:val="clear" w:color="auto" w:fill="DAEEF3"/>
          </w:tcPr>
          <w:p w14:paraId="08CB6F74" w14:textId="77777777" w:rsidR="00B27A6F" w:rsidRPr="008D70AD" w:rsidRDefault="00B27A6F" w:rsidP="003A7D85">
            <w:pPr>
              <w:pStyle w:val="TableTextLeft"/>
              <w:keepNext/>
            </w:pPr>
            <w:r>
              <w:t xml:space="preserve">If the tariff structure </w:t>
            </w:r>
            <w:proofErr w:type="gramStart"/>
            <w:r>
              <w:t>were changed</w:t>
            </w:r>
            <w:proofErr w:type="gramEnd"/>
            <w:r>
              <w:t xml:space="preserve"> to</w:t>
            </w:r>
            <w:r w:rsidR="008013DA">
              <w:t xml:space="preserve"> </w:t>
            </w:r>
            <w:r>
              <w:t>introduce usage charges based on marginal cost, the adjustment costs and equity impacts wo</w:t>
            </w:r>
            <w:r w:rsidR="00014224">
              <w:t xml:space="preserve">uld most likely be very small. </w:t>
            </w:r>
          </w:p>
        </w:tc>
      </w:tr>
      <w:tr w:rsidR="00B27A6F" w:rsidRPr="00144F8C" w14:paraId="0D6C5A0D" w14:textId="77777777" w:rsidTr="00565545">
        <w:trPr>
          <w:cantSplit/>
          <w:trHeight w:val="318"/>
        </w:trPr>
        <w:tc>
          <w:tcPr>
            <w:tcW w:w="1929" w:type="pct"/>
            <w:tcBorders>
              <w:top w:val="nil"/>
              <w:left w:val="nil"/>
              <w:bottom w:val="nil"/>
              <w:right w:val="nil"/>
            </w:tcBorders>
            <w:shd w:val="clear" w:color="auto" w:fill="DAEEF3"/>
          </w:tcPr>
          <w:p w14:paraId="54C9537C" w14:textId="77777777" w:rsidR="00B27A6F" w:rsidRPr="008D70AD" w:rsidRDefault="00B27A6F" w:rsidP="003A7D85">
            <w:pPr>
              <w:pStyle w:val="TableTextLeft"/>
              <w:keepNext/>
            </w:pPr>
            <w:r>
              <w:t>5</w:t>
            </w:r>
            <w:r w:rsidR="008013DA">
              <w:t xml:space="preserve"> </w:t>
            </w:r>
            <w:r>
              <w:t>Community impact – fair outcomes for low</w:t>
            </w:r>
            <w:r w:rsidR="00565545">
              <w:t>-</w:t>
            </w:r>
            <w:r w:rsidR="00014224">
              <w:t>income households</w:t>
            </w:r>
          </w:p>
        </w:tc>
        <w:tc>
          <w:tcPr>
            <w:tcW w:w="1029" w:type="pct"/>
            <w:tcBorders>
              <w:top w:val="nil"/>
              <w:left w:val="nil"/>
              <w:bottom w:val="nil"/>
              <w:right w:val="nil"/>
            </w:tcBorders>
            <w:shd w:val="clear" w:color="auto" w:fill="DAEEF3"/>
          </w:tcPr>
          <w:p w14:paraId="4A94A193" w14:textId="77777777" w:rsidR="00B27A6F" w:rsidRPr="008D70AD" w:rsidRDefault="00B27A6F" w:rsidP="003A7D85">
            <w:pPr>
              <w:pStyle w:val="TableTextLeft"/>
              <w:keepNext/>
              <w:jc w:val="center"/>
            </w:pPr>
            <w:r>
              <w:rPr>
                <w:b/>
              </w:rPr>
              <w:sym w:font="Wingdings" w:char="F0FC"/>
            </w:r>
          </w:p>
        </w:tc>
        <w:tc>
          <w:tcPr>
            <w:tcW w:w="2042" w:type="pct"/>
            <w:tcBorders>
              <w:top w:val="nil"/>
              <w:left w:val="nil"/>
              <w:bottom w:val="nil"/>
              <w:right w:val="nil"/>
            </w:tcBorders>
            <w:shd w:val="clear" w:color="auto" w:fill="DAEEF3"/>
          </w:tcPr>
          <w:p w14:paraId="430762F6" w14:textId="77777777" w:rsidR="00B27A6F" w:rsidRPr="008D70AD" w:rsidRDefault="00B27A6F" w:rsidP="003A7D85">
            <w:pPr>
              <w:pStyle w:val="TableTextLeft"/>
              <w:keepNext/>
            </w:pPr>
            <w:r>
              <w:t xml:space="preserve">The distributional impact of a change in the tariff structure to improve economic efficiency would be very small. </w:t>
            </w:r>
          </w:p>
        </w:tc>
      </w:tr>
      <w:tr w:rsidR="00B27A6F" w:rsidRPr="00144F8C" w14:paraId="71B23382" w14:textId="77777777" w:rsidTr="00565545">
        <w:trPr>
          <w:cantSplit/>
          <w:trHeight w:val="200"/>
        </w:trPr>
        <w:tc>
          <w:tcPr>
            <w:tcW w:w="1929" w:type="pct"/>
            <w:tcBorders>
              <w:top w:val="nil"/>
              <w:left w:val="nil"/>
              <w:bottom w:val="nil"/>
              <w:right w:val="nil"/>
            </w:tcBorders>
            <w:shd w:val="clear" w:color="auto" w:fill="D6E3BC"/>
          </w:tcPr>
          <w:p w14:paraId="10C760AB" w14:textId="77777777" w:rsidR="00B27A6F" w:rsidRPr="008D70AD" w:rsidRDefault="00B27A6F" w:rsidP="007037EE">
            <w:pPr>
              <w:pStyle w:val="TableTextLeft"/>
              <w:keepNext/>
            </w:pPr>
            <w:r>
              <w:t>6</w:t>
            </w:r>
            <w:r w:rsidR="008013DA">
              <w:t xml:space="preserve"> </w:t>
            </w:r>
            <w:r w:rsidR="007037EE">
              <w:t>Regulatory governance – s</w:t>
            </w:r>
            <w:r w:rsidRPr="008D70AD">
              <w:t>implicity</w:t>
            </w:r>
          </w:p>
        </w:tc>
        <w:tc>
          <w:tcPr>
            <w:tcW w:w="1029" w:type="pct"/>
            <w:tcBorders>
              <w:top w:val="nil"/>
              <w:left w:val="nil"/>
              <w:bottom w:val="nil"/>
              <w:right w:val="nil"/>
            </w:tcBorders>
            <w:shd w:val="clear" w:color="auto" w:fill="D6E3BC"/>
          </w:tcPr>
          <w:p w14:paraId="4BD43F96" w14:textId="77777777" w:rsidR="00B27A6F" w:rsidRPr="008D70AD" w:rsidRDefault="00B27A6F" w:rsidP="003A7D85">
            <w:pPr>
              <w:pStyle w:val="TableTextLeft"/>
              <w:keepNext/>
              <w:jc w:val="center"/>
            </w:pPr>
            <w:r>
              <w:rPr>
                <w:b/>
              </w:rPr>
              <w:sym w:font="Wingdings" w:char="F0FC"/>
            </w:r>
          </w:p>
        </w:tc>
        <w:tc>
          <w:tcPr>
            <w:tcW w:w="2042" w:type="pct"/>
            <w:tcBorders>
              <w:top w:val="nil"/>
              <w:left w:val="nil"/>
              <w:bottom w:val="nil"/>
              <w:right w:val="nil"/>
            </w:tcBorders>
            <w:shd w:val="clear" w:color="auto" w:fill="D6E3BC"/>
          </w:tcPr>
          <w:p w14:paraId="28983190" w14:textId="77777777" w:rsidR="00B27A6F" w:rsidRPr="008D70AD" w:rsidRDefault="00B27A6F" w:rsidP="003A7D85">
            <w:pPr>
              <w:pStyle w:val="TableTextLeft"/>
              <w:keepNext/>
            </w:pPr>
            <w:r w:rsidRPr="002A6D4C">
              <w:t>Simp</w:t>
            </w:r>
            <w:r w:rsidR="00014224" w:rsidRPr="002A6D4C">
              <w:t>le to</w:t>
            </w:r>
            <w:r w:rsidR="00014224">
              <w:t xml:space="preserve"> understand and implement.</w:t>
            </w:r>
          </w:p>
        </w:tc>
      </w:tr>
      <w:tr w:rsidR="00B27A6F" w:rsidRPr="00144F8C" w14:paraId="24ED7AE7" w14:textId="77777777" w:rsidTr="00565545">
        <w:trPr>
          <w:cantSplit/>
        </w:trPr>
        <w:tc>
          <w:tcPr>
            <w:tcW w:w="1929" w:type="pct"/>
            <w:tcBorders>
              <w:top w:val="nil"/>
              <w:left w:val="nil"/>
              <w:bottom w:val="single" w:sz="12" w:space="0" w:color="1F497D"/>
              <w:right w:val="nil"/>
            </w:tcBorders>
            <w:shd w:val="clear" w:color="auto" w:fill="D6E3BC"/>
          </w:tcPr>
          <w:p w14:paraId="5C6EE608" w14:textId="77777777" w:rsidR="00B27A6F" w:rsidRPr="008D70AD" w:rsidRDefault="00B27A6F" w:rsidP="007037EE">
            <w:pPr>
              <w:pStyle w:val="TableTextLeft"/>
              <w:keepNext/>
              <w:ind w:left="720" w:hanging="720"/>
            </w:pPr>
            <w:r>
              <w:t>7</w:t>
            </w:r>
            <w:r w:rsidR="007037EE">
              <w:t>Regulatory governance – t</w:t>
            </w:r>
            <w:r w:rsidRPr="008D70AD">
              <w:t>ransparency</w:t>
            </w:r>
          </w:p>
        </w:tc>
        <w:tc>
          <w:tcPr>
            <w:tcW w:w="1029" w:type="pct"/>
            <w:tcBorders>
              <w:top w:val="nil"/>
              <w:left w:val="nil"/>
              <w:bottom w:val="single" w:sz="12" w:space="0" w:color="1F497D"/>
              <w:right w:val="nil"/>
            </w:tcBorders>
            <w:shd w:val="clear" w:color="auto" w:fill="D6E3BC"/>
          </w:tcPr>
          <w:p w14:paraId="257B98A6" w14:textId="77777777" w:rsidR="00B27A6F" w:rsidRPr="008D70AD" w:rsidRDefault="00B27A6F" w:rsidP="003A7D85">
            <w:pPr>
              <w:pStyle w:val="TableTextLeft"/>
              <w:keepNext/>
              <w:jc w:val="center"/>
            </w:pPr>
            <w:r>
              <w:rPr>
                <w:b/>
              </w:rPr>
              <w:sym w:font="Wingdings" w:char="F0FC"/>
            </w:r>
          </w:p>
        </w:tc>
        <w:tc>
          <w:tcPr>
            <w:tcW w:w="2042" w:type="pct"/>
            <w:tcBorders>
              <w:top w:val="nil"/>
              <w:left w:val="nil"/>
              <w:bottom w:val="single" w:sz="12" w:space="0" w:color="1F497D"/>
              <w:right w:val="nil"/>
            </w:tcBorders>
            <w:shd w:val="clear" w:color="auto" w:fill="D6E3BC"/>
          </w:tcPr>
          <w:p w14:paraId="119BE6AF" w14:textId="77777777" w:rsidR="00B27A6F" w:rsidRPr="008D70AD" w:rsidRDefault="00B27A6F" w:rsidP="003A7D85">
            <w:pPr>
              <w:pStyle w:val="TableTextLeft"/>
              <w:keepNext/>
            </w:pPr>
            <w:proofErr w:type="gramStart"/>
            <w:r>
              <w:t>Originally</w:t>
            </w:r>
            <w:proofErr w:type="gramEnd"/>
            <w:r>
              <w:t xml:space="preserve"> set through a </w:t>
            </w:r>
            <w:r w:rsidR="00014224">
              <w:t>transparent and public process.</w:t>
            </w:r>
          </w:p>
        </w:tc>
      </w:tr>
    </w:tbl>
    <w:p w14:paraId="4590B3A7" w14:textId="77777777" w:rsidR="00B27A6F" w:rsidRDefault="00B27A6F" w:rsidP="00B27A6F">
      <w:pPr>
        <w:pStyle w:val="Heading2a"/>
      </w:pPr>
      <w:bookmarkStart w:id="284" w:name="_Toc476754004"/>
      <w:bookmarkStart w:id="285" w:name="_Toc478465481"/>
      <w:r>
        <w:t>6.11</w:t>
      </w:r>
      <w:r>
        <w:tab/>
        <w:t>Submissions and Commission</w:t>
      </w:r>
      <w:r w:rsidR="00DC674F">
        <w:t>’</w:t>
      </w:r>
      <w:r>
        <w:t>s consideration</w:t>
      </w:r>
      <w:bookmarkEnd w:id="284"/>
      <w:bookmarkEnd w:id="285"/>
    </w:p>
    <w:p w14:paraId="5B48EF4C" w14:textId="77777777" w:rsidR="00B27A6F" w:rsidRDefault="00B27A6F" w:rsidP="00B27A6F">
      <w:pPr>
        <w:pStyle w:val="Heading3"/>
        <w:numPr>
          <w:ilvl w:val="0"/>
          <w:numId w:val="0"/>
        </w:numPr>
      </w:pPr>
      <w:r>
        <w:t>6.11.1</w:t>
      </w:r>
      <w:r>
        <w:tab/>
        <w:t>Submissions</w:t>
      </w:r>
    </w:p>
    <w:p w14:paraId="18112A74" w14:textId="77777777" w:rsidR="00B27A6F" w:rsidRDefault="00B27A6F" w:rsidP="00B27A6F">
      <w:r>
        <w:t xml:space="preserve">Icon Water submitted that as </w:t>
      </w:r>
      <w:r w:rsidRPr="00B72E23">
        <w:t xml:space="preserve">the marginal cost of sewage discharge represents just seven per cent of the total amount that needs to </w:t>
      </w:r>
      <w:proofErr w:type="gramStart"/>
      <w:r w:rsidRPr="00B72E23">
        <w:t>be recovered</w:t>
      </w:r>
      <w:proofErr w:type="gramEnd"/>
      <w:r w:rsidRPr="00B72E23">
        <w:t xml:space="preserve"> in tariffs, which is mostly fixed or sunk expenditure</w:t>
      </w:r>
      <w:r>
        <w:t xml:space="preserve">, there would be limited economic efficiency benefits from introducing a sewage usage charge, but there may be </w:t>
      </w:r>
      <w:r w:rsidRPr="005C346E">
        <w:t>significant impacts on individual customer bills.</w:t>
      </w:r>
      <w:r>
        <w:rPr>
          <w:rStyle w:val="FootnoteReference"/>
        </w:rPr>
        <w:footnoteReference w:id="78"/>
      </w:r>
      <w:r w:rsidR="008013DA">
        <w:t xml:space="preserve"> </w:t>
      </w:r>
    </w:p>
    <w:p w14:paraId="65965092" w14:textId="77777777" w:rsidR="00B27A6F" w:rsidRDefault="00B27A6F" w:rsidP="00B27A6F">
      <w:r>
        <w:t>Icon Water further stated that:</w:t>
      </w:r>
    </w:p>
    <w:p w14:paraId="529DE63A" w14:textId="77777777" w:rsidR="00B27A6F" w:rsidRDefault="00B27A6F" w:rsidP="00B27A6F">
      <w:pPr>
        <w:pStyle w:val="ColorfulGrid-Accent110"/>
      </w:pPr>
      <w:r w:rsidRPr="009F0BC1">
        <w:t>Any benefits from introducing volumetric sewerage services pricing would be significantly lower than benefits from other tariff structure reforms discussed in this submission.</w:t>
      </w:r>
      <w:r w:rsidR="008013DA">
        <w:t xml:space="preserve"> </w:t>
      </w:r>
      <w:r w:rsidRPr="009F0BC1">
        <w:t>Icon Water</w:t>
      </w:r>
      <w:r w:rsidR="00DC674F">
        <w:t>’</w:t>
      </w:r>
      <w:r w:rsidRPr="009F0BC1">
        <w:t xml:space="preserve">s view is that </w:t>
      </w:r>
      <w:proofErr w:type="gramStart"/>
      <w:r w:rsidRPr="009F0BC1">
        <w:t>sewerage pricing</w:t>
      </w:r>
      <w:proofErr w:type="gramEnd"/>
      <w:r w:rsidRPr="009F0BC1">
        <w:t xml:space="preserve"> reform in the period commencing in 2018 should focus on introducing a trade waste charging regime.</w:t>
      </w:r>
      <w:r>
        <w:rPr>
          <w:rStyle w:val="FootnoteReference"/>
        </w:rPr>
        <w:footnoteReference w:id="79"/>
      </w:r>
    </w:p>
    <w:p w14:paraId="0E961C36" w14:textId="77777777" w:rsidR="00B27A6F" w:rsidRDefault="00B27A6F" w:rsidP="00B27A6F">
      <w:r w:rsidRPr="00D8572C">
        <w:t xml:space="preserve">Icon Water also noted that during spells of dry weather, there </w:t>
      </w:r>
      <w:proofErr w:type="gramStart"/>
      <w:r w:rsidRPr="00D8572C">
        <w:t>may</w:t>
      </w:r>
      <w:proofErr w:type="gramEnd"/>
      <w:r w:rsidRPr="00D8572C">
        <w:t xml:space="preserve"> actually be cost savings from customer </w:t>
      </w:r>
      <w:r>
        <w:t xml:space="preserve">sewage </w:t>
      </w:r>
      <w:r w:rsidRPr="00D8572C">
        <w:t>discharge in some circumstances due to avoided flushing</w:t>
      </w:r>
      <w:r>
        <w:t xml:space="preserve"> by Icon Water to clear sewerage pipes</w:t>
      </w:r>
      <w:r w:rsidRPr="00D8572C">
        <w:t>.</w:t>
      </w:r>
      <w:r>
        <w:rPr>
          <w:rStyle w:val="FootnoteReference"/>
        </w:rPr>
        <w:footnoteReference w:id="80"/>
      </w:r>
    </w:p>
    <w:p w14:paraId="2FC4EEA1" w14:textId="77777777" w:rsidR="00B27A6F" w:rsidRPr="00D8572C" w:rsidRDefault="00B27A6F" w:rsidP="00B27A6F">
      <w:r>
        <w:lastRenderedPageBreak/>
        <w:t>The ACT Government supported retention of the current sewerage tariff structure, given the absence of a reliable mechanism to measure</w:t>
      </w:r>
      <w:r w:rsidR="007037EE">
        <w:t xml:space="preserve"> sewage</w:t>
      </w:r>
      <w:r>
        <w:t xml:space="preserve"> volumes.</w:t>
      </w:r>
      <w:r>
        <w:rPr>
          <w:rStyle w:val="FootnoteReference"/>
        </w:rPr>
        <w:footnoteReference w:id="81"/>
      </w:r>
    </w:p>
    <w:p w14:paraId="31035401" w14:textId="77777777" w:rsidR="00B27A6F" w:rsidRDefault="00B27A6F" w:rsidP="00B27A6F">
      <w:r w:rsidRPr="004D3492">
        <w:t xml:space="preserve">The Federal Golf Club submitted that </w:t>
      </w:r>
      <w:r>
        <w:t>it did not support a sewage usage charge based on water usage:</w:t>
      </w:r>
    </w:p>
    <w:p w14:paraId="67BA8912" w14:textId="77777777" w:rsidR="00B27A6F" w:rsidRDefault="00B27A6F" w:rsidP="00B27A6F">
      <w:pPr>
        <w:pStyle w:val="ColorfulGrid-Accent110"/>
      </w:pPr>
      <w:r>
        <w:t xml:space="preserve">We </w:t>
      </w:r>
      <w:r w:rsidRPr="004D3492">
        <w:t>would not like to see a water proxy used for the sewerage charge – I think this would be unfair for large water users like ourselves</w:t>
      </w:r>
      <w:r>
        <w:t>.</w:t>
      </w:r>
      <w:r>
        <w:rPr>
          <w:rStyle w:val="FootnoteReference"/>
        </w:rPr>
        <w:footnoteReference w:id="82"/>
      </w:r>
    </w:p>
    <w:p w14:paraId="7A296827" w14:textId="77777777" w:rsidR="00B27A6F" w:rsidRPr="00303AB7" w:rsidRDefault="00B27A6F" w:rsidP="00B27A6F">
      <w:r>
        <w:t xml:space="preserve">Dr </w:t>
      </w:r>
      <w:r w:rsidR="00C9270F">
        <w:t xml:space="preserve">David </w:t>
      </w:r>
      <w:r>
        <w:t xml:space="preserve">Denham submitted that a usage price for sewerage services would need to consider how the flow </w:t>
      </w:r>
      <w:proofErr w:type="gramStart"/>
      <w:r>
        <w:t>would be measured</w:t>
      </w:r>
      <w:proofErr w:type="gramEnd"/>
      <w:r>
        <w:t xml:space="preserve"> and if it was easy it should be done.</w:t>
      </w:r>
      <w:r w:rsidR="008013DA">
        <w:t xml:space="preserve"> </w:t>
      </w:r>
      <w:r>
        <w:t xml:space="preserve">He also submitted </w:t>
      </w:r>
      <w:r w:rsidR="00C9270F">
        <w:t xml:space="preserve">that </w:t>
      </w:r>
      <w:r>
        <w:t>he would support a scheme involving sewage usage charges where large users pay more</w:t>
      </w:r>
      <w:r w:rsidR="00C9270F">
        <w:t>,</w:t>
      </w:r>
      <w:r>
        <w:t xml:space="preserve"> but he would have to examine any proposal before making a proper assessment.</w:t>
      </w:r>
      <w:r w:rsidRPr="00754DDD">
        <w:rPr>
          <w:vertAlign w:val="superscript"/>
        </w:rPr>
        <w:footnoteReference w:id="83"/>
      </w:r>
    </w:p>
    <w:p w14:paraId="218DA099" w14:textId="77777777" w:rsidR="00B27A6F" w:rsidRDefault="00B27A6F" w:rsidP="00B27A6F">
      <w:pPr>
        <w:pStyle w:val="Heading3"/>
        <w:numPr>
          <w:ilvl w:val="0"/>
          <w:numId w:val="0"/>
        </w:numPr>
      </w:pPr>
      <w:r>
        <w:t>6.11.2</w:t>
      </w:r>
      <w:r>
        <w:tab/>
        <w:t>Commission</w:t>
      </w:r>
      <w:r w:rsidR="00DC674F">
        <w:t>’</w:t>
      </w:r>
      <w:r>
        <w:t>s consideration</w:t>
      </w:r>
    </w:p>
    <w:p w14:paraId="5156CDF2" w14:textId="77777777" w:rsidR="00B27A6F" w:rsidRDefault="00B27A6F" w:rsidP="00B27A6F">
      <w:r>
        <w:t>In contrast to Icon Water</w:t>
      </w:r>
      <w:r w:rsidR="00DC674F">
        <w:t>’</w:t>
      </w:r>
      <w:r>
        <w:t xml:space="preserve">s one-part supply tariff, a number of utilities in other jurisdictions apply a two-part tariff </w:t>
      </w:r>
      <w:r w:rsidRPr="00981C58">
        <w:t>for sewerage services</w:t>
      </w:r>
      <w:r w:rsidR="00C9270F">
        <w:t xml:space="preserve"> </w:t>
      </w:r>
      <w:r>
        <w:t>–</w:t>
      </w:r>
      <w:r w:rsidR="00C9270F">
        <w:t xml:space="preserve"> </w:t>
      </w:r>
      <w:r>
        <w:t>a supply charge and a usage-based rate.</w:t>
      </w:r>
    </w:p>
    <w:p w14:paraId="0A2797E1" w14:textId="77777777" w:rsidR="00B27A6F" w:rsidRDefault="00B27A6F" w:rsidP="00B27A6F">
      <w:r>
        <w:t xml:space="preserve">The critical question is whether the economic efficiency benefits outweigh the costs of moving from the current tariff to one with a single usage charge set with reference to </w:t>
      </w:r>
      <w:r w:rsidR="001A384B">
        <w:t xml:space="preserve">the </w:t>
      </w:r>
      <w:r>
        <w:t>marginal cost. Icon Water</w:t>
      </w:r>
      <w:r w:rsidR="00DC674F">
        <w:t>’</w:t>
      </w:r>
      <w:r>
        <w:t>s view is that the answer to this question is a clear no.</w:t>
      </w:r>
      <w:r w:rsidRPr="00970D6B">
        <w:t xml:space="preserve"> </w:t>
      </w:r>
      <w:r>
        <w:t xml:space="preserve">The Commission agrees with this </w:t>
      </w:r>
      <w:r w:rsidRPr="001A384B">
        <w:t>for several</w:t>
      </w:r>
      <w:r w:rsidRPr="0079124D">
        <w:t xml:space="preserve"> rea</w:t>
      </w:r>
      <w:r>
        <w:t>sons.</w:t>
      </w:r>
    </w:p>
    <w:p w14:paraId="2BFA59D9" w14:textId="77777777" w:rsidR="00B27A6F" w:rsidRDefault="00B27A6F" w:rsidP="00B27A6F">
      <w:r>
        <w:t>The first concerns the practical difficulty associated with introducing usage-based pricing given that</w:t>
      </w:r>
      <w:r w:rsidRPr="008446AB">
        <w:t xml:space="preserve"> </w:t>
      </w:r>
      <w:r>
        <w:t xml:space="preserve">sewage </w:t>
      </w:r>
      <w:proofErr w:type="gramStart"/>
      <w:r w:rsidRPr="008446AB">
        <w:t>is not metered</w:t>
      </w:r>
      <w:proofErr w:type="gramEnd"/>
      <w:r w:rsidRPr="008446AB">
        <w:t xml:space="preserve"> and no information is available on the volume of </w:t>
      </w:r>
      <w:r>
        <w:t xml:space="preserve">sewage </w:t>
      </w:r>
      <w:r w:rsidRPr="008446AB">
        <w:t>produced by any particular customer.</w:t>
      </w:r>
      <w:r w:rsidR="008013DA">
        <w:t xml:space="preserve"> </w:t>
      </w:r>
      <w:r w:rsidRPr="008446AB">
        <w:t xml:space="preserve">In addition, there is currently no </w:t>
      </w:r>
      <w:r>
        <w:t xml:space="preserve">practical </w:t>
      </w:r>
      <w:r w:rsidRPr="008446AB">
        <w:t xml:space="preserve">way to monitor the type or strength of </w:t>
      </w:r>
      <w:r>
        <w:t xml:space="preserve">sewage </w:t>
      </w:r>
      <w:r w:rsidRPr="008446AB">
        <w:t>produced and therefore the cost associated with trea</w:t>
      </w:r>
      <w:r>
        <w:t>tment.</w:t>
      </w:r>
    </w:p>
    <w:p w14:paraId="3E559BC5" w14:textId="77777777" w:rsidR="00B27A6F" w:rsidRPr="00BB19BF" w:rsidRDefault="00B27A6F" w:rsidP="00B27A6F">
      <w:r>
        <w:t>Other utilities have sidestepped the metering issue by using water consumption as a proxy for discharge into the sewerage system.</w:t>
      </w:r>
      <w:r w:rsidR="008013DA">
        <w:t xml:space="preserve"> </w:t>
      </w:r>
      <w:r>
        <w:t xml:space="preserve">The premise is that there is a direct relationship between the amount of indoor water used and the volume of sewage that </w:t>
      </w:r>
      <w:proofErr w:type="gramStart"/>
      <w:r>
        <w:t>is discharged</w:t>
      </w:r>
      <w:proofErr w:type="gramEnd"/>
      <w:r>
        <w:t xml:space="preserve"> into the sewerage network.</w:t>
      </w:r>
      <w:r w:rsidR="008013DA">
        <w:t xml:space="preserve"> </w:t>
      </w:r>
      <w:r>
        <w:t>This approach therefore requires the application of a seasonal factor, to account for the seasonal pattern of outdoor water use.</w:t>
      </w:r>
      <w:r w:rsidR="008013DA">
        <w:t xml:space="preserve"> </w:t>
      </w:r>
      <w:r>
        <w:t xml:space="preserve">The complexities underlying this approach </w:t>
      </w:r>
      <w:proofErr w:type="gramStart"/>
      <w:r>
        <w:t>should not be underestimated</w:t>
      </w:r>
      <w:proofErr w:type="gramEnd"/>
      <w:r>
        <w:t>, as a quick perusal of Melbourne</w:t>
      </w:r>
      <w:r w:rsidR="00DC674F">
        <w:t>’</w:t>
      </w:r>
      <w:r>
        <w:t>s City West Water pricing handbook will reveal.</w:t>
      </w:r>
      <w:r>
        <w:rPr>
          <w:rStyle w:val="FootnoteReference"/>
        </w:rPr>
        <w:footnoteReference w:id="84"/>
      </w:r>
    </w:p>
    <w:p w14:paraId="7545A869" w14:textId="77777777" w:rsidR="00B27A6F" w:rsidRDefault="00B27A6F" w:rsidP="00B27A6F">
      <w:r>
        <w:lastRenderedPageBreak/>
        <w:t>The second reason is that adding a usage component requires a forecast of sewage discharge in order to calculate prices in advance of the regulatory year.</w:t>
      </w:r>
      <w:r w:rsidR="008013DA">
        <w:t xml:space="preserve"> </w:t>
      </w:r>
      <w:r>
        <w:t xml:space="preserve">If water </w:t>
      </w:r>
      <w:proofErr w:type="gramStart"/>
      <w:r>
        <w:t>is</w:t>
      </w:r>
      <w:proofErr w:type="gramEnd"/>
      <w:r>
        <w:t xml:space="preserve"> used as a proxy, any revenue uncertainty associated with water volumes would be extended to Icon Water</w:t>
      </w:r>
      <w:r w:rsidR="00DC674F">
        <w:t>’</w:t>
      </w:r>
      <w:r>
        <w:t>s sewerage services business.</w:t>
      </w:r>
    </w:p>
    <w:p w14:paraId="0C5AA7CD" w14:textId="77777777" w:rsidR="00B27A6F" w:rsidRDefault="00B27A6F" w:rsidP="00B27A6F">
      <w:r>
        <w:t xml:space="preserve">The third reason is that, as noted by Icon Water, </w:t>
      </w:r>
      <w:r w:rsidRPr="000040CD">
        <w:t xml:space="preserve">lower volumes </w:t>
      </w:r>
      <w:r>
        <w:t xml:space="preserve">entering the sewerage network </w:t>
      </w:r>
      <w:r w:rsidRPr="000040CD">
        <w:t>do not necessarily translate into reduced costs for</w:t>
      </w:r>
      <w:r>
        <w:t xml:space="preserve"> Icon Water</w:t>
      </w:r>
      <w:r w:rsidRPr="000040CD">
        <w:t>.</w:t>
      </w:r>
      <w:r w:rsidR="008013DA">
        <w:t xml:space="preserve"> </w:t>
      </w:r>
      <w:r>
        <w:t xml:space="preserve">For example, low sewage volumes during a drought can result in difficulties </w:t>
      </w:r>
      <w:r w:rsidR="00C9270F">
        <w:t xml:space="preserve">in </w:t>
      </w:r>
      <w:r>
        <w:t>moving sewage through the network.</w:t>
      </w:r>
      <w:r w:rsidR="008013DA">
        <w:t xml:space="preserve"> </w:t>
      </w:r>
    </w:p>
    <w:p w14:paraId="0CE42D6E" w14:textId="77777777" w:rsidR="00B27A6F" w:rsidRDefault="00B27A6F" w:rsidP="00B27A6F">
      <w:r>
        <w:t>The Commission</w:t>
      </w:r>
      <w:r w:rsidR="00DC674F">
        <w:t>’</w:t>
      </w:r>
      <w:r>
        <w:t xml:space="preserve">s position is that, particularly in the absence of </w:t>
      </w:r>
      <w:r w:rsidR="00C9270F">
        <w:t xml:space="preserve">a </w:t>
      </w:r>
      <w:r>
        <w:t>reliable measure of actual discharge volumes, it is unlikely that any potential economic efficiency benefits of introducing a sewage usage charge will outweigh the costs.</w:t>
      </w:r>
      <w:r w:rsidR="008013DA">
        <w:t xml:space="preserve"> </w:t>
      </w:r>
      <w:r>
        <w:t xml:space="preserve">The Commission therefore considers that the current tariff structure </w:t>
      </w:r>
      <w:proofErr w:type="gramStart"/>
      <w:r>
        <w:t>should be retained</w:t>
      </w:r>
      <w:proofErr w:type="gramEnd"/>
      <w:r>
        <w:t>.</w:t>
      </w:r>
    </w:p>
    <w:p w14:paraId="28AF9327" w14:textId="77777777" w:rsidR="00B27A6F" w:rsidRDefault="00B27A6F" w:rsidP="00B27A6F">
      <w:pPr>
        <w:pStyle w:val="Heading2a"/>
      </w:pPr>
      <w:bookmarkStart w:id="286" w:name="_Toc476754005"/>
      <w:bookmarkStart w:id="287" w:name="_Toc478465482"/>
      <w:r>
        <w:t>6.12</w:t>
      </w:r>
      <w:r>
        <w:tab/>
        <w:t>Trade waste pricing</w:t>
      </w:r>
      <w:bookmarkEnd w:id="286"/>
      <w:bookmarkEnd w:id="287"/>
      <w:r>
        <w:t xml:space="preserve"> </w:t>
      </w:r>
    </w:p>
    <w:p w14:paraId="72AD0FDD" w14:textId="77777777" w:rsidR="00B27A6F" w:rsidRDefault="00B27A6F" w:rsidP="00B27A6F">
      <w:pPr>
        <w:pStyle w:val="Heading3"/>
        <w:numPr>
          <w:ilvl w:val="0"/>
          <w:numId w:val="0"/>
        </w:numPr>
      </w:pPr>
      <w:r>
        <w:t>6.12.1</w:t>
      </w:r>
      <w:r>
        <w:tab/>
        <w:t>Background</w:t>
      </w:r>
    </w:p>
    <w:p w14:paraId="7446832C" w14:textId="77777777" w:rsidR="00B27A6F" w:rsidRDefault="00B27A6F" w:rsidP="00B27A6F">
      <w:r>
        <w:t xml:space="preserve">In the ACT, non-domestic </w:t>
      </w:r>
      <w:r w:rsidRPr="00691089">
        <w:t>sewage</w:t>
      </w:r>
      <w:r>
        <w:t xml:space="preserve">, also </w:t>
      </w:r>
      <w:r w:rsidRPr="00691089">
        <w:t xml:space="preserve">known as </w:t>
      </w:r>
      <w:r>
        <w:t>t</w:t>
      </w:r>
      <w:r w:rsidRPr="00691089">
        <w:t>rade waste</w:t>
      </w:r>
      <w:r>
        <w:t xml:space="preserve">, requires more effort to treat than standard residential sewage, and must be approved by Icon Water </w:t>
      </w:r>
      <w:r w:rsidRPr="00691089">
        <w:t>before discharge</w:t>
      </w:r>
      <w:r>
        <w:t xml:space="preserve"> into the sewer</w:t>
      </w:r>
      <w:r w:rsidRPr="00691089">
        <w:t>.</w:t>
      </w:r>
      <w:r w:rsidR="008013DA">
        <w:t xml:space="preserve"> </w:t>
      </w:r>
      <w:r>
        <w:t>Icon Water notes that t</w:t>
      </w:r>
      <w:r w:rsidRPr="00691089">
        <w:t xml:space="preserve">his </w:t>
      </w:r>
      <w:r>
        <w:t xml:space="preserve">category also includes discharges from </w:t>
      </w:r>
      <w:r w:rsidRPr="00691089">
        <w:t>sewage recycling plants, cooling towers, rainwater filters,</w:t>
      </w:r>
      <w:r>
        <w:t xml:space="preserve"> garbage bin enclosures, pumped </w:t>
      </w:r>
      <w:r w:rsidRPr="00691089">
        <w:t>sewage and stormwater run-off directed to the sewer.</w:t>
      </w:r>
    </w:p>
    <w:p w14:paraId="502332C8" w14:textId="77777777" w:rsidR="00B27A6F" w:rsidRPr="000040CD" w:rsidRDefault="00B27A6F" w:rsidP="00B27A6F">
      <w:r>
        <w:t xml:space="preserve">In contrast to many other water and sewerage utilities, Icon Water does not currently have a specific pricing regime for trade waste. </w:t>
      </w:r>
      <w:r w:rsidR="0079124D">
        <w:t>In p</w:t>
      </w:r>
      <w:r w:rsidRPr="000040CD">
        <w:t>aragraph</w:t>
      </w:r>
      <w:r>
        <w:t xml:space="preserve"> </w:t>
      </w:r>
      <w:r w:rsidRPr="000040CD">
        <w:t xml:space="preserve">66(iii) of the </w:t>
      </w:r>
      <w:r w:rsidR="00E62F0C" w:rsidRPr="00E62F0C">
        <w:t>National Water Initiative</w:t>
      </w:r>
      <w:r w:rsidR="0079124D">
        <w:t>,</w:t>
      </w:r>
      <w:r w:rsidRPr="000040CD">
        <w:t xml:space="preserve"> </w:t>
      </w:r>
      <w:r w:rsidR="00B30030">
        <w:t>the s</w:t>
      </w:r>
      <w:r w:rsidRPr="000040CD">
        <w:t>tate</w:t>
      </w:r>
      <w:r>
        <w:t xml:space="preserve">s and </w:t>
      </w:r>
      <w:r w:rsidR="00B30030">
        <w:t>t</w:t>
      </w:r>
      <w:r>
        <w:t>erritories agree</w:t>
      </w:r>
      <w:r w:rsidR="0079124D">
        <w:t>d</w:t>
      </w:r>
      <w:r>
        <w:t xml:space="preserve"> to the:</w:t>
      </w:r>
    </w:p>
    <w:p w14:paraId="71600FF9" w14:textId="77777777" w:rsidR="00B27A6F" w:rsidRDefault="00B27A6F" w:rsidP="00B27A6F">
      <w:pPr>
        <w:pStyle w:val="ColorfulGrid-Accent110"/>
        <w:keepNext/>
      </w:pPr>
      <w:r w:rsidRPr="000040CD">
        <w:t>review and development of pricing policies for trade wastes that encourage the most cost effective methods of treating industrial wastes, whether at the source or at downstream plants, by 2006</w:t>
      </w:r>
      <w:r>
        <w:t>.</w:t>
      </w:r>
      <w:r w:rsidRPr="000040CD">
        <w:rPr>
          <w:rStyle w:val="FootnoteReference"/>
        </w:rPr>
        <w:footnoteReference w:id="85"/>
      </w:r>
    </w:p>
    <w:p w14:paraId="0D51C430" w14:textId="77777777" w:rsidR="00B27A6F" w:rsidRDefault="00B27A6F" w:rsidP="00B27A6F">
      <w:pPr>
        <w:pStyle w:val="Heading3"/>
        <w:numPr>
          <w:ilvl w:val="0"/>
          <w:numId w:val="0"/>
        </w:numPr>
      </w:pPr>
      <w:r>
        <w:t>6.12.2</w:t>
      </w:r>
      <w:r>
        <w:tab/>
        <w:t>Submissions</w:t>
      </w:r>
    </w:p>
    <w:p w14:paraId="14E01B50" w14:textId="77777777" w:rsidR="00B27A6F" w:rsidRDefault="00B27A6F" w:rsidP="00B27A6F">
      <w:r>
        <w:t>ACAT submitted that:</w:t>
      </w:r>
    </w:p>
    <w:p w14:paraId="7484968A" w14:textId="77777777" w:rsidR="00B27A6F" w:rsidRPr="008A4F05" w:rsidRDefault="00B27A6F" w:rsidP="00B27A6F">
      <w:pPr>
        <w:pStyle w:val="ColorfulGrid-Accent110"/>
      </w:pPr>
      <w:r w:rsidRPr="008A4F05">
        <w:t xml:space="preserve">The </w:t>
      </w:r>
      <w:r>
        <w:t xml:space="preserve">[sewerage charging] </w:t>
      </w:r>
      <w:r w:rsidRPr="008A4F05">
        <w:t>system should ensure large</w:t>
      </w:r>
      <w:r>
        <w:t xml:space="preserve"> </w:t>
      </w:r>
      <w:r w:rsidRPr="008A4F05">
        <w:t>businesses are paying appropriately for quantity and toxicity of the</w:t>
      </w:r>
      <w:r>
        <w:t xml:space="preserve"> </w:t>
      </w:r>
      <w:r w:rsidRPr="008A4F05">
        <w:t>waste discharged into the sewerage system.</w:t>
      </w:r>
      <w:r>
        <w:rPr>
          <w:rStyle w:val="FootnoteReference"/>
        </w:rPr>
        <w:footnoteReference w:id="86"/>
      </w:r>
    </w:p>
    <w:p w14:paraId="1D901B1B" w14:textId="77777777" w:rsidR="00B27A6F" w:rsidRDefault="00B27A6F" w:rsidP="00B27A6F">
      <w:r>
        <w:lastRenderedPageBreak/>
        <w:t xml:space="preserve">In its submissions, Icon Water indicated that it is working towards introducing a trade </w:t>
      </w:r>
      <w:proofErr w:type="gramStart"/>
      <w:r>
        <w:t>waste charging</w:t>
      </w:r>
      <w:proofErr w:type="gramEnd"/>
      <w:r>
        <w:t xml:space="preserve"> regime in 2018 to signal the costs imposed on the sewerage network by non-domestic discharge and to align with the National Water Initiative principles.</w:t>
      </w:r>
      <w:r>
        <w:rPr>
          <w:rStyle w:val="FootnoteReference"/>
        </w:rPr>
        <w:footnoteReference w:id="87"/>
      </w:r>
      <w:r w:rsidR="008013DA">
        <w:t xml:space="preserve"> </w:t>
      </w:r>
    </w:p>
    <w:p w14:paraId="3C6C8EBC" w14:textId="77777777" w:rsidR="00B27A6F" w:rsidRDefault="00B27A6F" w:rsidP="00B27A6F">
      <w:pPr>
        <w:pStyle w:val="Heading3"/>
        <w:numPr>
          <w:ilvl w:val="0"/>
          <w:numId w:val="0"/>
        </w:numPr>
      </w:pPr>
      <w:r>
        <w:t>6.12.3</w:t>
      </w:r>
      <w:r>
        <w:tab/>
        <w:t>Commission</w:t>
      </w:r>
      <w:r w:rsidR="00DC674F">
        <w:t>’</w:t>
      </w:r>
      <w:r>
        <w:t>s consideration</w:t>
      </w:r>
    </w:p>
    <w:p w14:paraId="2BAC976B" w14:textId="77777777" w:rsidR="00B27A6F" w:rsidRDefault="00B27A6F" w:rsidP="00B27A6F">
      <w:r>
        <w:t>Consistent with cost-reflective pricing, the Commission has in the past noted that where Icon Water incurs material trade waste–related increased costs, these higher costs should be passed on to the relevant customers.</w:t>
      </w:r>
      <w:r w:rsidR="008013DA">
        <w:t xml:space="preserve"> </w:t>
      </w:r>
      <w:r>
        <w:t>The Commission welcomes Icon Water</w:t>
      </w:r>
      <w:r w:rsidR="00DC674F">
        <w:t>’</w:t>
      </w:r>
      <w:r>
        <w:t>s commitment to introducing a trade waste pricing regime in the forthcoming regulatory period</w:t>
      </w:r>
      <w:r w:rsidR="00B30030">
        <w:t>.</w:t>
      </w:r>
      <w:r>
        <w:t xml:space="preserve"> </w:t>
      </w:r>
    </w:p>
    <w:p w14:paraId="1739A489" w14:textId="77777777" w:rsidR="00B27A6F" w:rsidRDefault="00B27A6F" w:rsidP="00B27A6F">
      <w:pPr>
        <w:sectPr w:rsidR="00B27A6F" w:rsidSect="00B27A6F">
          <w:headerReference w:type="default" r:id="rId59"/>
          <w:endnotePr>
            <w:numFmt w:val="decimal"/>
          </w:endnotePr>
          <w:type w:val="continuous"/>
          <w:pgSz w:w="11907" w:h="16840" w:code="9"/>
          <w:pgMar w:top="2268" w:right="2098" w:bottom="1701" w:left="2098" w:header="578" w:footer="578" w:gutter="0"/>
          <w:cols w:space="720"/>
          <w:docGrid w:linePitch="299"/>
        </w:sectPr>
      </w:pPr>
      <w:r>
        <w:t xml:space="preserve">The Commission supports the introduction of trade waste pricing to ensure that the actual costs imposed on the sewerage network </w:t>
      </w:r>
      <w:proofErr w:type="gramStart"/>
      <w:r>
        <w:t>are signalled</w:t>
      </w:r>
      <w:proofErr w:type="gramEnd"/>
      <w:r>
        <w:t xml:space="preserve"> to customers.</w:t>
      </w:r>
      <w:r w:rsidR="008013DA">
        <w:t xml:space="preserve"> </w:t>
      </w:r>
      <w:r>
        <w:t>The Commission will assess Icon Water</w:t>
      </w:r>
      <w:r w:rsidR="00DC674F">
        <w:t>’</w:t>
      </w:r>
      <w:r>
        <w:t>s trade waste pricing proposal</w:t>
      </w:r>
      <w:r w:rsidRPr="00B13F01">
        <w:t xml:space="preserve"> </w:t>
      </w:r>
      <w:r>
        <w:t>on its me</w:t>
      </w:r>
      <w:r w:rsidRPr="00C90BD3">
        <w:t>rits, when</w:t>
      </w:r>
      <w:r>
        <w:t xml:space="preserve"> presented in the lead</w:t>
      </w:r>
      <w:r w:rsidR="00B30030">
        <w:t>-</w:t>
      </w:r>
      <w:r>
        <w:t>up to the next regulatory period.</w:t>
      </w:r>
    </w:p>
    <w:p w14:paraId="1969EC3F" w14:textId="77777777" w:rsidR="00B27A6F" w:rsidRDefault="005329BC" w:rsidP="00B27A6F">
      <w:pPr>
        <w:pStyle w:val="Heading1"/>
        <w:sectPr w:rsidR="00B27A6F" w:rsidSect="00CF17A0">
          <w:headerReference w:type="first" r:id="rId60"/>
          <w:footerReference w:type="first" r:id="rId61"/>
          <w:endnotePr>
            <w:numFmt w:val="decimal"/>
          </w:endnotePr>
          <w:type w:val="oddPage"/>
          <w:pgSz w:w="11907" w:h="16840" w:code="9"/>
          <w:pgMar w:top="2268" w:right="2098" w:bottom="1701" w:left="2098" w:header="578" w:footer="578" w:gutter="0"/>
          <w:cols w:space="720"/>
          <w:titlePg/>
          <w:docGrid w:linePitch="299"/>
        </w:sectPr>
      </w:pPr>
      <w:bookmarkStart w:id="288" w:name="_Toc478465483"/>
      <w:r>
        <w:lastRenderedPageBreak/>
        <w:t>Next steps</w:t>
      </w:r>
      <w:bookmarkEnd w:id="288"/>
    </w:p>
    <w:p w14:paraId="0F98E383" w14:textId="77777777" w:rsidR="00B27A6F" w:rsidRDefault="00B27A6F" w:rsidP="00B27A6F">
      <w:pPr>
        <w:pStyle w:val="Heading2a"/>
      </w:pPr>
      <w:r>
        <w:t xml:space="preserve"> </w:t>
      </w:r>
      <w:bookmarkStart w:id="289" w:name="_Toc476754007"/>
      <w:bookmarkStart w:id="290" w:name="_Toc478465484"/>
      <w:r>
        <w:t>7.1</w:t>
      </w:r>
      <w:r>
        <w:tab/>
        <w:t>Introduction</w:t>
      </w:r>
      <w:bookmarkEnd w:id="289"/>
      <w:bookmarkEnd w:id="290"/>
    </w:p>
    <w:p w14:paraId="775CDC06" w14:textId="77777777" w:rsidR="00B27A6F" w:rsidRDefault="00B27A6F" w:rsidP="00B27A6F">
      <w:r>
        <w:t xml:space="preserve">The Commission considers that changes </w:t>
      </w:r>
      <w:proofErr w:type="gramStart"/>
      <w:r>
        <w:t>can be made</w:t>
      </w:r>
      <w:proofErr w:type="gramEnd"/>
      <w:r>
        <w:t xml:space="preserve"> to the current water tariff structure that will improve economic efficiency and that are in the long</w:t>
      </w:r>
      <w:r w:rsidR="00736B71">
        <w:t>-</w:t>
      </w:r>
      <w:r>
        <w:t>term interests of consumers in the ACT.</w:t>
      </w:r>
      <w:r w:rsidR="008013DA">
        <w:t xml:space="preserve"> </w:t>
      </w:r>
    </w:p>
    <w:p w14:paraId="4071BE4D" w14:textId="77777777" w:rsidR="00B27A6F" w:rsidRDefault="00B27A6F" w:rsidP="00B27A6F">
      <w:r>
        <w:t xml:space="preserve">The </w:t>
      </w:r>
      <w:proofErr w:type="gramStart"/>
      <w:r w:rsidR="00C90BD3">
        <w:t>Commission’s</w:t>
      </w:r>
      <w:proofErr w:type="gramEnd"/>
      <w:r w:rsidR="00C90BD3">
        <w:t xml:space="preserve"> preferred </w:t>
      </w:r>
      <w:r>
        <w:t xml:space="preserve">direction for change </w:t>
      </w:r>
      <w:r w:rsidR="00C90BD3">
        <w:t>was</w:t>
      </w:r>
      <w:r>
        <w:t xml:space="preserve"> explained in Chapter 5</w:t>
      </w:r>
      <w:r w:rsidR="00565545">
        <w:t>,</w:t>
      </w:r>
      <w:r>
        <w:t xml:space="preserve"> and in the Commission</w:t>
      </w:r>
      <w:r w:rsidR="00DC674F">
        <w:t>’</w:t>
      </w:r>
      <w:r>
        <w:t>s opinion ensure</w:t>
      </w:r>
      <w:r w:rsidR="00C90BD3">
        <w:t>s</w:t>
      </w:r>
      <w:r>
        <w:t xml:space="preserve"> an appropriate balancing o</w:t>
      </w:r>
      <w:r w:rsidR="00565545">
        <w:t>f</w:t>
      </w:r>
      <w:r>
        <w:t xml:space="preserve"> economic efficiency, social and environmental objectives.</w:t>
      </w:r>
      <w:r w:rsidR="008013DA">
        <w:t xml:space="preserve"> </w:t>
      </w:r>
      <w:r>
        <w:t>As explained in Chapter</w:t>
      </w:r>
      <w:r w:rsidR="00B30030">
        <w:t> </w:t>
      </w:r>
      <w:r>
        <w:t>6</w:t>
      </w:r>
      <w:r w:rsidR="00565545">
        <w:t>,</w:t>
      </w:r>
      <w:r>
        <w:t xml:space="preserve"> the Commission considers that changing the tariff structure for sewerage services is not in the long</w:t>
      </w:r>
      <w:r w:rsidR="00565545">
        <w:t>-</w:t>
      </w:r>
      <w:r>
        <w:t>term interests of consumers</w:t>
      </w:r>
      <w:r w:rsidR="00B30030">
        <w:t>,</w:t>
      </w:r>
      <w:r>
        <w:t xml:space="preserve"> but supports adoption of a pricing regime </w:t>
      </w:r>
      <w:r w:rsidR="00565545">
        <w:t xml:space="preserve">for trade waste </w:t>
      </w:r>
      <w:r>
        <w:t xml:space="preserve">that better reflects the cost of dealing with </w:t>
      </w:r>
      <w:r w:rsidR="00565545">
        <w:t xml:space="preserve">that </w:t>
      </w:r>
      <w:r>
        <w:t>waste.</w:t>
      </w:r>
    </w:p>
    <w:p w14:paraId="669E6E01" w14:textId="77777777" w:rsidR="00B27A6F" w:rsidRDefault="00B27A6F" w:rsidP="00B27A6F">
      <w:r>
        <w:t>This section discusses the next steps in the proce</w:t>
      </w:r>
      <w:r w:rsidRPr="00C90BD3">
        <w:t>ss.</w:t>
      </w:r>
      <w:r>
        <w:t xml:space="preserve"> </w:t>
      </w:r>
    </w:p>
    <w:p w14:paraId="66EF1AFD" w14:textId="77777777" w:rsidR="00B27A6F" w:rsidRDefault="00B27A6F" w:rsidP="00B27A6F">
      <w:pPr>
        <w:pStyle w:val="Heading2a"/>
      </w:pPr>
      <w:bookmarkStart w:id="291" w:name="_Toc476754008"/>
      <w:bookmarkStart w:id="292" w:name="_Toc478465485"/>
      <w:r>
        <w:t>7.2</w:t>
      </w:r>
      <w:r>
        <w:tab/>
        <w:t>Approach and timing</w:t>
      </w:r>
      <w:bookmarkEnd w:id="291"/>
      <w:bookmarkEnd w:id="292"/>
    </w:p>
    <w:p w14:paraId="7DEB5B0F" w14:textId="77777777" w:rsidR="00B27A6F" w:rsidRDefault="00B27A6F" w:rsidP="00B27A6F">
      <w:r>
        <w:t xml:space="preserve">As explained in this </w:t>
      </w:r>
      <w:r w:rsidR="00565545">
        <w:t>report</w:t>
      </w:r>
      <w:r>
        <w:t xml:space="preserve">, the Commission has developed a preferred direction for change but considers that specific changes to the </w:t>
      </w:r>
      <w:r w:rsidR="00C90BD3">
        <w:t xml:space="preserve">water </w:t>
      </w:r>
      <w:r>
        <w:t xml:space="preserve">tariff structure </w:t>
      </w:r>
      <w:proofErr w:type="gramStart"/>
      <w:r>
        <w:t>should be considered</w:t>
      </w:r>
      <w:proofErr w:type="gramEnd"/>
      <w:r>
        <w:t xml:space="preserve"> as part of the separate review of t</w:t>
      </w:r>
      <w:r w:rsidRPr="00C90BD3">
        <w:t>he tariffs</w:t>
      </w:r>
      <w:r>
        <w:t xml:space="preserve"> for water and sewerage services that will apply from 1 July 2018 to 30 June 2023.</w:t>
      </w:r>
      <w:r w:rsidR="008013DA">
        <w:t xml:space="preserve"> </w:t>
      </w:r>
      <w:r>
        <w:t xml:space="preserve">The review will provide information on costs and prices needed to set an appropriate tariff structure and tariff levels. </w:t>
      </w:r>
    </w:p>
    <w:p w14:paraId="49115804" w14:textId="77777777" w:rsidR="00B27A6F" w:rsidRDefault="00B27A6F" w:rsidP="00B27A6F">
      <w:r>
        <w:t xml:space="preserve">Any change </w:t>
      </w:r>
      <w:proofErr w:type="gramStart"/>
      <w:r>
        <w:t>can be expected</w:t>
      </w:r>
      <w:proofErr w:type="gramEnd"/>
      <w:r>
        <w:t xml:space="preserve"> to occur</w:t>
      </w:r>
      <w:r w:rsidR="001317F7">
        <w:t xml:space="preserve"> over a long transition period.</w:t>
      </w:r>
      <w:r w:rsidR="008013DA">
        <w:t xml:space="preserve"> </w:t>
      </w:r>
      <w:r>
        <w:t xml:space="preserve">At this stage, it </w:t>
      </w:r>
      <w:proofErr w:type="gramStart"/>
      <w:r>
        <w:t>is expected</w:t>
      </w:r>
      <w:proofErr w:type="gramEnd"/>
      <w:r>
        <w:t xml:space="preserve"> that, if changes are made for the next regulatory period from 1 July 2018</w:t>
      </w:r>
      <w:r w:rsidR="00565545">
        <w:t>,</w:t>
      </w:r>
      <w:r>
        <w:t xml:space="preserve"> they will be measured and gradual.</w:t>
      </w:r>
      <w:r w:rsidR="008013DA">
        <w:t xml:space="preserve"> </w:t>
      </w:r>
      <w:r>
        <w:t xml:space="preserve">Further, as noted, no change </w:t>
      </w:r>
      <w:proofErr w:type="gramStart"/>
      <w:r>
        <w:t>is proposed</w:t>
      </w:r>
      <w:proofErr w:type="gramEnd"/>
      <w:r>
        <w:t xml:space="preserve"> for the sewerage se</w:t>
      </w:r>
      <w:r w:rsidRPr="00B30030">
        <w:t>rvices tariff structure.</w:t>
      </w:r>
      <w:r>
        <w:t xml:space="preserve"> </w:t>
      </w:r>
    </w:p>
    <w:p w14:paraId="396A7E2D" w14:textId="77777777" w:rsidR="00B27A6F" w:rsidRDefault="00B27A6F" w:rsidP="00B27A6F">
      <w:pPr>
        <w:pStyle w:val="Heading2a"/>
      </w:pPr>
      <w:bookmarkStart w:id="293" w:name="_Toc460572228"/>
      <w:bookmarkStart w:id="294" w:name="_Toc476754009"/>
      <w:bookmarkStart w:id="295" w:name="_Toc478465486"/>
      <w:r>
        <w:t>7.3</w:t>
      </w:r>
      <w:r>
        <w:tab/>
        <w:t>Responsibility for tariff structure and prices</w:t>
      </w:r>
      <w:bookmarkEnd w:id="293"/>
      <w:bookmarkEnd w:id="294"/>
      <w:bookmarkEnd w:id="295"/>
      <w:r>
        <w:t xml:space="preserve"> </w:t>
      </w:r>
    </w:p>
    <w:p w14:paraId="45774D54" w14:textId="77777777" w:rsidR="00B27A6F" w:rsidRDefault="00B27A6F" w:rsidP="00B27A6F">
      <w:r>
        <w:t>A final point relates to the form of regulation and</w:t>
      </w:r>
      <w:r w:rsidR="00B30030">
        <w:t>,</w:t>
      </w:r>
      <w:r>
        <w:t xml:space="preserve"> in </w:t>
      </w:r>
      <w:r w:rsidR="001317F7">
        <w:t>particular,</w:t>
      </w:r>
      <w:r>
        <w:t xml:space="preserve"> the extent to which </w:t>
      </w:r>
      <w:proofErr w:type="gramStart"/>
      <w:r>
        <w:t>a tariff structure and its components would be set by the Commission</w:t>
      </w:r>
      <w:proofErr w:type="gramEnd"/>
      <w:r>
        <w:t xml:space="preserve"> so that prices are fixed for the regulatory period (subject to resets) or a revenue cap would apply that would provide more assurance of recovery of approved revenues.</w:t>
      </w:r>
      <w:r w:rsidR="008013DA">
        <w:t xml:space="preserve"> </w:t>
      </w:r>
    </w:p>
    <w:p w14:paraId="0CDE6636" w14:textId="77777777" w:rsidR="00B27A6F" w:rsidRDefault="00B27A6F" w:rsidP="00B27A6F">
      <w:r>
        <w:t>The Commission</w:t>
      </w:r>
      <w:r w:rsidR="00DC674F">
        <w:t>’</w:t>
      </w:r>
      <w:r>
        <w:t>s position is that th</w:t>
      </w:r>
      <w:r w:rsidRPr="002F0CBF">
        <w:t>e existing model sh</w:t>
      </w:r>
      <w:r>
        <w:t>ould remain in place.</w:t>
      </w:r>
      <w:r w:rsidR="008013DA">
        <w:t xml:space="preserve"> </w:t>
      </w:r>
    </w:p>
    <w:p w14:paraId="4B03DF29" w14:textId="77777777" w:rsidR="00B27A6F" w:rsidRDefault="00B27A6F" w:rsidP="00B27A6F">
      <w:r>
        <w:t>The Commission notes that there may be scope for Icon Water to be able to propose some water tariffs.</w:t>
      </w:r>
      <w:r w:rsidR="008013DA">
        <w:t xml:space="preserve"> </w:t>
      </w:r>
      <w:r>
        <w:t xml:space="preserve">For example, if a separate tariff for large commercial users were to </w:t>
      </w:r>
      <w:proofErr w:type="gramStart"/>
      <w:r>
        <w:t>be considered</w:t>
      </w:r>
      <w:proofErr w:type="gramEnd"/>
      <w:r w:rsidR="00B30030">
        <w:t>,</w:t>
      </w:r>
      <w:r>
        <w:t xml:space="preserve"> it would be preferable if Icon Water consulted with its customers before propo</w:t>
      </w:r>
      <w:r w:rsidRPr="002F0CBF">
        <w:t xml:space="preserve">sing </w:t>
      </w:r>
      <w:r w:rsidR="002F0CBF">
        <w:t>a tariff</w:t>
      </w:r>
      <w:r w:rsidR="002F0CBF" w:rsidRPr="002F0CBF">
        <w:t xml:space="preserve"> </w:t>
      </w:r>
      <w:r w:rsidRPr="002F0CBF">
        <w:t>to</w:t>
      </w:r>
      <w:r>
        <w:t xml:space="preserve"> the Commission, as it is best placed to engage with customers on its tariffs.</w:t>
      </w:r>
    </w:p>
    <w:p w14:paraId="6E9514EA" w14:textId="77777777" w:rsidR="00B27A6F" w:rsidRDefault="00B27A6F" w:rsidP="00B27A6F">
      <w:r>
        <w:lastRenderedPageBreak/>
        <w:t>However, the Commission emphasises that Icon Water will need to demonstrate that its preferred proposal is clearly the best means of addressing the pricing principles and, in particular, the objective of being in the long</w:t>
      </w:r>
      <w:r w:rsidR="00B30030">
        <w:t>-</w:t>
      </w:r>
      <w:r>
        <w:t xml:space="preserve">term interests of consumers. </w:t>
      </w:r>
    </w:p>
    <w:p w14:paraId="685039DC" w14:textId="77777777" w:rsidR="00B27A6F" w:rsidRDefault="00B27A6F" w:rsidP="00B27A6F">
      <w:r>
        <w:t xml:space="preserve">The final decision on this matter </w:t>
      </w:r>
      <w:proofErr w:type="gramStart"/>
      <w:r>
        <w:t>will be made</w:t>
      </w:r>
      <w:proofErr w:type="gramEnd"/>
      <w:r>
        <w:t xml:space="preserve"> as part of the price investigation process leading up to the start of the next regulatory period.</w:t>
      </w:r>
      <w:r w:rsidR="008013DA">
        <w:t xml:space="preserve"> </w:t>
      </w:r>
    </w:p>
    <w:p w14:paraId="68C899A4" w14:textId="77777777" w:rsidR="00B27A6F" w:rsidRDefault="00B27A6F" w:rsidP="00B27A6F">
      <w:pPr>
        <w:pStyle w:val="Heading2a"/>
      </w:pPr>
      <w:bookmarkStart w:id="296" w:name="_Toc476754010"/>
      <w:bookmarkStart w:id="297" w:name="_Toc478465487"/>
      <w:r>
        <w:t>7.4</w:t>
      </w:r>
      <w:r>
        <w:tab/>
      </w:r>
      <w:bookmarkEnd w:id="296"/>
      <w:r w:rsidR="005329BC">
        <w:t>Timeline for the water and sewerage services price investigation</w:t>
      </w:r>
      <w:bookmarkEnd w:id="297"/>
    </w:p>
    <w:p w14:paraId="72BB17EB" w14:textId="77777777" w:rsidR="00B27A6F" w:rsidRDefault="00B27A6F" w:rsidP="00B27A6F">
      <w:r w:rsidRPr="00AE2809">
        <w:t xml:space="preserve">The </w:t>
      </w:r>
      <w:r>
        <w:t xml:space="preserve">next steps and their timing depend on the tasks and timing for the separate investigation into the prices for water and sewerage services to apply from 1 July 2018 to 30 June 2023. </w:t>
      </w:r>
    </w:p>
    <w:p w14:paraId="0E918F6E" w14:textId="27A643BA" w:rsidR="00B27A6F" w:rsidRPr="00AE2809" w:rsidRDefault="00B27A6F" w:rsidP="00B27A6F">
      <w:r>
        <w:t xml:space="preserve">The tasks and indicative </w:t>
      </w:r>
      <w:r w:rsidRPr="00AE2809">
        <w:t>timeline</w:t>
      </w:r>
      <w:r>
        <w:t>s</w:t>
      </w:r>
      <w:r w:rsidRPr="00AE2809">
        <w:t xml:space="preserve"> </w:t>
      </w:r>
      <w:r>
        <w:t xml:space="preserve">for the separate pricing investigation are set out in </w:t>
      </w:r>
      <w:r w:rsidR="00316BDF">
        <w:fldChar w:fldCharType="begin"/>
      </w:r>
      <w:r w:rsidR="00316BDF">
        <w:instrText xml:space="preserve"> REF _Ref476558679 \h </w:instrText>
      </w:r>
      <w:r w:rsidR="00316BDF">
        <w:fldChar w:fldCharType="separate"/>
      </w:r>
      <w:r w:rsidR="00316BDF">
        <w:t xml:space="preserve">Table </w:t>
      </w:r>
      <w:r w:rsidR="00316BDF">
        <w:rPr>
          <w:noProof/>
        </w:rPr>
        <w:t>7</w:t>
      </w:r>
      <w:r w:rsidR="00316BDF">
        <w:t>.</w:t>
      </w:r>
      <w:r w:rsidR="00316BDF">
        <w:rPr>
          <w:noProof/>
        </w:rPr>
        <w:t>1</w:t>
      </w:r>
      <w:r w:rsidR="00316BDF">
        <w:fldChar w:fldCharType="end"/>
      </w:r>
      <w:r>
        <w:t>.</w:t>
      </w:r>
    </w:p>
    <w:p w14:paraId="01382896" w14:textId="4915022C" w:rsidR="00B27A6F" w:rsidRDefault="00B27A6F" w:rsidP="00B27A6F">
      <w:pPr>
        <w:pStyle w:val="TableName0"/>
      </w:pPr>
      <w:bookmarkStart w:id="298" w:name="_Ref476558679"/>
      <w:bookmarkStart w:id="299" w:name="_Toc476559525"/>
      <w:bookmarkStart w:id="300" w:name="_Toc478480710"/>
      <w:r>
        <w:t xml:space="preserve">Table </w:t>
      </w:r>
      <w:r w:rsidR="00702C16">
        <w:fldChar w:fldCharType="begin"/>
      </w:r>
      <w:r w:rsidR="00702C16">
        <w:instrText xml:space="preserve"> STYLEREF 1 \s </w:instrText>
      </w:r>
      <w:r w:rsidR="00702C16">
        <w:fldChar w:fldCharType="separate"/>
      </w:r>
      <w:r w:rsidR="00702C16">
        <w:rPr>
          <w:noProof/>
        </w:rPr>
        <w:t>7</w:t>
      </w:r>
      <w:r w:rsidR="00702C16">
        <w:fldChar w:fldCharType="end"/>
      </w:r>
      <w:r w:rsidR="00702C16">
        <w:t>.</w:t>
      </w:r>
      <w:r w:rsidR="00702C16">
        <w:fldChar w:fldCharType="begin"/>
      </w:r>
      <w:r w:rsidR="00702C16">
        <w:instrText xml:space="preserve"> SEQ Table \* ARABIC \s 1 </w:instrText>
      </w:r>
      <w:r w:rsidR="00702C16">
        <w:fldChar w:fldCharType="separate"/>
      </w:r>
      <w:r w:rsidR="00702C16">
        <w:rPr>
          <w:noProof/>
        </w:rPr>
        <w:t>1</w:t>
      </w:r>
      <w:r w:rsidR="00702C16">
        <w:fldChar w:fldCharType="end"/>
      </w:r>
      <w:bookmarkEnd w:id="298"/>
      <w:r>
        <w:tab/>
        <w:t>Indicative timeline for the water and sewerage services price investigation for the period 1 July 2018 to 30 June 2023</w:t>
      </w:r>
      <w:bookmarkEnd w:id="299"/>
      <w:bookmarkEnd w:id="300"/>
    </w:p>
    <w:tbl>
      <w:tblPr>
        <w:tblW w:w="4232"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4368"/>
        <w:gridCol w:w="2159"/>
      </w:tblGrid>
      <w:tr w:rsidR="00B27A6F" w:rsidRPr="00144F8C" w14:paraId="67EF23E0" w14:textId="77777777" w:rsidTr="003A7D85">
        <w:trPr>
          <w:cantSplit/>
        </w:trPr>
        <w:tc>
          <w:tcPr>
            <w:tcW w:w="3346" w:type="pct"/>
            <w:tcBorders>
              <w:top w:val="single" w:sz="12" w:space="0" w:color="1F497D"/>
              <w:left w:val="nil"/>
              <w:bottom w:val="single" w:sz="8" w:space="0" w:color="1F497D"/>
              <w:right w:val="nil"/>
            </w:tcBorders>
            <w:shd w:val="clear" w:color="auto" w:fill="DBE5F1"/>
            <w:vAlign w:val="bottom"/>
          </w:tcPr>
          <w:p w14:paraId="6279A9C1" w14:textId="77777777" w:rsidR="00B27A6F" w:rsidRPr="009E24FB" w:rsidRDefault="00B27A6F" w:rsidP="003A7D85">
            <w:pPr>
              <w:pStyle w:val="TableHeadingLeft"/>
              <w:keepNext/>
            </w:pPr>
            <w:r w:rsidRPr="002F0CBF">
              <w:t>Task</w:t>
            </w:r>
          </w:p>
        </w:tc>
        <w:tc>
          <w:tcPr>
            <w:tcW w:w="1654" w:type="pct"/>
            <w:tcBorders>
              <w:top w:val="single" w:sz="12" w:space="0" w:color="1F497D"/>
              <w:left w:val="nil"/>
              <w:bottom w:val="single" w:sz="8" w:space="0" w:color="1F497D"/>
              <w:right w:val="nil"/>
            </w:tcBorders>
            <w:shd w:val="clear" w:color="auto" w:fill="DBE5F1"/>
            <w:vAlign w:val="bottom"/>
          </w:tcPr>
          <w:p w14:paraId="707231D8" w14:textId="77777777" w:rsidR="00B27A6F" w:rsidRPr="00347ADB" w:rsidRDefault="00B27A6F" w:rsidP="003A7D85">
            <w:pPr>
              <w:pStyle w:val="TableHeadingLeft"/>
              <w:keepNext/>
            </w:pPr>
            <w:r w:rsidRPr="009E24FB">
              <w:t>Date</w:t>
            </w:r>
          </w:p>
        </w:tc>
      </w:tr>
      <w:tr w:rsidR="00B27A6F" w:rsidRPr="00736B71" w14:paraId="5E014AC3" w14:textId="77777777" w:rsidTr="003A7D85">
        <w:trPr>
          <w:cantSplit/>
        </w:trPr>
        <w:tc>
          <w:tcPr>
            <w:tcW w:w="3346" w:type="pct"/>
            <w:tcBorders>
              <w:top w:val="nil"/>
              <w:left w:val="nil"/>
              <w:bottom w:val="nil"/>
              <w:right w:val="nil"/>
            </w:tcBorders>
          </w:tcPr>
          <w:p w14:paraId="5C4044AE" w14:textId="77777777" w:rsidR="00B27A6F" w:rsidRPr="00433CED" w:rsidRDefault="00E62F0C" w:rsidP="00433CED">
            <w:pPr>
              <w:pStyle w:val="TableTextLeft"/>
              <w:keepNext/>
            </w:pPr>
            <w:r w:rsidRPr="00433CED">
              <w:t>Release of issues paper</w:t>
            </w:r>
          </w:p>
        </w:tc>
        <w:tc>
          <w:tcPr>
            <w:tcW w:w="1654" w:type="pct"/>
            <w:tcBorders>
              <w:top w:val="nil"/>
              <w:left w:val="nil"/>
              <w:bottom w:val="nil"/>
              <w:right w:val="nil"/>
            </w:tcBorders>
          </w:tcPr>
          <w:p w14:paraId="2897AE2A" w14:textId="07E950C9" w:rsidR="00B27A6F" w:rsidRPr="003F3214" w:rsidRDefault="003D768C" w:rsidP="003F3214">
            <w:pPr>
              <w:pStyle w:val="TableTextLeft"/>
              <w:keepNext/>
            </w:pPr>
            <w:r>
              <w:t>31</w:t>
            </w:r>
            <w:r w:rsidR="00E62F0C" w:rsidRPr="003F3214">
              <w:t xml:space="preserve"> March 2017</w:t>
            </w:r>
          </w:p>
        </w:tc>
      </w:tr>
      <w:tr w:rsidR="00B27A6F" w:rsidRPr="00736B71" w14:paraId="2DFE3EF6" w14:textId="77777777" w:rsidTr="003A7D85">
        <w:trPr>
          <w:cantSplit/>
          <w:trHeight w:val="318"/>
        </w:trPr>
        <w:tc>
          <w:tcPr>
            <w:tcW w:w="3346" w:type="pct"/>
            <w:tcBorders>
              <w:top w:val="nil"/>
              <w:left w:val="nil"/>
              <w:bottom w:val="nil"/>
              <w:right w:val="nil"/>
            </w:tcBorders>
          </w:tcPr>
          <w:p w14:paraId="729DFBF2" w14:textId="77777777" w:rsidR="00B27A6F" w:rsidRPr="00736B71" w:rsidRDefault="00E62F0C" w:rsidP="00433CED">
            <w:pPr>
              <w:pStyle w:val="TableTextLeft"/>
              <w:keepNext/>
            </w:pPr>
            <w:r w:rsidRPr="00E62F0C">
              <w:t>Release of draft report</w:t>
            </w:r>
          </w:p>
        </w:tc>
        <w:tc>
          <w:tcPr>
            <w:tcW w:w="1654" w:type="pct"/>
            <w:tcBorders>
              <w:top w:val="nil"/>
              <w:left w:val="nil"/>
              <w:bottom w:val="nil"/>
              <w:right w:val="nil"/>
            </w:tcBorders>
          </w:tcPr>
          <w:p w14:paraId="31D75C57" w14:textId="77777777" w:rsidR="00B27A6F" w:rsidRPr="00736B71" w:rsidRDefault="00E62F0C" w:rsidP="003F3214">
            <w:pPr>
              <w:pStyle w:val="TableTextLeft"/>
              <w:keepNext/>
            </w:pPr>
            <w:r w:rsidRPr="00E62F0C">
              <w:t>By 12 December 2017</w:t>
            </w:r>
          </w:p>
        </w:tc>
      </w:tr>
      <w:tr w:rsidR="00B27A6F" w:rsidRPr="00144F8C" w14:paraId="6796EC37" w14:textId="77777777" w:rsidTr="003A7D85">
        <w:trPr>
          <w:cantSplit/>
          <w:trHeight w:val="200"/>
        </w:trPr>
        <w:tc>
          <w:tcPr>
            <w:tcW w:w="3346" w:type="pct"/>
            <w:tcBorders>
              <w:top w:val="nil"/>
              <w:left w:val="nil"/>
              <w:bottom w:val="nil"/>
              <w:right w:val="nil"/>
            </w:tcBorders>
          </w:tcPr>
          <w:p w14:paraId="0DC2368A" w14:textId="77777777" w:rsidR="00B27A6F" w:rsidRPr="00A40501" w:rsidRDefault="00B27A6F" w:rsidP="003A7D85">
            <w:pPr>
              <w:pStyle w:val="TableTextLeft"/>
              <w:keepNext/>
            </w:pPr>
            <w:r w:rsidRPr="00DD58D7">
              <w:t>Public forum</w:t>
            </w:r>
          </w:p>
        </w:tc>
        <w:tc>
          <w:tcPr>
            <w:tcW w:w="1654" w:type="pct"/>
            <w:tcBorders>
              <w:top w:val="nil"/>
              <w:left w:val="nil"/>
              <w:bottom w:val="nil"/>
              <w:right w:val="nil"/>
            </w:tcBorders>
          </w:tcPr>
          <w:p w14:paraId="6EB3176F" w14:textId="77777777" w:rsidR="00B27A6F" w:rsidRPr="00A40501" w:rsidRDefault="00B27A6F" w:rsidP="003A7D85">
            <w:pPr>
              <w:pStyle w:val="TableTextLeft"/>
              <w:keepNext/>
            </w:pPr>
            <w:r>
              <w:t>February 2018</w:t>
            </w:r>
          </w:p>
        </w:tc>
      </w:tr>
      <w:tr w:rsidR="00B27A6F" w:rsidRPr="00144F8C" w14:paraId="229A4866" w14:textId="77777777" w:rsidTr="003A7D85">
        <w:trPr>
          <w:cantSplit/>
        </w:trPr>
        <w:tc>
          <w:tcPr>
            <w:tcW w:w="3346" w:type="pct"/>
            <w:tcBorders>
              <w:top w:val="nil"/>
              <w:left w:val="nil"/>
              <w:bottom w:val="nil"/>
              <w:right w:val="nil"/>
            </w:tcBorders>
          </w:tcPr>
          <w:p w14:paraId="23F0F397" w14:textId="77777777" w:rsidR="00B27A6F" w:rsidRPr="00A40501" w:rsidRDefault="00B27A6F" w:rsidP="003A7D85">
            <w:pPr>
              <w:pStyle w:val="TableTextLeft"/>
              <w:keepNext/>
            </w:pPr>
            <w:r>
              <w:t>Submissions on draft report close</w:t>
            </w:r>
          </w:p>
        </w:tc>
        <w:tc>
          <w:tcPr>
            <w:tcW w:w="1654" w:type="pct"/>
            <w:tcBorders>
              <w:top w:val="nil"/>
              <w:left w:val="nil"/>
              <w:bottom w:val="nil"/>
              <w:right w:val="nil"/>
            </w:tcBorders>
          </w:tcPr>
          <w:p w14:paraId="6DBDBA20" w14:textId="77777777" w:rsidR="00B27A6F" w:rsidRPr="00A40501" w:rsidRDefault="00B27A6F" w:rsidP="003A7D85">
            <w:pPr>
              <w:pStyle w:val="TableTextLeft"/>
              <w:keepNext/>
            </w:pPr>
            <w:r>
              <w:t>March 2018</w:t>
            </w:r>
          </w:p>
        </w:tc>
      </w:tr>
      <w:tr w:rsidR="00B27A6F" w:rsidRPr="00144F8C" w14:paraId="213F80A4" w14:textId="77777777" w:rsidTr="003A7D85">
        <w:trPr>
          <w:cantSplit/>
        </w:trPr>
        <w:tc>
          <w:tcPr>
            <w:tcW w:w="3346" w:type="pct"/>
            <w:tcBorders>
              <w:top w:val="nil"/>
              <w:left w:val="nil"/>
              <w:bottom w:val="single" w:sz="12" w:space="0" w:color="1F497D"/>
              <w:right w:val="nil"/>
            </w:tcBorders>
          </w:tcPr>
          <w:p w14:paraId="13D844C1" w14:textId="77777777" w:rsidR="00B27A6F" w:rsidRPr="00A40501" w:rsidRDefault="00B27A6F" w:rsidP="003A7D85">
            <w:pPr>
              <w:pStyle w:val="TableTextLeft"/>
              <w:keepNext/>
            </w:pPr>
            <w:r w:rsidRPr="00DD58D7">
              <w:t>Final report</w:t>
            </w:r>
          </w:p>
        </w:tc>
        <w:tc>
          <w:tcPr>
            <w:tcW w:w="1654" w:type="pct"/>
            <w:tcBorders>
              <w:top w:val="nil"/>
              <w:left w:val="nil"/>
              <w:bottom w:val="single" w:sz="12" w:space="0" w:color="1F497D"/>
              <w:right w:val="nil"/>
            </w:tcBorders>
          </w:tcPr>
          <w:p w14:paraId="6AD24F77" w14:textId="77777777" w:rsidR="00B27A6F" w:rsidRPr="00A40501" w:rsidRDefault="00B27A6F" w:rsidP="003A7D85">
            <w:pPr>
              <w:pStyle w:val="TableTextLeft"/>
              <w:keepNext/>
            </w:pPr>
            <w:r>
              <w:t xml:space="preserve">By 1 May </w:t>
            </w:r>
            <w:r w:rsidRPr="00A40501">
              <w:t>201</w:t>
            </w:r>
            <w:r>
              <w:t>8</w:t>
            </w:r>
          </w:p>
        </w:tc>
      </w:tr>
    </w:tbl>
    <w:p w14:paraId="1C36E986" w14:textId="77777777" w:rsidR="00B27A6F" w:rsidRDefault="00B27A6F" w:rsidP="00B27A6F">
      <w:pPr>
        <w:sectPr w:rsidR="00B27A6F" w:rsidSect="00B27A6F">
          <w:headerReference w:type="even" r:id="rId62"/>
          <w:endnotePr>
            <w:numFmt w:val="decimal"/>
          </w:endnotePr>
          <w:type w:val="continuous"/>
          <w:pgSz w:w="11907" w:h="16840" w:code="9"/>
          <w:pgMar w:top="2268" w:right="2098" w:bottom="1701" w:left="2098" w:header="578" w:footer="578" w:gutter="0"/>
          <w:cols w:space="720"/>
          <w:docGrid w:linePitch="299"/>
        </w:sectPr>
      </w:pPr>
    </w:p>
    <w:p w14:paraId="01A97A46" w14:textId="77777777" w:rsidR="00B27A6F" w:rsidRDefault="00B27A6F" w:rsidP="00B27A6F">
      <w:pPr>
        <w:pStyle w:val="HeadingAppendix1"/>
        <w:numPr>
          <w:ilvl w:val="0"/>
          <w:numId w:val="0"/>
        </w:numPr>
        <w:ind w:left="2693" w:hanging="2693"/>
        <w:sectPr w:rsidR="00B27A6F" w:rsidSect="00CF17A0">
          <w:headerReference w:type="first" r:id="rId63"/>
          <w:footerReference w:type="first" r:id="rId64"/>
          <w:endnotePr>
            <w:numFmt w:val="decimal"/>
          </w:endnotePr>
          <w:type w:val="oddPage"/>
          <w:pgSz w:w="11907" w:h="16840" w:code="9"/>
          <w:pgMar w:top="2268" w:right="2098" w:bottom="1701" w:left="2098" w:header="578" w:footer="578" w:gutter="0"/>
          <w:cols w:space="720"/>
          <w:titlePg/>
          <w:docGrid w:linePitch="299"/>
        </w:sectPr>
      </w:pPr>
      <w:bookmarkStart w:id="301" w:name="_Toc478465488"/>
      <w:r>
        <w:lastRenderedPageBreak/>
        <w:t>Appendix 1</w:t>
      </w:r>
      <w:r>
        <w:tab/>
        <w:t xml:space="preserve">Summary of </w:t>
      </w:r>
      <w:r w:rsidR="005A30D8">
        <w:t>s</w:t>
      </w:r>
      <w:r>
        <w:t>ubmissions</w:t>
      </w:r>
      <w:r w:rsidR="00BF2FD1">
        <w:t xml:space="preserve"> and presentations</w:t>
      </w:r>
      <w:bookmarkEnd w:id="301"/>
    </w:p>
    <w:p w14:paraId="5DC47292" w14:textId="77777777" w:rsidR="00B27A6F" w:rsidRDefault="00B27A6F" w:rsidP="00B27A6F">
      <w:pPr>
        <w:pStyle w:val="HeadingAppendix2"/>
      </w:pPr>
      <w:bookmarkStart w:id="302" w:name="_Toc476754012"/>
      <w:bookmarkStart w:id="303" w:name="_Toc478465489"/>
      <w:r>
        <w:t>Icon Water</w:t>
      </w:r>
      <w:bookmarkEnd w:id="302"/>
      <w:bookmarkEnd w:id="303"/>
    </w:p>
    <w:p w14:paraId="546C2C25" w14:textId="77777777" w:rsidR="00980AB5" w:rsidRDefault="00B27A6F">
      <w:pPr>
        <w:pStyle w:val="HeadingAppendix3"/>
      </w:pPr>
      <w:r>
        <w:t>Initial response to issues paper</w:t>
      </w:r>
    </w:p>
    <w:p w14:paraId="54E67C54" w14:textId="77777777" w:rsidR="00B27A6F" w:rsidRDefault="00B27A6F" w:rsidP="00B27A6F">
      <w:r>
        <w:t>Icon Water</w:t>
      </w:r>
      <w:r w:rsidR="00DC674F">
        <w:t>’</w:t>
      </w:r>
      <w:r>
        <w:t xml:space="preserve">s first submission, provided in response to the </w:t>
      </w:r>
      <w:r w:rsidR="003A62FC">
        <w:t>i</w:t>
      </w:r>
      <w:r>
        <w:t xml:space="preserve">ssues </w:t>
      </w:r>
      <w:r w:rsidR="003A62FC">
        <w:t>p</w:t>
      </w:r>
      <w:r>
        <w:t>aper, made a number of key points.</w:t>
      </w:r>
    </w:p>
    <w:p w14:paraId="293C8A25" w14:textId="77777777" w:rsidR="00B27A6F" w:rsidRDefault="00B27A6F" w:rsidP="00B27A6F">
      <w:pPr>
        <w:pStyle w:val="Heading4"/>
      </w:pPr>
      <w:r w:rsidRPr="008A2184">
        <w:t>National commitments</w:t>
      </w:r>
    </w:p>
    <w:p w14:paraId="128C68F0" w14:textId="77777777" w:rsidR="00B27A6F" w:rsidRPr="008A2184" w:rsidRDefault="003A62FC" w:rsidP="00B27A6F">
      <w:r>
        <w:t>Icon Water su</w:t>
      </w:r>
      <w:r w:rsidR="00520E58">
        <w:t>ggested that t</w:t>
      </w:r>
      <w:r w:rsidR="00B27A6F" w:rsidRPr="008A2184">
        <w:t xml:space="preserve">he Commission should have regard to the </w:t>
      </w:r>
      <w:r w:rsidR="00E62F0C" w:rsidRPr="00E62F0C">
        <w:t>National Water Initiative</w:t>
      </w:r>
      <w:r w:rsidR="00B27A6F" w:rsidRPr="008A2184">
        <w:t xml:space="preserve"> pricing principles and, in light of the Australian Government</w:t>
      </w:r>
      <w:r w:rsidR="00DC674F">
        <w:t>’</w:t>
      </w:r>
      <w:r w:rsidR="00B27A6F" w:rsidRPr="008A2184">
        <w:t xml:space="preserve">s response to the Harper </w:t>
      </w:r>
      <w:r w:rsidR="00520E58">
        <w:t>r</w:t>
      </w:r>
      <w:r w:rsidR="00E62F0C" w:rsidRPr="00E62F0C">
        <w:t xml:space="preserve">eview of </w:t>
      </w:r>
      <w:r w:rsidR="00520E58">
        <w:t>c</w:t>
      </w:r>
      <w:r w:rsidR="00E62F0C" w:rsidRPr="00E62F0C">
        <w:t xml:space="preserve">ompetition </w:t>
      </w:r>
      <w:r w:rsidR="00520E58">
        <w:t>p</w:t>
      </w:r>
      <w:r w:rsidR="00E62F0C" w:rsidRPr="00E62F0C">
        <w:t>olicy</w:t>
      </w:r>
      <w:r w:rsidR="00B27A6F" w:rsidRPr="008A2184">
        <w:t xml:space="preserve">, should take into account any consensus among other jurisdictional regulators as to what constitutes best </w:t>
      </w:r>
      <w:r w:rsidR="00B27A6F">
        <w:t xml:space="preserve">water </w:t>
      </w:r>
      <w:r w:rsidR="00B27A6F" w:rsidRPr="008A2184">
        <w:t>pricing practice.</w:t>
      </w:r>
    </w:p>
    <w:p w14:paraId="2FA27B35" w14:textId="77777777" w:rsidR="00B27A6F" w:rsidRDefault="00B27A6F" w:rsidP="00B27A6F">
      <w:pPr>
        <w:pStyle w:val="Heading4"/>
      </w:pPr>
      <w:r>
        <w:t>Form of price control</w:t>
      </w:r>
    </w:p>
    <w:p w14:paraId="075D66B1" w14:textId="77777777" w:rsidR="00B27A6F" w:rsidRPr="008A2184" w:rsidRDefault="00B27A6F" w:rsidP="00B27A6F">
      <w:r>
        <w:t>A</w:t>
      </w:r>
      <w:r w:rsidRPr="008A2184">
        <w:t xml:space="preserve">s the tariff review </w:t>
      </w:r>
      <w:proofErr w:type="gramStart"/>
      <w:r w:rsidRPr="008A2184">
        <w:t>is being undertake</w:t>
      </w:r>
      <w:r>
        <w:t>n</w:t>
      </w:r>
      <w:proofErr w:type="gramEnd"/>
      <w:r w:rsidRPr="008A2184">
        <w:t xml:space="preserve"> in advance of decisions on the form of price control to apply from 1 July 2018, </w:t>
      </w:r>
      <w:r w:rsidR="00520E58">
        <w:t xml:space="preserve">Icon Water contended that </w:t>
      </w:r>
      <w:r w:rsidRPr="008A2184">
        <w:t>the review should maintain an open stance on the question of whether the Commission or Icon Water will have responsibility for setting tariff structures.</w:t>
      </w:r>
    </w:p>
    <w:p w14:paraId="25393DE3" w14:textId="77777777" w:rsidR="00B27A6F" w:rsidRDefault="00B27A6F" w:rsidP="00B27A6F">
      <w:pPr>
        <w:pStyle w:val="Heading4"/>
      </w:pPr>
      <w:r w:rsidRPr="008A2184">
        <w:t xml:space="preserve">Objectives and principles </w:t>
      </w:r>
    </w:p>
    <w:p w14:paraId="2008000A" w14:textId="77777777" w:rsidR="00B27A6F" w:rsidRDefault="00B27A6F" w:rsidP="00B27A6F">
      <w:r w:rsidRPr="008A2184">
        <w:t>Icon Water support</w:t>
      </w:r>
      <w:r>
        <w:t>ed</w:t>
      </w:r>
      <w:r w:rsidRPr="008A2184">
        <w:t xml:space="preserve"> the proposed </w:t>
      </w:r>
      <w:r>
        <w:t>overarching econom</w:t>
      </w:r>
      <w:r w:rsidRPr="00520E58">
        <w:t xml:space="preserve">ic </w:t>
      </w:r>
      <w:r w:rsidR="00861D08">
        <w:t>regulatory</w:t>
      </w:r>
      <w:r w:rsidRPr="00520E58">
        <w:t xml:space="preserve"> objective and</w:t>
      </w:r>
      <w:r w:rsidRPr="008A2184">
        <w:t xml:space="preserve"> </w:t>
      </w:r>
      <w:r>
        <w:t xml:space="preserve">pricing </w:t>
      </w:r>
      <w:r w:rsidRPr="008A2184">
        <w:t xml:space="preserve">principles set out in the </w:t>
      </w:r>
      <w:r w:rsidR="00520E58">
        <w:t>i</w:t>
      </w:r>
      <w:r w:rsidRPr="008A2184">
        <w:t xml:space="preserve">ssues </w:t>
      </w:r>
      <w:r w:rsidR="00520E58">
        <w:t>p</w:t>
      </w:r>
      <w:r w:rsidRPr="008A2184">
        <w:t>aper</w:t>
      </w:r>
      <w:r w:rsidR="00520E58">
        <w:t>,</w:t>
      </w:r>
      <w:r>
        <w:t xml:space="preserve"> stating:</w:t>
      </w:r>
    </w:p>
    <w:p w14:paraId="6DF6398D" w14:textId="77777777" w:rsidR="00B27A6F" w:rsidRDefault="00B27A6F" w:rsidP="00B27A6F">
      <w:pPr>
        <w:pStyle w:val="ColorfulGrid-Accent110"/>
      </w:pPr>
      <w:r>
        <w:t xml:space="preserve">The use of a single, overarching objective will allow for more transparent and evidence-based analysis of alternative tariff structures and it is appropriate that the objective </w:t>
      </w:r>
      <w:proofErr w:type="gramStart"/>
      <w:r>
        <w:t>be defined</w:t>
      </w:r>
      <w:proofErr w:type="gramEnd"/>
      <w:r>
        <w:t xml:space="preserve"> in terms of the welfare of Icon Water customers over the long term.</w:t>
      </w:r>
      <w:r>
        <w:rPr>
          <w:rStyle w:val="FootnoteReference"/>
        </w:rPr>
        <w:footnoteReference w:id="88"/>
      </w:r>
    </w:p>
    <w:p w14:paraId="1A0ABFB9" w14:textId="77777777" w:rsidR="00B27A6F" w:rsidRDefault="00B27A6F" w:rsidP="00B27A6F">
      <w:r>
        <w:t>Icon Water also noted the importance of the economic efficiency principles with respect to efficient use and cost recovery.</w:t>
      </w:r>
      <w:r>
        <w:rPr>
          <w:rStyle w:val="FootnoteReference"/>
        </w:rPr>
        <w:footnoteReference w:id="89"/>
      </w:r>
    </w:p>
    <w:p w14:paraId="2969EC75" w14:textId="77777777" w:rsidR="00B27A6F" w:rsidRDefault="00B27A6F" w:rsidP="00B27A6F">
      <w:r w:rsidRPr="00375C9B">
        <w:t>Icon Water also submit</w:t>
      </w:r>
      <w:r>
        <w:t>ted</w:t>
      </w:r>
      <w:r w:rsidRPr="00375C9B">
        <w:t xml:space="preserve"> that</w:t>
      </w:r>
      <w:r>
        <w:t xml:space="preserve"> customer impact considerations are mainly restricted to decisions on the length of the transition period to avoid compromising the ultimate goal of a welfare-maximising tariff structure.</w:t>
      </w:r>
    </w:p>
    <w:p w14:paraId="5FA10C95" w14:textId="77777777" w:rsidR="00B27A6F" w:rsidRDefault="00B27A6F" w:rsidP="00B27A6F">
      <w:pPr>
        <w:pStyle w:val="Heading4"/>
      </w:pPr>
      <w:r>
        <w:lastRenderedPageBreak/>
        <w:t>Uneconomic bypass</w:t>
      </w:r>
    </w:p>
    <w:p w14:paraId="406CA64B" w14:textId="77777777" w:rsidR="00B27A6F" w:rsidRDefault="00B27A6F" w:rsidP="00B27A6F">
      <w:r>
        <w:t>Icon Water submitted that one of the primary issues for the review is the role of tariff structures in discouraging uneconomic bypass:</w:t>
      </w:r>
    </w:p>
    <w:p w14:paraId="23344FE2" w14:textId="77777777" w:rsidR="00B27A6F" w:rsidRPr="00520E58" w:rsidRDefault="00B27A6F" w:rsidP="00B27A6F">
      <w:pPr>
        <w:pStyle w:val="ColorfulGrid-Accent110"/>
      </w:pPr>
      <w:r w:rsidRPr="00520E58">
        <w:t xml:space="preserve">Significant welfare losses </w:t>
      </w:r>
      <w:proofErr w:type="gramStart"/>
      <w:r w:rsidRPr="00520E58">
        <w:t>would be avoided</w:t>
      </w:r>
      <w:proofErr w:type="gramEnd"/>
      <w:r w:rsidRPr="00520E58">
        <w:t xml:space="preserve"> by reducing the Tier 2 price, at least for non-residential customers, in order to prevent uneconomic bypass of the primary water network and better utilise the water supply security in which Icon Water on behalf of customers has already invested.</w:t>
      </w:r>
      <w:r w:rsidRPr="00520E58">
        <w:rPr>
          <w:rStyle w:val="FootnoteReference"/>
        </w:rPr>
        <w:footnoteReference w:id="90"/>
      </w:r>
    </w:p>
    <w:p w14:paraId="28E95344" w14:textId="77777777" w:rsidR="00B27A6F" w:rsidRDefault="00B27A6F" w:rsidP="00B27A6F">
      <w:pPr>
        <w:pStyle w:val="Heading4"/>
      </w:pPr>
      <w:r>
        <w:t>Drought pricing</w:t>
      </w:r>
    </w:p>
    <w:p w14:paraId="1A2C1A18" w14:textId="77777777" w:rsidR="00B27A6F" w:rsidRDefault="00B27A6F" w:rsidP="00B27A6F">
      <w:r>
        <w:t xml:space="preserve">Icon Water submitted that it continues to support the implementation of a revenue-neutral </w:t>
      </w:r>
      <w:proofErr w:type="gramStart"/>
      <w:r>
        <w:t>drought pricing</w:t>
      </w:r>
      <w:proofErr w:type="gramEnd"/>
      <w:r>
        <w:t xml:space="preserve"> scheme that would involve changing water usage prices to account for expectations about demand when changes in water restrictions occur.</w:t>
      </w:r>
    </w:p>
    <w:p w14:paraId="28F1BBA6" w14:textId="77777777" w:rsidR="00B27A6F" w:rsidRDefault="00B27A6F" w:rsidP="00B27A6F">
      <w:pPr>
        <w:pStyle w:val="Heading4"/>
      </w:pPr>
      <w:r>
        <w:t>Trade waste</w:t>
      </w:r>
    </w:p>
    <w:p w14:paraId="5CB89A3B" w14:textId="77777777" w:rsidR="00B27A6F" w:rsidRDefault="00B27A6F" w:rsidP="00B27A6F">
      <w:r>
        <w:t xml:space="preserve">Icon Water submitted that its trade waste policy and charging regime, currently under development, </w:t>
      </w:r>
      <w:proofErr w:type="gramStart"/>
      <w:r>
        <w:t>will</w:t>
      </w:r>
      <w:proofErr w:type="gramEnd"/>
      <w:r>
        <w:t xml:space="preserve"> provide price signals about the cost of dealing with liquid trade waste to provide incentives for customers to undertake pre-treatment where this would reduce overall costs.</w:t>
      </w:r>
    </w:p>
    <w:p w14:paraId="3101BBDA" w14:textId="77777777" w:rsidR="00980AB5" w:rsidRDefault="00B27A6F">
      <w:pPr>
        <w:pStyle w:val="HeadingAppendix3"/>
      </w:pPr>
      <w:r w:rsidRPr="00520E58">
        <w:t>Submission on tariff structure</w:t>
      </w:r>
    </w:p>
    <w:p w14:paraId="2A905BAF" w14:textId="77777777" w:rsidR="00B27A6F" w:rsidRDefault="00B27A6F" w:rsidP="00B27A6F">
      <w:pPr>
        <w:pStyle w:val="Heading4"/>
      </w:pPr>
      <w:r>
        <w:t>Price signals are not efficient</w:t>
      </w:r>
    </w:p>
    <w:p w14:paraId="7F1A18F8" w14:textId="77777777" w:rsidR="00B27A6F" w:rsidRDefault="00B27A6F" w:rsidP="00B27A6F">
      <w:r>
        <w:t>Icon Water</w:t>
      </w:r>
      <w:r w:rsidR="00DC674F">
        <w:t>’</w:t>
      </w:r>
      <w:r>
        <w:t>s second submission agreed with the finding of the Commission</w:t>
      </w:r>
      <w:r w:rsidR="00DC674F">
        <w:t>’</w:t>
      </w:r>
      <w:r>
        <w:t xml:space="preserve">s </w:t>
      </w:r>
      <w:r w:rsidR="00520E58">
        <w:t>t</w:t>
      </w:r>
      <w:r>
        <w:t xml:space="preserve">echnical </w:t>
      </w:r>
      <w:r w:rsidR="00520E58">
        <w:t>p</w:t>
      </w:r>
      <w:r>
        <w:t xml:space="preserve">aper on marginal cost pricing that the </w:t>
      </w:r>
      <w:r w:rsidRPr="009B5988">
        <w:t>current water tariff structure does not appear to be providing suitable price signals to customers about the efficient use of the service infrastructure and water resource</w:t>
      </w:r>
      <w:r>
        <w:t>. Icon Water submitted, however, that:</w:t>
      </w:r>
    </w:p>
    <w:p w14:paraId="273CDE7A" w14:textId="77777777" w:rsidR="00B27A6F" w:rsidRDefault="00B27A6F" w:rsidP="00B27A6F">
      <w:pPr>
        <w:pStyle w:val="ColorfulGrid-Accent110"/>
      </w:pPr>
      <w:proofErr w:type="gramStart"/>
      <w:r w:rsidRPr="009B5988">
        <w:t>based</w:t>
      </w:r>
      <w:proofErr w:type="gramEnd"/>
      <w:r w:rsidRPr="009B5988">
        <w:t xml:space="preserve"> on our analysis and customer engagement to date, we are of the view that it would not be appropriate to move directly to fully cost-reflective tariffs within a five-year regulatory period</w:t>
      </w:r>
      <w:r>
        <w:t>.</w:t>
      </w:r>
      <w:r>
        <w:rPr>
          <w:rStyle w:val="FootnoteReference"/>
        </w:rPr>
        <w:footnoteReference w:id="91"/>
      </w:r>
    </w:p>
    <w:p w14:paraId="652FB5E0" w14:textId="77777777" w:rsidR="00B27A6F" w:rsidRDefault="00B27A6F" w:rsidP="00B27A6F">
      <w:r>
        <w:t>Icon Water submitted that it intend</w:t>
      </w:r>
      <w:r w:rsidR="00520E58">
        <w:t>ed</w:t>
      </w:r>
      <w:r>
        <w:t xml:space="preserve"> to discuss the following proposed direction for tariff reform </w:t>
      </w:r>
      <w:proofErr w:type="gramStart"/>
      <w:r>
        <w:t>with its customers in preparation for its response to the Commission</w:t>
      </w:r>
      <w:r w:rsidR="00DC674F">
        <w:t>’</w:t>
      </w:r>
      <w:r>
        <w:t>s draft report on the tariff review</w:t>
      </w:r>
      <w:proofErr w:type="gramEnd"/>
      <w:r>
        <w:t>:</w:t>
      </w:r>
    </w:p>
    <w:p w14:paraId="72613E1E" w14:textId="77777777" w:rsidR="00B27A6F" w:rsidRPr="005B7C0A" w:rsidRDefault="00B27A6F" w:rsidP="00B27A6F">
      <w:pPr>
        <w:pStyle w:val="Bullet"/>
        <w:numPr>
          <w:ilvl w:val="0"/>
          <w:numId w:val="12"/>
        </w:numPr>
        <w:ind w:left="644" w:hanging="360"/>
      </w:pPr>
      <w:r>
        <w:t>Working towards a single usage price that applies to all water use and is significantly lower than the current Tier 2 price of $5.24 per kil</w:t>
      </w:r>
      <w:r w:rsidRPr="005B7C0A">
        <w:t>olitre</w:t>
      </w:r>
      <w:r w:rsidR="00520E58" w:rsidRPr="005B7C0A">
        <w:t xml:space="preserve"> (kL)</w:t>
      </w:r>
      <w:r w:rsidRPr="005B7C0A">
        <w:t>.</w:t>
      </w:r>
    </w:p>
    <w:p w14:paraId="17990CBF" w14:textId="77777777" w:rsidR="00B27A6F" w:rsidRDefault="00B27A6F" w:rsidP="00B27A6F">
      <w:pPr>
        <w:pStyle w:val="Bullet"/>
        <w:numPr>
          <w:ilvl w:val="0"/>
          <w:numId w:val="12"/>
        </w:numPr>
        <w:ind w:left="644" w:hanging="360"/>
      </w:pPr>
      <w:r>
        <w:t>Introducing separate residential and non-residential tariffs, with a higher supply charge for non-residential customers.</w:t>
      </w:r>
    </w:p>
    <w:p w14:paraId="658ABB00" w14:textId="77777777" w:rsidR="00B27A6F" w:rsidRDefault="00B27A6F" w:rsidP="00B27A6F">
      <w:pPr>
        <w:pStyle w:val="Bullet"/>
        <w:numPr>
          <w:ilvl w:val="0"/>
          <w:numId w:val="12"/>
        </w:numPr>
        <w:ind w:left="644" w:hanging="360"/>
      </w:pPr>
      <w:r>
        <w:t>Introducing a charging regime for liquid trade waste.</w:t>
      </w:r>
    </w:p>
    <w:p w14:paraId="1634D102" w14:textId="77777777" w:rsidR="00B27A6F" w:rsidRDefault="00B27A6F" w:rsidP="00B27A6F">
      <w:pPr>
        <w:pStyle w:val="BulletLast"/>
        <w:ind w:left="681" w:hanging="397"/>
      </w:pPr>
      <w:r>
        <w:lastRenderedPageBreak/>
        <w:t xml:space="preserve">Introducing </w:t>
      </w:r>
      <w:proofErr w:type="gramStart"/>
      <w:r w:rsidRPr="00474171">
        <w:t>drought</w:t>
      </w:r>
      <w:r>
        <w:t xml:space="preserve"> pricing</w:t>
      </w:r>
      <w:proofErr w:type="gramEnd"/>
      <w:r>
        <w:t xml:space="preserve"> arrangements.</w:t>
      </w:r>
    </w:p>
    <w:p w14:paraId="034303AF" w14:textId="77777777" w:rsidR="00B27A6F" w:rsidRDefault="00B27A6F" w:rsidP="00B27A6F">
      <w:r>
        <w:t>Icon Water also re</w:t>
      </w:r>
      <w:r w:rsidR="00520E58">
        <w:t>iterated</w:t>
      </w:r>
      <w:r>
        <w:t xml:space="preserve"> its concern that the relatively high Tier 2 price leads to large customers considering investments in alternative supply arrangements that are considerably more expensive than Icon Water</w:t>
      </w:r>
      <w:r w:rsidR="00DC674F">
        <w:t>’</w:t>
      </w:r>
      <w:r>
        <w:t>s marginal cost of supply (uneconomic bypass).</w:t>
      </w:r>
      <w:r w:rsidRPr="00E507D4">
        <w:rPr>
          <w:rStyle w:val="FootnoteReference"/>
          <w:sz w:val="20"/>
          <w:lang w:val="en-AU" w:eastAsia="en-AU"/>
        </w:rPr>
        <w:footnoteReference w:id="92"/>
      </w:r>
    </w:p>
    <w:p w14:paraId="3CF10EC4" w14:textId="77777777" w:rsidR="00B27A6F" w:rsidRDefault="00B27A6F" w:rsidP="00B27A6F">
      <w:r>
        <w:t>In relation to customer impacts and usage levels, Icon Water assessed the level of water use of customers receiving the ACT Government</w:t>
      </w:r>
      <w:r w:rsidR="00DC674F">
        <w:t>’</w:t>
      </w:r>
      <w:r>
        <w:t xml:space="preserve">s </w:t>
      </w:r>
      <w:r w:rsidR="00520E58">
        <w:t>u</w:t>
      </w:r>
      <w:r>
        <w:t xml:space="preserve">tilities </w:t>
      </w:r>
      <w:r w:rsidR="00520E58">
        <w:t>c</w:t>
      </w:r>
      <w:r>
        <w:t>oncession</w:t>
      </w:r>
      <w:r w:rsidR="00520E58">
        <w:t>.</w:t>
      </w:r>
      <w:r>
        <w:rPr>
          <w:rStyle w:val="FootnoteReference"/>
        </w:rPr>
        <w:footnoteReference w:id="93"/>
      </w:r>
      <w:r w:rsidR="008013DA">
        <w:t xml:space="preserve"> </w:t>
      </w:r>
      <w:r>
        <w:t>Icon Water found that around 40 per cent of these customers use more than 200 kL and pay the Tier 2 water usage price and that there are just as many concessional customers using more than 200 kL per year as there are using less than 150 kL per year.</w:t>
      </w:r>
    </w:p>
    <w:p w14:paraId="06D045E8" w14:textId="77777777" w:rsidR="00B27A6F" w:rsidRDefault="00B27A6F" w:rsidP="00B27A6F">
      <w:pPr>
        <w:pStyle w:val="Heading4"/>
      </w:pPr>
      <w:r>
        <w:t>Sewerage services</w:t>
      </w:r>
    </w:p>
    <w:p w14:paraId="7F169172" w14:textId="77777777" w:rsidR="00B27A6F" w:rsidRDefault="00B27A6F" w:rsidP="00B27A6F">
      <w:r>
        <w:t xml:space="preserve">Icon Water submitted that as </w:t>
      </w:r>
      <w:r w:rsidRPr="00B72E23">
        <w:t xml:space="preserve">the marginal cost of sewage discharge represents just seven per cent of the total amount that needs to </w:t>
      </w:r>
      <w:proofErr w:type="gramStart"/>
      <w:r w:rsidRPr="00B72E23">
        <w:t>be recovered</w:t>
      </w:r>
      <w:proofErr w:type="gramEnd"/>
      <w:r w:rsidRPr="00B72E23">
        <w:t xml:space="preserve"> in tariffs, which is mostly fixed or sunk expenditure</w:t>
      </w:r>
      <w:r>
        <w:t xml:space="preserve">, there would be limited economic efficiency benefits from introducing a sewage </w:t>
      </w:r>
      <w:r w:rsidR="00861D08">
        <w:t>volume</w:t>
      </w:r>
      <w:r>
        <w:t xml:space="preserve"> charge, but there may be </w:t>
      </w:r>
      <w:r w:rsidRPr="005C346E">
        <w:t>significant impacts on individual customer bills.</w:t>
      </w:r>
      <w:r>
        <w:rPr>
          <w:rStyle w:val="FootnoteReference"/>
        </w:rPr>
        <w:footnoteReference w:id="94"/>
      </w:r>
      <w:r w:rsidR="008013DA">
        <w:t xml:space="preserve"> </w:t>
      </w:r>
    </w:p>
    <w:p w14:paraId="1FD6BD26" w14:textId="77777777" w:rsidR="00B27A6F" w:rsidRDefault="00B27A6F" w:rsidP="00B27A6F">
      <w:pPr>
        <w:pStyle w:val="Heading4"/>
      </w:pPr>
      <w:r>
        <w:t>Customer views</w:t>
      </w:r>
    </w:p>
    <w:p w14:paraId="0C2322AA" w14:textId="77777777" w:rsidR="00B27A6F" w:rsidRDefault="00B27A6F" w:rsidP="00B27A6F">
      <w:r>
        <w:t>Icon Water</w:t>
      </w:r>
      <w:r w:rsidR="00DC674F">
        <w:t>’</w:t>
      </w:r>
      <w:r>
        <w:t>s submission provided initial results of customer views on potential tariff structure changes arising from its community engagement program</w:t>
      </w:r>
      <w:r w:rsidR="00E62F0C" w:rsidRPr="00E62F0C">
        <w:t xml:space="preserve">, </w:t>
      </w:r>
      <w:r w:rsidR="00520E58">
        <w:t>‘</w:t>
      </w:r>
      <w:r w:rsidR="00E62F0C" w:rsidRPr="00E62F0C">
        <w:t>Talking Icon Water</w:t>
      </w:r>
      <w:r w:rsidR="00520E58">
        <w:t>’</w:t>
      </w:r>
      <w:r>
        <w:t>. The submission also provide</w:t>
      </w:r>
      <w:r w:rsidR="00520E58">
        <w:t>d</w:t>
      </w:r>
      <w:r>
        <w:t xml:space="preserve"> responses to the questions posed by the Commission in the </w:t>
      </w:r>
      <w:r w:rsidR="00520E58">
        <w:t>i</w:t>
      </w:r>
      <w:r>
        <w:t xml:space="preserve">ssues </w:t>
      </w:r>
      <w:r w:rsidR="00520E58">
        <w:t>p</w:t>
      </w:r>
      <w:r>
        <w:t>aper.</w:t>
      </w:r>
    </w:p>
    <w:p w14:paraId="3AF58EA7" w14:textId="77777777" w:rsidR="00980AB5" w:rsidRDefault="00B27A6F">
      <w:pPr>
        <w:pStyle w:val="HeadingAppendix3"/>
      </w:pPr>
      <w:r>
        <w:t>Submission in response to the draft report</w:t>
      </w:r>
    </w:p>
    <w:p w14:paraId="796E6DAA" w14:textId="77777777" w:rsidR="00B27A6F" w:rsidRDefault="00B27A6F" w:rsidP="00B27A6F">
      <w:pPr>
        <w:pStyle w:val="Heading4"/>
      </w:pPr>
      <w:r>
        <w:t>Price signals are not efficient</w:t>
      </w:r>
    </w:p>
    <w:p w14:paraId="1C71FA29" w14:textId="77777777" w:rsidR="00B27A6F" w:rsidRDefault="00520E58" w:rsidP="00B27A6F">
      <w:r>
        <w:t>In its</w:t>
      </w:r>
      <w:r w:rsidR="00B27A6F">
        <w:t xml:space="preserve"> third submission, </w:t>
      </w:r>
      <w:r>
        <w:t xml:space="preserve">Icon Water </w:t>
      </w:r>
      <w:r w:rsidR="00B27A6F">
        <w:t>reaffirmed its view that the water tariff structure is no longer cost-reflective and does not present an accurate price signal to consumers about the costs of using water.</w:t>
      </w:r>
      <w:r w:rsidR="008013DA">
        <w:t xml:space="preserve"> </w:t>
      </w:r>
      <w:r w:rsidR="00B27A6F">
        <w:t>Icon Water submitted that a rebalancing of the fixed and variable components of the water tariff would benefit the community as a whole.</w:t>
      </w:r>
      <w:r w:rsidR="008013DA">
        <w:t xml:space="preserve"> </w:t>
      </w:r>
      <w:r w:rsidR="00B27A6F">
        <w:t xml:space="preserve">However, Icon Water expressed concern about the extent of rebalancing presented in the </w:t>
      </w:r>
      <w:r>
        <w:t>d</w:t>
      </w:r>
      <w:r w:rsidR="00B27A6F">
        <w:t xml:space="preserve">raft </w:t>
      </w:r>
      <w:r>
        <w:t>r</w:t>
      </w:r>
      <w:r w:rsidR="00B27A6F">
        <w:t>eport.</w:t>
      </w:r>
      <w:r w:rsidR="00B27A6F">
        <w:rPr>
          <w:rStyle w:val="FootnoteReference"/>
        </w:rPr>
        <w:footnoteReference w:id="95"/>
      </w:r>
      <w:r w:rsidR="00B27A6F">
        <w:t xml:space="preserve"> </w:t>
      </w:r>
    </w:p>
    <w:p w14:paraId="5B96C3D8" w14:textId="77777777" w:rsidR="00B27A6F" w:rsidRDefault="00B27A6F" w:rsidP="00B27A6F">
      <w:pPr>
        <w:pStyle w:val="Heading4"/>
      </w:pPr>
      <w:r>
        <w:t>Uneconomic bypass</w:t>
      </w:r>
    </w:p>
    <w:p w14:paraId="41E42437" w14:textId="77777777" w:rsidR="00B27A6F" w:rsidRDefault="00B27A6F" w:rsidP="00B27A6F">
      <w:r>
        <w:t xml:space="preserve">Icon Water also highlighted its concern that the level of the current Tier 2 usage price provides incentives for </w:t>
      </w:r>
      <w:r w:rsidR="005B7C0A">
        <w:t xml:space="preserve">uneconomic bypass by </w:t>
      </w:r>
      <w:r>
        <w:t>large customers.</w:t>
      </w:r>
      <w:r w:rsidR="008013DA">
        <w:t xml:space="preserve"> </w:t>
      </w:r>
      <w:r>
        <w:t xml:space="preserve">Icon Water submitted </w:t>
      </w:r>
      <w:r>
        <w:lastRenderedPageBreak/>
        <w:t xml:space="preserve">that unless the Tier 2 usage price is reduced and uneconomic bypass avoided, the overall level of prices </w:t>
      </w:r>
      <w:r w:rsidR="005B7C0A">
        <w:t>would have to</w:t>
      </w:r>
      <w:r>
        <w:t xml:space="preserve"> increase</w:t>
      </w:r>
      <w:r w:rsidR="005B7C0A">
        <w:t xml:space="preserve"> because it would need</w:t>
      </w:r>
      <w:r>
        <w:t xml:space="preserve"> to recover its predominantly fixed costs across fewer customers and lower overall usage.</w:t>
      </w:r>
      <w:r>
        <w:rPr>
          <w:rStyle w:val="FootnoteReference"/>
        </w:rPr>
        <w:footnoteReference w:id="96"/>
      </w:r>
      <w:r w:rsidR="008013DA">
        <w:t xml:space="preserve"> </w:t>
      </w:r>
      <w:r>
        <w:t>It submitted that if the 10 largest customers no longer sourced water from Icon Water</w:t>
      </w:r>
      <w:r w:rsidR="00DC674F">
        <w:t>’</w:t>
      </w:r>
      <w:r>
        <w:t>s primary network</w:t>
      </w:r>
      <w:r w:rsidR="00520E58">
        <w:t>,</w:t>
      </w:r>
      <w:r>
        <w:t xml:space="preserve"> prices would need to increase by around 11 per cent to maintain cost recovery.</w:t>
      </w:r>
      <w:r w:rsidR="008013DA">
        <w:t xml:space="preserve"> </w:t>
      </w:r>
      <w:r>
        <w:t>Icon Water also noted that if large water users adopted alternative non-potable sources of water</w:t>
      </w:r>
      <w:r w:rsidR="00520E58">
        <w:t>,</w:t>
      </w:r>
      <w:r>
        <w:t xml:space="preserve"> th</w:t>
      </w:r>
      <w:r w:rsidR="00861D08">
        <w:t xml:space="preserve">ose users </w:t>
      </w:r>
      <w:r>
        <w:t>are unlikely to fully manage or cover the costs of environmental impacts.</w:t>
      </w:r>
      <w:r>
        <w:rPr>
          <w:rStyle w:val="FootnoteReference"/>
        </w:rPr>
        <w:footnoteReference w:id="97"/>
      </w:r>
    </w:p>
    <w:p w14:paraId="684E1749" w14:textId="77777777" w:rsidR="00B27A6F" w:rsidRDefault="00B27A6F" w:rsidP="00B27A6F">
      <w:pPr>
        <w:pStyle w:val="Heading4"/>
      </w:pPr>
      <w:r>
        <w:t>Extent of rebalancing needs to take account of equity issues</w:t>
      </w:r>
    </w:p>
    <w:p w14:paraId="16E04C66" w14:textId="77777777" w:rsidR="00B27A6F" w:rsidRDefault="00B27A6F" w:rsidP="00B27A6F">
      <w:r>
        <w:t xml:space="preserve">Icon Water </w:t>
      </w:r>
      <w:r w:rsidR="009F79B4">
        <w:t>questioned</w:t>
      </w:r>
      <w:r>
        <w:t xml:space="preserve"> the extent of rebalancing in the </w:t>
      </w:r>
      <w:r w:rsidR="009F79B4">
        <w:t>d</w:t>
      </w:r>
      <w:r>
        <w:t xml:space="preserve">raft </w:t>
      </w:r>
      <w:r w:rsidR="009F79B4">
        <w:t>r</w:t>
      </w:r>
      <w:r>
        <w:t xml:space="preserve">eport proposal, </w:t>
      </w:r>
      <w:r w:rsidR="009F79B4">
        <w:t xml:space="preserve">citing </w:t>
      </w:r>
      <w:r>
        <w:t>concerns raised in its community engagement program, particularly in relation to fairness.</w:t>
      </w:r>
      <w:r w:rsidR="008013DA">
        <w:t xml:space="preserve"> </w:t>
      </w:r>
      <w:r>
        <w:t xml:space="preserve">Icon Water advised that the majority of residential customers it had engaged with </w:t>
      </w:r>
      <w:r w:rsidR="009F79B4">
        <w:t xml:space="preserve">were </w:t>
      </w:r>
      <w:r>
        <w:t xml:space="preserve">opposed to rebalancing to the extent proposed in the </w:t>
      </w:r>
      <w:r w:rsidR="009F79B4">
        <w:t>d</w:t>
      </w:r>
      <w:r>
        <w:t xml:space="preserve">raft </w:t>
      </w:r>
      <w:r w:rsidR="009F79B4">
        <w:t>r</w:t>
      </w:r>
      <w:r>
        <w:t>eport</w:t>
      </w:r>
      <w:r w:rsidR="009F79B4">
        <w:t xml:space="preserve"> because of</w:t>
      </w:r>
      <w:r>
        <w:t xml:space="preserve"> concerns over water security, environmental impacts, impacts on low</w:t>
      </w:r>
      <w:r w:rsidR="009F79B4">
        <w:t>-</w:t>
      </w:r>
      <w:r>
        <w:t>income households and fairness.</w:t>
      </w:r>
      <w:r w:rsidR="008013DA">
        <w:t xml:space="preserve"> </w:t>
      </w:r>
    </w:p>
    <w:p w14:paraId="35DFA8B7" w14:textId="77777777" w:rsidR="00B27A6F" w:rsidRDefault="00B27A6F" w:rsidP="00B27A6F">
      <w:r>
        <w:t xml:space="preserve">Icon Water noted that while some of these views are unfounded, </w:t>
      </w:r>
      <w:r w:rsidR="009F79B4">
        <w:t>its</w:t>
      </w:r>
      <w:r>
        <w:t xml:space="preserve"> view </w:t>
      </w:r>
      <w:r w:rsidR="005B7C0A">
        <w:t xml:space="preserve">was </w:t>
      </w:r>
      <w:r>
        <w:t>that concerns over fairness are a valid consideration in the tariff</w:t>
      </w:r>
      <w:r w:rsidR="009F79B4">
        <w:t>-</w:t>
      </w:r>
      <w:r>
        <w:t>setting process.</w:t>
      </w:r>
      <w:r>
        <w:rPr>
          <w:rStyle w:val="FootnoteReference"/>
        </w:rPr>
        <w:footnoteReference w:id="98"/>
      </w:r>
      <w:r w:rsidR="008013DA">
        <w:t xml:space="preserve"> </w:t>
      </w:r>
      <w:r>
        <w:t>The views that Icon Water consider</w:t>
      </w:r>
      <w:r w:rsidR="005B7C0A">
        <w:t>ed</w:t>
      </w:r>
      <w:r>
        <w:t xml:space="preserve"> </w:t>
      </w:r>
      <w:proofErr w:type="gramStart"/>
      <w:r w:rsidR="009F79B4">
        <w:t xml:space="preserve">to be </w:t>
      </w:r>
      <w:r>
        <w:t>unfounded</w:t>
      </w:r>
      <w:proofErr w:type="gramEnd"/>
      <w:r>
        <w:t xml:space="preserve"> relate</w:t>
      </w:r>
      <w:r w:rsidR="005B7C0A">
        <w:t>d</w:t>
      </w:r>
      <w:r>
        <w:t xml:space="preserve"> to water security (given the likely demand</w:t>
      </w:r>
      <w:r w:rsidR="009F79B4">
        <w:t>–</w:t>
      </w:r>
      <w:r>
        <w:t>supply long</w:t>
      </w:r>
      <w:r w:rsidR="009F79B4">
        <w:t>-</w:t>
      </w:r>
      <w:r>
        <w:t xml:space="preserve">term balance) and environmental impacts (given environmental flow requirements). </w:t>
      </w:r>
    </w:p>
    <w:p w14:paraId="60584F24" w14:textId="77777777" w:rsidR="00B27A6F" w:rsidRDefault="00B27A6F" w:rsidP="00B27A6F">
      <w:r>
        <w:t>Icon Water also noted that the Commission</w:t>
      </w:r>
      <w:r w:rsidR="00DC674F">
        <w:t>’</w:t>
      </w:r>
      <w:r>
        <w:t xml:space="preserve">s pricing principles in its draft assessment framework </w:t>
      </w:r>
      <w:r w:rsidR="009F79B4">
        <w:t xml:space="preserve">did </w:t>
      </w:r>
      <w:r>
        <w:t>not explicitly cover issues of fairness or affordability for the long</w:t>
      </w:r>
      <w:r w:rsidR="009F79B4">
        <w:t>-</w:t>
      </w:r>
      <w:r>
        <w:t>term goal for tariff structures.</w:t>
      </w:r>
      <w:r>
        <w:rPr>
          <w:rStyle w:val="FootnoteReference"/>
        </w:rPr>
        <w:footnoteReference w:id="99"/>
      </w:r>
    </w:p>
    <w:p w14:paraId="36E1100A" w14:textId="77777777" w:rsidR="00B27A6F" w:rsidRDefault="00B27A6F" w:rsidP="00B27A6F">
      <w:pPr>
        <w:pStyle w:val="Heading4"/>
      </w:pPr>
      <w:r>
        <w:t>Comparisons with other utilities</w:t>
      </w:r>
    </w:p>
    <w:p w14:paraId="7331220D" w14:textId="77777777" w:rsidR="00B27A6F" w:rsidRDefault="00B27A6F" w:rsidP="00B27A6F">
      <w:r>
        <w:t>Icon Water showed that the current second</w:t>
      </w:r>
      <w:r w:rsidR="009F79B4">
        <w:t>-</w:t>
      </w:r>
      <w:r>
        <w:t>tier water usage price is the highest among major Australian water utilities with more than 100,000 customers and the fixed supply charge the second lowest.</w:t>
      </w:r>
      <w:r w:rsidR="008013DA">
        <w:t xml:space="preserve"> </w:t>
      </w:r>
      <w:r>
        <w:t xml:space="preserve">It also showed that the </w:t>
      </w:r>
      <w:proofErr w:type="gramStart"/>
      <w:r>
        <w:t>Commission</w:t>
      </w:r>
      <w:r w:rsidR="00DC674F">
        <w:t>’</w:t>
      </w:r>
      <w:r>
        <w:t>s</w:t>
      </w:r>
      <w:proofErr w:type="gramEnd"/>
      <w:r>
        <w:t xml:space="preserve"> preferred tariff structure presented in the </w:t>
      </w:r>
      <w:r w:rsidR="009F79B4">
        <w:t>d</w:t>
      </w:r>
      <w:r>
        <w:t xml:space="preserve">raft </w:t>
      </w:r>
      <w:r w:rsidR="009F79B4">
        <w:t>r</w:t>
      </w:r>
      <w:r>
        <w:t>eport would reposition Icon Water at the other extreme, as the utility with water tariffs most weighted towards fixed charges.</w:t>
      </w:r>
      <w:r>
        <w:rPr>
          <w:rStyle w:val="FootnoteReference"/>
        </w:rPr>
        <w:footnoteReference w:id="100"/>
      </w:r>
      <w:r>
        <w:t xml:space="preserve"> </w:t>
      </w:r>
    </w:p>
    <w:p w14:paraId="3EF4456F" w14:textId="77777777" w:rsidR="00B27A6F" w:rsidRDefault="00B27A6F" w:rsidP="00B27A6F">
      <w:r>
        <w:t>It also noted that the majority of the largest water utilities in Australia have separate residential and commercial charges and many of these utilities have fixed supply charges based on meter size for non-residential customers.</w:t>
      </w:r>
      <w:r>
        <w:rPr>
          <w:rStyle w:val="FootnoteReference"/>
        </w:rPr>
        <w:footnoteReference w:id="101"/>
      </w:r>
      <w:r w:rsidR="008013DA">
        <w:t xml:space="preserve"> </w:t>
      </w:r>
      <w:r>
        <w:t xml:space="preserve">Icon Water also noted </w:t>
      </w:r>
      <w:r>
        <w:lastRenderedPageBreak/>
        <w:t>that its community consultation program confirmed that there was a preference for separate tariffs for residential and non-residential customers.</w:t>
      </w:r>
      <w:r>
        <w:rPr>
          <w:rStyle w:val="FootnoteReference"/>
        </w:rPr>
        <w:footnoteReference w:id="102"/>
      </w:r>
      <w:r>
        <w:t xml:space="preserve"> </w:t>
      </w:r>
    </w:p>
    <w:p w14:paraId="3C187EC7" w14:textId="77777777" w:rsidR="00B27A6F" w:rsidRDefault="00B27A6F" w:rsidP="00B27A6F">
      <w:pPr>
        <w:pStyle w:val="Heading4"/>
      </w:pPr>
      <w:r>
        <w:t>Alternative tariff structures</w:t>
      </w:r>
    </w:p>
    <w:p w14:paraId="12C46EC3" w14:textId="77777777" w:rsidR="00B27A6F" w:rsidRDefault="00B27A6F" w:rsidP="00B27A6F">
      <w:r>
        <w:t xml:space="preserve">Icon Water suggested alternative tariff structures that it submitted </w:t>
      </w:r>
      <w:proofErr w:type="gramStart"/>
      <w:r>
        <w:t>would be considered</w:t>
      </w:r>
      <w:proofErr w:type="gramEnd"/>
      <w:r>
        <w:t xml:space="preserve"> fairer by the community, as follows: separate residential and non-residential fixed supply charges; supply charges that vary according to customer characteristics, such as meter size; and setting the usage price above marginal cost.</w:t>
      </w:r>
      <w:r>
        <w:rPr>
          <w:rStyle w:val="FootnoteReference"/>
        </w:rPr>
        <w:footnoteReference w:id="103"/>
      </w:r>
      <w:r>
        <w:t xml:space="preserve"> </w:t>
      </w:r>
    </w:p>
    <w:p w14:paraId="14D9F9D9" w14:textId="77777777" w:rsidR="00B27A6F" w:rsidRDefault="00B27A6F" w:rsidP="00B27A6F">
      <w:r>
        <w:t>Icon Water also affirmed its agreement that a long transition period of up to 10 years should apply to any significant tariff structure reform.</w:t>
      </w:r>
      <w:r>
        <w:rPr>
          <w:rStyle w:val="FootnoteReference"/>
        </w:rPr>
        <w:footnoteReference w:id="104"/>
      </w:r>
      <w:r>
        <w:t xml:space="preserve"> </w:t>
      </w:r>
    </w:p>
    <w:p w14:paraId="0952A67E" w14:textId="77777777" w:rsidR="00B27A6F" w:rsidRDefault="00B27A6F" w:rsidP="00B27A6F">
      <w:pPr>
        <w:pStyle w:val="Heading4"/>
      </w:pPr>
      <w:r>
        <w:t>Sewerage services and trade waste</w:t>
      </w:r>
    </w:p>
    <w:p w14:paraId="42C9ED24" w14:textId="77777777" w:rsidR="00B27A6F" w:rsidRDefault="00B27A6F" w:rsidP="00B27A6F">
      <w:r>
        <w:t xml:space="preserve">Icon Water agreed with the </w:t>
      </w:r>
      <w:proofErr w:type="gramStart"/>
      <w:r>
        <w:t>Commission</w:t>
      </w:r>
      <w:r w:rsidR="00DC674F">
        <w:t>’</w:t>
      </w:r>
      <w:r>
        <w:t>s</w:t>
      </w:r>
      <w:proofErr w:type="gramEnd"/>
      <w:r>
        <w:t xml:space="preserve"> finding that pricing reform for sewerage services should focus on the introduction of a trade waste charging regime.</w:t>
      </w:r>
      <w:r w:rsidR="008013DA">
        <w:t xml:space="preserve"> </w:t>
      </w:r>
      <w:r>
        <w:t>This is because the current tariff structure is not reflective of the costs imposed by discharge of liquid trade waste</w:t>
      </w:r>
      <w:r w:rsidR="00475926">
        <w:t>,</w:t>
      </w:r>
      <w:r>
        <w:t xml:space="preserve"> and movement from a fixed charge to a variable charge for sewerage is not viable given measurement problems.</w:t>
      </w:r>
      <w:r>
        <w:rPr>
          <w:rStyle w:val="FootnoteReference"/>
        </w:rPr>
        <w:footnoteReference w:id="105"/>
      </w:r>
      <w:r>
        <w:t xml:space="preserve"> </w:t>
      </w:r>
    </w:p>
    <w:p w14:paraId="579B4EDA" w14:textId="77777777" w:rsidR="00B27A6F" w:rsidRDefault="00B27A6F" w:rsidP="00B27A6F">
      <w:pPr>
        <w:pStyle w:val="Heading4"/>
      </w:pPr>
      <w:r>
        <w:t>Form of regulation and revenue cap</w:t>
      </w:r>
    </w:p>
    <w:p w14:paraId="7C2CD3B0" w14:textId="77777777" w:rsidR="00B27A6F" w:rsidRDefault="00B27A6F" w:rsidP="00B27A6F">
      <w:r>
        <w:t>Icon Water discussed the Commission</w:t>
      </w:r>
      <w:r w:rsidR="00DC674F">
        <w:t>’</w:t>
      </w:r>
      <w:r>
        <w:t xml:space="preserve">s position in the </w:t>
      </w:r>
      <w:r w:rsidR="00475926">
        <w:t>d</w:t>
      </w:r>
      <w:r>
        <w:t xml:space="preserve">raft </w:t>
      </w:r>
      <w:r w:rsidR="00475926">
        <w:t>r</w:t>
      </w:r>
      <w:r>
        <w:t>eport in relation to a revenue cap control mechanism</w:t>
      </w:r>
      <w:r w:rsidR="00475926">
        <w:t>,</w:t>
      </w:r>
      <w:r>
        <w:t xml:space="preserve"> submitting that the Commission had a qualified, </w:t>
      </w:r>
      <w:r w:rsidR="008A7B3D">
        <w:t>‘</w:t>
      </w:r>
      <w:r>
        <w:t>stated preference</w:t>
      </w:r>
      <w:r w:rsidR="008A7B3D">
        <w:t>’</w:t>
      </w:r>
      <w:r>
        <w:t xml:space="preserve"> for a revenue cap control mechanism and that this matter would need to be considered as part of the broader 2018 price review.</w:t>
      </w:r>
      <w:r>
        <w:rPr>
          <w:rStyle w:val="FootnoteReference"/>
        </w:rPr>
        <w:footnoteReference w:id="106"/>
      </w:r>
    </w:p>
    <w:p w14:paraId="5EC2069D" w14:textId="53CFF397" w:rsidR="00B27A6F" w:rsidRDefault="00B27A6F" w:rsidP="00B27A6F">
      <w:pPr>
        <w:pStyle w:val="HeadingAppendix2"/>
      </w:pPr>
      <w:bookmarkStart w:id="304" w:name="_Toc476754013"/>
      <w:bookmarkStart w:id="305" w:name="_Toc478465490"/>
      <w:r>
        <w:t>A</w:t>
      </w:r>
      <w:r w:rsidR="0047186F">
        <w:t>CT</w:t>
      </w:r>
      <w:r>
        <w:t xml:space="preserve"> Government</w:t>
      </w:r>
      <w:bookmarkEnd w:id="304"/>
      <w:bookmarkEnd w:id="305"/>
    </w:p>
    <w:p w14:paraId="5484A2A8" w14:textId="77777777" w:rsidR="00980AB5" w:rsidRDefault="00B27A6F">
      <w:pPr>
        <w:pStyle w:val="HeadingAppendix3"/>
      </w:pPr>
      <w:r>
        <w:t>Submission in response to the draft report</w:t>
      </w:r>
    </w:p>
    <w:p w14:paraId="7F60D6E7" w14:textId="77777777" w:rsidR="00B27A6F" w:rsidRDefault="00B27A6F" w:rsidP="00B27A6F">
      <w:pPr>
        <w:pStyle w:val="Heading4"/>
      </w:pPr>
      <w:r>
        <w:t>Balancing economic, social and environmental objectives</w:t>
      </w:r>
    </w:p>
    <w:p w14:paraId="41214DE2" w14:textId="77777777" w:rsidR="00B27A6F" w:rsidRDefault="00B27A6F" w:rsidP="00B27A6F">
      <w:r>
        <w:t xml:space="preserve">The ACT Government expressed concern that the tariff reforms </w:t>
      </w:r>
      <w:r w:rsidR="00475926">
        <w:t xml:space="preserve">proposed in the draft report did </w:t>
      </w:r>
      <w:r>
        <w:t>not achieve an appropriate balance between the need for increased economic efficiency and the potential adverse social and environmental impacts that may result from the proposed reforms.</w:t>
      </w:r>
      <w:r>
        <w:rPr>
          <w:rStyle w:val="FootnoteReference"/>
        </w:rPr>
        <w:footnoteReference w:id="107"/>
      </w:r>
    </w:p>
    <w:p w14:paraId="35B5BB95" w14:textId="77777777" w:rsidR="00B27A6F" w:rsidRDefault="00B27A6F" w:rsidP="003D2A92">
      <w:pPr>
        <w:keepNext/>
      </w:pPr>
      <w:r>
        <w:lastRenderedPageBreak/>
        <w:t>In summary</w:t>
      </w:r>
      <w:r w:rsidR="00475926">
        <w:t>,</w:t>
      </w:r>
      <w:r>
        <w:t xml:space="preserve"> the government</w:t>
      </w:r>
      <w:r w:rsidR="00DC674F">
        <w:t>’</w:t>
      </w:r>
      <w:r>
        <w:t>s main concerns relate</w:t>
      </w:r>
      <w:r w:rsidR="00475926">
        <w:t>d</w:t>
      </w:r>
      <w:r>
        <w:t xml:space="preserve"> </w:t>
      </w:r>
      <w:proofErr w:type="gramStart"/>
      <w:r>
        <w:t>to</w:t>
      </w:r>
      <w:proofErr w:type="gramEnd"/>
      <w:r>
        <w:t xml:space="preserve">: </w:t>
      </w:r>
    </w:p>
    <w:p w14:paraId="17EA0CDC" w14:textId="77777777" w:rsidR="00B27A6F" w:rsidRDefault="00B27A6F" w:rsidP="00475926">
      <w:pPr>
        <w:pStyle w:val="ColorfulList-Accent110"/>
        <w:numPr>
          <w:ilvl w:val="0"/>
          <w:numId w:val="23"/>
        </w:numPr>
        <w:spacing w:after="100"/>
        <w:ind w:left="714" w:hanging="357"/>
        <w:contextualSpacing w:val="0"/>
      </w:pPr>
      <w:r>
        <w:t>Significant cost increases for low</w:t>
      </w:r>
      <w:r w:rsidR="00475926">
        <w:t>-</w:t>
      </w:r>
      <w:r>
        <w:t>volume users and vulnerable ACT residents</w:t>
      </w:r>
      <w:r w:rsidR="003D2A92">
        <w:t xml:space="preserve"> from the proposed changes to the water tariff</w:t>
      </w:r>
      <w:r>
        <w:t>.</w:t>
      </w:r>
    </w:p>
    <w:p w14:paraId="08FC2393" w14:textId="77777777" w:rsidR="00B27A6F" w:rsidRDefault="00B27A6F" w:rsidP="00475926">
      <w:pPr>
        <w:pStyle w:val="ColorfulList-Accent110"/>
        <w:numPr>
          <w:ilvl w:val="0"/>
          <w:numId w:val="23"/>
        </w:numPr>
        <w:spacing w:after="100"/>
        <w:ind w:left="714" w:hanging="357"/>
        <w:contextualSpacing w:val="0"/>
      </w:pPr>
      <w:r>
        <w:t>The impact on implementation of ACT Government water policies, in particular those that promote ongoing water conservation and the efficient use of water.</w:t>
      </w:r>
    </w:p>
    <w:p w14:paraId="4BED7519" w14:textId="77777777" w:rsidR="00B27A6F" w:rsidRDefault="00B27A6F" w:rsidP="00475926">
      <w:pPr>
        <w:pStyle w:val="ColorfulList-Accent110"/>
        <w:numPr>
          <w:ilvl w:val="0"/>
          <w:numId w:val="23"/>
        </w:numPr>
        <w:spacing w:after="100"/>
        <w:ind w:left="714" w:hanging="357"/>
        <w:contextualSpacing w:val="0"/>
      </w:pPr>
      <w:r>
        <w:t xml:space="preserve">The need for the Commission </w:t>
      </w:r>
      <w:proofErr w:type="gramStart"/>
      <w:r>
        <w:t>to clearly demonstrate</w:t>
      </w:r>
      <w:proofErr w:type="gramEnd"/>
      <w:r>
        <w:t xml:space="preserve"> that an appropriate balance has been achieved between its competing regulatory objectives.</w:t>
      </w:r>
    </w:p>
    <w:p w14:paraId="6FB230D9" w14:textId="77777777" w:rsidR="00B27A6F" w:rsidRDefault="00B27A6F" w:rsidP="00475926">
      <w:pPr>
        <w:pStyle w:val="ColorfulList-Accent110"/>
        <w:numPr>
          <w:ilvl w:val="0"/>
          <w:numId w:val="23"/>
        </w:numPr>
        <w:spacing w:after="100"/>
        <w:ind w:left="714" w:hanging="357"/>
        <w:contextualSpacing w:val="0"/>
      </w:pPr>
      <w:r>
        <w:t>Ensuring consistency between the decision</w:t>
      </w:r>
      <w:r w:rsidR="00475926">
        <w:t>-</w:t>
      </w:r>
      <w:r>
        <w:t>making framework</w:t>
      </w:r>
      <w:r w:rsidR="00475926">
        <w:t>s</w:t>
      </w:r>
      <w:r>
        <w:t xml:space="preserve"> for the </w:t>
      </w:r>
      <w:r w:rsidR="00475926">
        <w:t>t</w:t>
      </w:r>
      <w:r>
        <w:t xml:space="preserve">ariff </w:t>
      </w:r>
      <w:r w:rsidR="00475926">
        <w:t>r</w:t>
      </w:r>
      <w:r>
        <w:t xml:space="preserve">eview and the upcoming </w:t>
      </w:r>
      <w:r w:rsidR="00475926">
        <w:t>w</w:t>
      </w:r>
      <w:r>
        <w:t xml:space="preserve">ater and </w:t>
      </w:r>
      <w:r w:rsidR="00475926">
        <w:t>s</w:t>
      </w:r>
      <w:r>
        <w:t xml:space="preserve">ewerage </w:t>
      </w:r>
      <w:r w:rsidR="00475926">
        <w:t>p</w:t>
      </w:r>
      <w:r>
        <w:t xml:space="preserve">rice </w:t>
      </w:r>
      <w:r w:rsidR="00475926">
        <w:t>i</w:t>
      </w:r>
      <w:r>
        <w:t xml:space="preserve">nvestigation. </w:t>
      </w:r>
    </w:p>
    <w:p w14:paraId="2208DCD6" w14:textId="77777777" w:rsidR="00B27A6F" w:rsidRDefault="00B27A6F" w:rsidP="00475926">
      <w:pPr>
        <w:pStyle w:val="ColorfulList-Accent110"/>
        <w:numPr>
          <w:ilvl w:val="0"/>
          <w:numId w:val="23"/>
        </w:numPr>
        <w:spacing w:after="100"/>
        <w:ind w:left="714" w:hanging="357"/>
        <w:contextualSpacing w:val="0"/>
      </w:pPr>
      <w:r>
        <w:t xml:space="preserve">An overriding focus on the economic efficiency objective without detailed commentary and analysis in relation to the environmental and social consequences </w:t>
      </w:r>
      <w:r w:rsidR="00B265D3">
        <w:t xml:space="preserve">of </w:t>
      </w:r>
      <w:r>
        <w:t>the proposed changes.</w:t>
      </w:r>
    </w:p>
    <w:p w14:paraId="490CB5B7" w14:textId="77777777" w:rsidR="00B27A6F" w:rsidRDefault="00B27A6F" w:rsidP="00B27A6F">
      <w:pPr>
        <w:pStyle w:val="ColorfulList-Accent110"/>
        <w:numPr>
          <w:ilvl w:val="0"/>
          <w:numId w:val="23"/>
        </w:numPr>
      </w:pPr>
      <w:r>
        <w:t>The stated preference for Icon Water to take responsibility for directly setting prices for water and sewerage services under a revenue cap administered by the Commission.</w:t>
      </w:r>
      <w:r w:rsidR="00736B71">
        <w:rPr>
          <w:rStyle w:val="FootnoteReference"/>
        </w:rPr>
        <w:footnoteReference w:id="108"/>
      </w:r>
      <w:r>
        <w:t xml:space="preserve"> </w:t>
      </w:r>
    </w:p>
    <w:p w14:paraId="07A3FB43" w14:textId="77777777" w:rsidR="00B27A6F" w:rsidRDefault="00B27A6F" w:rsidP="00B27A6F">
      <w:r>
        <w:t xml:space="preserve">The </w:t>
      </w:r>
      <w:r w:rsidR="00B265D3">
        <w:t>g</w:t>
      </w:r>
      <w:r>
        <w:t xml:space="preserve">overnment noted that the proposed changes </w:t>
      </w:r>
      <w:r w:rsidR="00B265D3">
        <w:t xml:space="preserve">were </w:t>
      </w:r>
      <w:r>
        <w:t xml:space="preserve">designed to improve the economic efficiency of the water tariff structure and </w:t>
      </w:r>
      <w:r w:rsidR="00B265D3">
        <w:t xml:space="preserve">was </w:t>
      </w:r>
      <w:r>
        <w:t xml:space="preserve">supportive of a measured approach to reform that balances the pursuit of economic efficiency with social and environmental considerations. </w:t>
      </w:r>
    </w:p>
    <w:p w14:paraId="38EADB48" w14:textId="77777777" w:rsidR="00B27A6F" w:rsidRDefault="00B27A6F" w:rsidP="00B27A6F">
      <w:r>
        <w:t xml:space="preserve">The </w:t>
      </w:r>
      <w:r w:rsidR="00B265D3">
        <w:t>g</w:t>
      </w:r>
      <w:r>
        <w:t>overnment considered it would be appropriate, as part of the upcoming pricing investigation, to develop a paper outlining how the Commission intends to prioritise and balance the various regulatory objectives and matters it is required to consider.</w:t>
      </w:r>
      <w:r>
        <w:rPr>
          <w:rStyle w:val="FootnoteReference"/>
        </w:rPr>
        <w:footnoteReference w:id="109"/>
      </w:r>
      <w:r>
        <w:t xml:space="preserve"> </w:t>
      </w:r>
    </w:p>
    <w:p w14:paraId="24EB3DDD" w14:textId="77777777" w:rsidR="00B27A6F" w:rsidRDefault="00B27A6F" w:rsidP="00B27A6F">
      <w:pPr>
        <w:pStyle w:val="Heading4"/>
      </w:pPr>
      <w:r>
        <w:t>Environmental impacts</w:t>
      </w:r>
    </w:p>
    <w:p w14:paraId="6FB0FF8E" w14:textId="77777777" w:rsidR="00B27A6F" w:rsidRDefault="00B27A6F" w:rsidP="00B27A6F">
      <w:r>
        <w:t xml:space="preserve">The </w:t>
      </w:r>
      <w:r w:rsidR="00B265D3">
        <w:t>g</w:t>
      </w:r>
      <w:r>
        <w:t xml:space="preserve">overnment considered </w:t>
      </w:r>
      <w:r w:rsidR="00B265D3">
        <w:t xml:space="preserve">that </w:t>
      </w:r>
      <w:r>
        <w:t xml:space="preserve">the proposed tariff reforms may </w:t>
      </w:r>
      <w:proofErr w:type="gramStart"/>
      <w:r>
        <w:t>impact on</w:t>
      </w:r>
      <w:proofErr w:type="gramEnd"/>
      <w:r>
        <w:t xml:space="preserve"> its commitments under th</w:t>
      </w:r>
      <w:r w:rsidRPr="008A3F7E">
        <w:t xml:space="preserve">e </w:t>
      </w:r>
      <w:r w:rsidR="00E62F0C" w:rsidRPr="00E62F0C">
        <w:t>National Water Initiative</w:t>
      </w:r>
      <w:r w:rsidRPr="008A3F7E">
        <w:t xml:space="preserve"> and </w:t>
      </w:r>
      <w:r w:rsidR="00E62F0C" w:rsidRPr="00E62F0C">
        <w:t>Murray</w:t>
      </w:r>
      <w:r w:rsidR="008A3F7E">
        <w:t>–</w:t>
      </w:r>
      <w:r w:rsidR="00E62F0C" w:rsidRPr="00E62F0C">
        <w:t>Darling Basin Plan</w:t>
      </w:r>
      <w:r w:rsidRPr="008A3F7E">
        <w:t xml:space="preserve"> and </w:t>
      </w:r>
      <w:r>
        <w:t xml:space="preserve">noted the </w:t>
      </w:r>
      <w:r w:rsidR="008A3F7E">
        <w:t>d</w:t>
      </w:r>
      <w:r>
        <w:t xml:space="preserve">raft </w:t>
      </w:r>
      <w:r w:rsidR="008A3F7E">
        <w:t>r</w:t>
      </w:r>
      <w:r>
        <w:t xml:space="preserve">eport </w:t>
      </w:r>
      <w:r w:rsidR="00B265D3">
        <w:t xml:space="preserve">did </w:t>
      </w:r>
      <w:r>
        <w:t>not refer to the ACT</w:t>
      </w:r>
      <w:r w:rsidR="00DC674F">
        <w:t>’</w:t>
      </w:r>
      <w:r>
        <w:t xml:space="preserve">s main water policy framework set out in </w:t>
      </w:r>
      <w:r w:rsidRPr="002B3864">
        <w:rPr>
          <w:i/>
        </w:rPr>
        <w:t>ACT Water Strategy</w:t>
      </w:r>
      <w:r w:rsidR="008A3F7E">
        <w:rPr>
          <w:i/>
        </w:rPr>
        <w:t xml:space="preserve"> 2014–44:</w:t>
      </w:r>
      <w:r w:rsidRPr="002B3864">
        <w:rPr>
          <w:i/>
        </w:rPr>
        <w:t xml:space="preserve"> Striking the </w:t>
      </w:r>
      <w:r w:rsidR="008A3F7E">
        <w:rPr>
          <w:i/>
        </w:rPr>
        <w:t>b</w:t>
      </w:r>
      <w:r w:rsidRPr="002B3864">
        <w:rPr>
          <w:i/>
        </w:rPr>
        <w:t>alance</w:t>
      </w:r>
      <w:r>
        <w:t>.</w:t>
      </w:r>
      <w:r>
        <w:rPr>
          <w:rStyle w:val="FootnoteReference"/>
        </w:rPr>
        <w:footnoteReference w:id="110"/>
      </w:r>
      <w:r>
        <w:t xml:space="preserve"> </w:t>
      </w:r>
    </w:p>
    <w:p w14:paraId="7448D43B" w14:textId="77777777" w:rsidR="00B27A6F" w:rsidRDefault="00B27A6F" w:rsidP="00B27A6F">
      <w:r>
        <w:t xml:space="preserve">The </w:t>
      </w:r>
      <w:r w:rsidR="00B265D3">
        <w:t>g</w:t>
      </w:r>
      <w:r>
        <w:t xml:space="preserve">overnment noted that, under the </w:t>
      </w:r>
      <w:r w:rsidR="00E62F0C" w:rsidRPr="00E62F0C">
        <w:t>Basin Plan</w:t>
      </w:r>
      <w:r>
        <w:t xml:space="preserve">, the ACT is required to adhere to a net sustainable diversion limit of 42.5 </w:t>
      </w:r>
      <w:r w:rsidRPr="003D2A92">
        <w:t>gigalitres</w:t>
      </w:r>
      <w:r>
        <w:t xml:space="preserve"> per year and that current consumption is less than 50 per cent of this limit.</w:t>
      </w:r>
      <w:r w:rsidR="008013DA">
        <w:t xml:space="preserve"> </w:t>
      </w:r>
      <w:r>
        <w:t xml:space="preserve">However, it expressed the concern that the </w:t>
      </w:r>
      <w:r>
        <w:lastRenderedPageBreak/>
        <w:t xml:space="preserve">proposed pricing structure </w:t>
      </w:r>
      <w:r w:rsidR="00B265D3">
        <w:t xml:space="preserve">would </w:t>
      </w:r>
      <w:r>
        <w:t xml:space="preserve">increase the risk </w:t>
      </w:r>
      <w:r w:rsidR="00B265D3">
        <w:t xml:space="preserve">that it would </w:t>
      </w:r>
      <w:r>
        <w:t>not be able to meet the commitments of the Basin Plan.</w:t>
      </w:r>
      <w:r>
        <w:rPr>
          <w:rStyle w:val="FootnoteReference"/>
        </w:rPr>
        <w:footnoteReference w:id="111"/>
      </w:r>
    </w:p>
    <w:p w14:paraId="2902E022" w14:textId="77777777" w:rsidR="00B27A6F" w:rsidRDefault="00B27A6F" w:rsidP="00B27A6F">
      <w:pPr>
        <w:pStyle w:val="Heading4"/>
      </w:pPr>
      <w:r>
        <w:t>Community impacts</w:t>
      </w:r>
    </w:p>
    <w:p w14:paraId="6E5D4633" w14:textId="77777777" w:rsidR="00B27A6F" w:rsidRDefault="00B27A6F" w:rsidP="00B27A6F">
      <w:r>
        <w:t xml:space="preserve">The </w:t>
      </w:r>
      <w:r w:rsidR="00B265D3">
        <w:t>g</w:t>
      </w:r>
      <w:r>
        <w:t>overnment expressed concern about the significant increase in water bills that would occur for most households in the ACT from the proposed tariff structure changes, and in particular the impact on households that are low</w:t>
      </w:r>
      <w:r w:rsidR="00B265D3">
        <w:t>-</w:t>
      </w:r>
      <w:r>
        <w:t>volume users of water.</w:t>
      </w:r>
      <w:r>
        <w:rPr>
          <w:rStyle w:val="FootnoteReference"/>
        </w:rPr>
        <w:footnoteReference w:id="112"/>
      </w:r>
      <w:r>
        <w:t xml:space="preserve"> </w:t>
      </w:r>
    </w:p>
    <w:p w14:paraId="0B5B082B" w14:textId="77777777" w:rsidR="00B27A6F" w:rsidRDefault="00B27A6F" w:rsidP="00B27A6F">
      <w:r>
        <w:t xml:space="preserve">The </w:t>
      </w:r>
      <w:r w:rsidR="00B265D3">
        <w:t>g</w:t>
      </w:r>
      <w:r>
        <w:t xml:space="preserve">overnment also noted </w:t>
      </w:r>
      <w:r w:rsidR="00B265D3">
        <w:t xml:space="preserve">that </w:t>
      </w:r>
      <w:r>
        <w:t xml:space="preserve">the </w:t>
      </w:r>
      <w:r w:rsidRPr="002B3864">
        <w:rPr>
          <w:i/>
        </w:rPr>
        <w:t>Human Rights Act 2004</w:t>
      </w:r>
      <w:r>
        <w:t xml:space="preserve"> requires the Commission to make decisions that are compatible with human rights and that it would be beneficial for the Commission to demonstrate the consistency of its proposed reforms with the requirements of the Human Rights Act.</w:t>
      </w:r>
      <w:r w:rsidR="008013DA">
        <w:t xml:space="preserve"> </w:t>
      </w:r>
    </w:p>
    <w:p w14:paraId="3E5513FE" w14:textId="77777777" w:rsidR="00B27A6F" w:rsidRDefault="00B27A6F" w:rsidP="00B27A6F">
      <w:pPr>
        <w:pStyle w:val="Heading4"/>
      </w:pPr>
      <w:r>
        <w:t>Transition period</w:t>
      </w:r>
    </w:p>
    <w:p w14:paraId="60ECBDDB" w14:textId="77777777" w:rsidR="00B27A6F" w:rsidRDefault="00B27A6F" w:rsidP="00B27A6F">
      <w:r>
        <w:t xml:space="preserve">The </w:t>
      </w:r>
      <w:r w:rsidR="00B265D3">
        <w:t>g</w:t>
      </w:r>
      <w:r>
        <w:t>overnment supported a 10</w:t>
      </w:r>
      <w:r w:rsidR="008A3F7E">
        <w:t>-</w:t>
      </w:r>
      <w:r>
        <w:t>year transitional period to implement a measured reduction in the volumetric (usage) tariffs and a gradual increase in the fixed charge.</w:t>
      </w:r>
      <w:r>
        <w:rPr>
          <w:rStyle w:val="FootnoteReference"/>
        </w:rPr>
        <w:footnoteReference w:id="113"/>
      </w:r>
    </w:p>
    <w:p w14:paraId="753C5871" w14:textId="77777777" w:rsidR="00B27A6F" w:rsidRDefault="00B27A6F" w:rsidP="00B27A6F">
      <w:pPr>
        <w:pStyle w:val="Heading4"/>
      </w:pPr>
      <w:r>
        <w:t>Split between charges and commercial tariff</w:t>
      </w:r>
    </w:p>
    <w:p w14:paraId="2719D7BF" w14:textId="77777777" w:rsidR="00B27A6F" w:rsidRDefault="00B27A6F" w:rsidP="00B27A6F">
      <w:r>
        <w:t xml:space="preserve">The </w:t>
      </w:r>
      <w:r w:rsidR="00B265D3">
        <w:t>g</w:t>
      </w:r>
      <w:r>
        <w:t xml:space="preserve">overnment </w:t>
      </w:r>
      <w:r w:rsidR="00B265D3">
        <w:t xml:space="preserve">expressed </w:t>
      </w:r>
      <w:r>
        <w:t xml:space="preserve">concern about a move to a single volumetric charge, noting an alternative of using a </w:t>
      </w:r>
      <w:proofErr w:type="gramStart"/>
      <w:r>
        <w:t>drought pricing</w:t>
      </w:r>
      <w:proofErr w:type="gramEnd"/>
      <w:r>
        <w:t xml:space="preserve"> scheme.</w:t>
      </w:r>
      <w:r>
        <w:rPr>
          <w:rStyle w:val="FootnoteReference"/>
        </w:rPr>
        <w:footnoteReference w:id="114"/>
      </w:r>
      <w:r>
        <w:t xml:space="preserve"> </w:t>
      </w:r>
    </w:p>
    <w:p w14:paraId="2576750F" w14:textId="77777777" w:rsidR="00B27A6F" w:rsidRDefault="00B27A6F" w:rsidP="00B27A6F">
      <w:r>
        <w:t xml:space="preserve">The </w:t>
      </w:r>
      <w:r w:rsidR="00B265D3">
        <w:t>g</w:t>
      </w:r>
      <w:r>
        <w:t xml:space="preserve">overnment submitted that </w:t>
      </w:r>
      <w:proofErr w:type="gramStart"/>
      <w:r>
        <w:t>all investment costs should not</w:t>
      </w:r>
      <w:proofErr w:type="gramEnd"/>
      <w:r>
        <w:t xml:space="preserve"> be recovered through a fixed charge, as high</w:t>
      </w:r>
      <w:r w:rsidR="00B265D3">
        <w:t>-</w:t>
      </w:r>
      <w:r>
        <w:t xml:space="preserve">volume users should make a proportionally greater contribution to recover the costs of investments </w:t>
      </w:r>
      <w:r w:rsidR="00B265D3">
        <w:t>since</w:t>
      </w:r>
      <w:r>
        <w:t xml:space="preserve"> they benefit the most from these investments.</w:t>
      </w:r>
      <w:r>
        <w:rPr>
          <w:rStyle w:val="FootnoteReference"/>
        </w:rPr>
        <w:footnoteReference w:id="115"/>
      </w:r>
    </w:p>
    <w:p w14:paraId="4C757C8B" w14:textId="77777777" w:rsidR="00B27A6F" w:rsidRDefault="00B27A6F" w:rsidP="00B27A6F">
      <w:r>
        <w:t xml:space="preserve">The </w:t>
      </w:r>
      <w:r w:rsidR="00B265D3">
        <w:t>g</w:t>
      </w:r>
      <w:r>
        <w:t xml:space="preserve">overnment submitted that a different and higher fixed charge for large water users </w:t>
      </w:r>
      <w:proofErr w:type="gramStart"/>
      <w:r>
        <w:t>should be considered</w:t>
      </w:r>
      <w:proofErr w:type="gramEnd"/>
      <w:r>
        <w:t xml:space="preserve"> given the benefits they experience from higher water security.</w:t>
      </w:r>
      <w:r>
        <w:rPr>
          <w:rStyle w:val="FootnoteReference"/>
        </w:rPr>
        <w:footnoteReference w:id="116"/>
      </w:r>
      <w:r>
        <w:t xml:space="preserve"> </w:t>
      </w:r>
    </w:p>
    <w:p w14:paraId="5237ADE5" w14:textId="77777777" w:rsidR="00B27A6F" w:rsidRDefault="00B27A6F" w:rsidP="00B27A6F">
      <w:pPr>
        <w:pStyle w:val="Heading4"/>
      </w:pPr>
      <w:r>
        <w:t xml:space="preserve">Sewerage services </w:t>
      </w:r>
    </w:p>
    <w:p w14:paraId="3D171C62" w14:textId="77777777" w:rsidR="00B27A6F" w:rsidRDefault="00B27A6F" w:rsidP="00B27A6F">
      <w:r>
        <w:t xml:space="preserve">The </w:t>
      </w:r>
      <w:r w:rsidR="00B265D3">
        <w:t>g</w:t>
      </w:r>
      <w:r>
        <w:t>overnment supported the proposal to maintain the current sewerage tariff structure, given the absence of a reliable mechanism to measure</w:t>
      </w:r>
      <w:r w:rsidR="00861D08">
        <w:t xml:space="preserve"> sewage</w:t>
      </w:r>
      <w:r>
        <w:t xml:space="preserve"> volumes.</w:t>
      </w:r>
      <w:r>
        <w:rPr>
          <w:rStyle w:val="FootnoteReference"/>
        </w:rPr>
        <w:footnoteReference w:id="117"/>
      </w:r>
    </w:p>
    <w:p w14:paraId="3AA8AE8C" w14:textId="77777777" w:rsidR="00B27A6F" w:rsidRDefault="00B27A6F" w:rsidP="00B27A6F">
      <w:pPr>
        <w:pStyle w:val="Heading4"/>
      </w:pPr>
      <w:r>
        <w:lastRenderedPageBreak/>
        <w:t>Form of regulation and revenue cap</w:t>
      </w:r>
    </w:p>
    <w:p w14:paraId="743D0D9E" w14:textId="77777777" w:rsidR="00B27A6F" w:rsidRDefault="00B27A6F" w:rsidP="00B27A6F">
      <w:r>
        <w:t xml:space="preserve">The </w:t>
      </w:r>
      <w:r w:rsidR="00B265D3">
        <w:t>g</w:t>
      </w:r>
      <w:r>
        <w:t>overnment expressed concern about the adoption of a revenue cap form of regulation at this stage</w:t>
      </w:r>
      <w:r w:rsidR="00B265D3">
        <w:t>,</w:t>
      </w:r>
      <w:r>
        <w:t xml:space="preserve"> but noted its support </w:t>
      </w:r>
      <w:proofErr w:type="gramStart"/>
      <w:r>
        <w:t>for a gradual move to a lighter handed approach to regulation over the longer term</w:t>
      </w:r>
      <w:proofErr w:type="gramEnd"/>
      <w:r>
        <w:t>.</w:t>
      </w:r>
      <w:r>
        <w:rPr>
          <w:rStyle w:val="FootnoteReference"/>
        </w:rPr>
        <w:footnoteReference w:id="118"/>
      </w:r>
    </w:p>
    <w:p w14:paraId="654061A7" w14:textId="77777777" w:rsidR="00B27A6F" w:rsidRDefault="00B265D3" w:rsidP="00B27A6F">
      <w:pPr>
        <w:pStyle w:val="HeadingAppendix2"/>
      </w:pPr>
      <w:bookmarkStart w:id="306" w:name="_Toc476754014"/>
      <w:bookmarkStart w:id="307" w:name="_Toc478465491"/>
      <w:r>
        <w:t>ACT Civil and Administrative Tribunal</w:t>
      </w:r>
      <w:bookmarkEnd w:id="306"/>
      <w:bookmarkEnd w:id="307"/>
    </w:p>
    <w:p w14:paraId="71EF3C3A" w14:textId="77777777" w:rsidR="00B27A6F" w:rsidRDefault="00B27A6F" w:rsidP="00B27A6F">
      <w:pPr>
        <w:pStyle w:val="References"/>
      </w:pPr>
      <w:r>
        <w:t>In its first submission</w:t>
      </w:r>
      <w:r w:rsidR="00B265D3">
        <w:t>,</w:t>
      </w:r>
      <w:r>
        <w:t xml:space="preserve"> ACAT </w:t>
      </w:r>
      <w:r w:rsidR="00B265D3">
        <w:t xml:space="preserve">suggested </w:t>
      </w:r>
      <w:r>
        <w:t>that:</w:t>
      </w:r>
    </w:p>
    <w:p w14:paraId="01E660E1" w14:textId="77777777" w:rsidR="00B27A6F" w:rsidRDefault="00B27A6F" w:rsidP="00B27A6F">
      <w:pPr>
        <w:pStyle w:val="ColorfulGrid-Accent110"/>
      </w:pPr>
      <w:proofErr w:type="gramStart"/>
      <w:r>
        <w:t>the</w:t>
      </w:r>
      <w:proofErr w:type="gramEnd"/>
      <w:r>
        <w:t xml:space="preserve"> pricing structure for water should encourage conservation and promote the development of bypass &amp; water reuse systems based on the Tier 2 price. This strategy is more likely to develop a system that avoids excessive water restrictions and the resultant revenue problems during periods of drought.</w:t>
      </w:r>
      <w:r>
        <w:rPr>
          <w:rStyle w:val="FootnoteReference"/>
        </w:rPr>
        <w:footnoteReference w:id="119"/>
      </w:r>
    </w:p>
    <w:p w14:paraId="7E1F491D" w14:textId="77777777" w:rsidR="00B27A6F" w:rsidRPr="00D65884" w:rsidRDefault="00B27A6F" w:rsidP="00B27A6F">
      <w:r>
        <w:t>More specifically, ACAT supported keeping the inclining block tariff for water, stating:</w:t>
      </w:r>
    </w:p>
    <w:p w14:paraId="1144D247" w14:textId="77777777" w:rsidR="00B27A6F" w:rsidRPr="000F60E8" w:rsidRDefault="00B27A6F" w:rsidP="000F60E8">
      <w:pPr>
        <w:pStyle w:val="Bullet"/>
        <w:numPr>
          <w:ilvl w:val="0"/>
          <w:numId w:val="26"/>
        </w:numPr>
      </w:pPr>
      <w:r w:rsidRPr="000F60E8">
        <w:t xml:space="preserve">The lower cost first tier price </w:t>
      </w:r>
      <w:proofErr w:type="gramStart"/>
      <w:r w:rsidRPr="000F60E8">
        <w:t>should be maintained</w:t>
      </w:r>
      <w:proofErr w:type="gramEnd"/>
      <w:r w:rsidRPr="000F60E8">
        <w:t xml:space="preserve"> at the current price level or lower.</w:t>
      </w:r>
      <w:r w:rsidR="008013DA" w:rsidRPr="000F60E8">
        <w:t xml:space="preserve"> </w:t>
      </w:r>
      <w:r w:rsidRPr="000F60E8">
        <w:t xml:space="preserve">This lower tier provides access to an essential service at a reasonable price. </w:t>
      </w:r>
    </w:p>
    <w:p w14:paraId="78FE3E29" w14:textId="77777777" w:rsidR="00B27A6F" w:rsidRDefault="00B27A6F" w:rsidP="000F60E8">
      <w:pPr>
        <w:pStyle w:val="Bullet"/>
        <w:numPr>
          <w:ilvl w:val="0"/>
          <w:numId w:val="26"/>
        </w:numPr>
      </w:pPr>
      <w:r>
        <w:t>The second tier should be uniform for all usage and not reduced for users of more substantial volume.</w:t>
      </w:r>
      <w:r w:rsidRPr="000F60E8">
        <w:rPr>
          <w:rStyle w:val="FootnoteReference"/>
        </w:rPr>
        <w:footnoteReference w:id="120"/>
      </w:r>
      <w:r>
        <w:t xml:space="preserve"> </w:t>
      </w:r>
    </w:p>
    <w:p w14:paraId="4CA3AF98" w14:textId="77777777" w:rsidR="00B27A6F" w:rsidRDefault="00B27A6F" w:rsidP="00B27A6F">
      <w:r>
        <w:t xml:space="preserve">In relation to sewerage services, ACAT submitted that the charging system should ensure that large businesses are paying appropriately for </w:t>
      </w:r>
      <w:r w:rsidR="00B265D3">
        <w:t xml:space="preserve">the </w:t>
      </w:r>
      <w:r>
        <w:t xml:space="preserve">quantity and toxicity of the waste discharged into the sewerage system. </w:t>
      </w:r>
    </w:p>
    <w:p w14:paraId="3E942812" w14:textId="77777777" w:rsidR="00B27A6F" w:rsidRDefault="00B27A6F" w:rsidP="003D2A92">
      <w:r>
        <w:t>In its second submission</w:t>
      </w:r>
      <w:r w:rsidR="00B265D3">
        <w:t>, ACAT</w:t>
      </w:r>
      <w:r>
        <w:t xml:space="preserve"> observed that the overarching objective in the new </w:t>
      </w:r>
      <w:r w:rsidR="00B265D3">
        <w:t>s</w:t>
      </w:r>
      <w:r>
        <w:t xml:space="preserve">ection 19L of the ICRC Act was similar to that in the National Energy Law and that ultimately </w:t>
      </w:r>
      <w:r w:rsidR="00B265D3">
        <w:t>‘“</w:t>
      </w:r>
      <w:r>
        <w:t>the long term interests of consumers</w:t>
      </w:r>
      <w:r w:rsidR="00B265D3">
        <w:t>”</w:t>
      </w:r>
      <w:r>
        <w:t xml:space="preserve"> are paramount</w:t>
      </w:r>
      <w:r w:rsidR="00B265D3">
        <w:t>’</w:t>
      </w:r>
      <w:r>
        <w:t>.</w:t>
      </w:r>
      <w:r w:rsidRPr="00F03B6E">
        <w:rPr>
          <w:vertAlign w:val="superscript"/>
        </w:rPr>
        <w:footnoteReference w:id="121"/>
      </w:r>
      <w:r>
        <w:t xml:space="preserve"> </w:t>
      </w:r>
    </w:p>
    <w:p w14:paraId="54D209D0" w14:textId="77777777" w:rsidR="00B27A6F" w:rsidRDefault="00B27A6F" w:rsidP="00B27A6F">
      <w:r>
        <w:t>ACAT also reaffirmed the key points in its first submission and submitted that the Tier</w:t>
      </w:r>
      <w:r w:rsidR="003C372F">
        <w:t> </w:t>
      </w:r>
      <w:r>
        <w:t xml:space="preserve">1 price </w:t>
      </w:r>
      <w:proofErr w:type="gramStart"/>
      <w:r>
        <w:t>should be based</w:t>
      </w:r>
      <w:proofErr w:type="gramEnd"/>
      <w:r>
        <w:t xml:space="preserve"> on an annual allowance of 200 kL and not on a quarterly allowance of 50</w:t>
      </w:r>
      <w:r w:rsidR="003C372F">
        <w:t> </w:t>
      </w:r>
      <w:r>
        <w:t>kL</w:t>
      </w:r>
      <w:r w:rsidR="003C372F">
        <w:t>,</w:t>
      </w:r>
      <w:r>
        <w:t xml:space="preserve"> which is the practical effect of the current billing system.</w:t>
      </w:r>
      <w:r>
        <w:rPr>
          <w:rStyle w:val="FootnoteReference"/>
        </w:rPr>
        <w:footnoteReference w:id="122"/>
      </w:r>
    </w:p>
    <w:p w14:paraId="18CF5126" w14:textId="77777777" w:rsidR="00B27A6F" w:rsidRDefault="00B27A6F" w:rsidP="00B27A6F">
      <w:r>
        <w:t xml:space="preserve">ACAT also submitted that while it did not support a major transition from charges for consumption to fixed supply charges, a modest, staged increase in the supply charge </w:t>
      </w:r>
      <w:proofErr w:type="gramStart"/>
      <w:r>
        <w:lastRenderedPageBreak/>
        <w:t>may</w:t>
      </w:r>
      <w:proofErr w:type="gramEnd"/>
      <w:r>
        <w:t xml:space="preserve"> be appropriate</w:t>
      </w:r>
      <w:r w:rsidR="003C372F">
        <w:t>, although it noted</w:t>
      </w:r>
      <w:r>
        <w:t xml:space="preserve"> its concern about the impact </w:t>
      </w:r>
      <w:r w:rsidR="003D2A92">
        <w:t xml:space="preserve">on </w:t>
      </w:r>
      <w:r>
        <w:t>frugal small use</w:t>
      </w:r>
      <w:r w:rsidR="003D2A92">
        <w:t>r</w:t>
      </w:r>
      <w:r>
        <w:t>s.</w:t>
      </w:r>
      <w:r>
        <w:rPr>
          <w:rStyle w:val="FootnoteReference"/>
        </w:rPr>
        <w:footnoteReference w:id="123"/>
      </w:r>
    </w:p>
    <w:p w14:paraId="6468D773" w14:textId="77777777" w:rsidR="00B27A6F" w:rsidRDefault="00B27A6F" w:rsidP="00B27A6F">
      <w:r>
        <w:t>ACAT also noted the contribution that the fixed sewerage supply fee makes to the cash flow of Icon Water.</w:t>
      </w:r>
      <w:r>
        <w:rPr>
          <w:rStyle w:val="FootnoteReference"/>
        </w:rPr>
        <w:footnoteReference w:id="124"/>
      </w:r>
    </w:p>
    <w:p w14:paraId="251E3CE8" w14:textId="77777777" w:rsidR="00B27A6F" w:rsidRDefault="00B27A6F" w:rsidP="00B27A6F">
      <w:pPr>
        <w:pStyle w:val="HeadingAppendix2"/>
      </w:pPr>
      <w:bookmarkStart w:id="308" w:name="_Toc476754015"/>
      <w:bookmarkStart w:id="309" w:name="_Toc478465492"/>
      <w:r>
        <w:t>Canberra Business Chamber</w:t>
      </w:r>
      <w:bookmarkEnd w:id="308"/>
      <w:bookmarkEnd w:id="309"/>
    </w:p>
    <w:p w14:paraId="141359DD" w14:textId="77777777" w:rsidR="00B27A6F" w:rsidRDefault="00B27A6F" w:rsidP="00B27A6F">
      <w:r>
        <w:t>Canberra Business Chamber submitted that the current water tariff structure excessively penalises large commercial users when the intent is to provide an incentive for efficiencies by domestic water users.</w:t>
      </w:r>
      <w:r>
        <w:rPr>
          <w:rStyle w:val="FootnoteReference"/>
        </w:rPr>
        <w:footnoteReference w:id="125"/>
      </w:r>
      <w:r w:rsidR="008013DA">
        <w:t xml:space="preserve"> </w:t>
      </w:r>
      <w:r>
        <w:t>It noted this has resulted in large users moving to off-network supply options (e.g. recycling) to reduce their costs, leading to reduced demand for water and reduced income for Icon Water.</w:t>
      </w:r>
      <w:r w:rsidR="008013DA">
        <w:t xml:space="preserve"> </w:t>
      </w:r>
    </w:p>
    <w:p w14:paraId="456B34FF" w14:textId="77777777" w:rsidR="00B27A6F" w:rsidRDefault="00B27A6F" w:rsidP="00B27A6F">
      <w:r>
        <w:t xml:space="preserve">The Chamber noted that the proposed water tariff structure would increase costs to smaller </w:t>
      </w:r>
      <w:proofErr w:type="gramStart"/>
      <w:r>
        <w:t>users and reduce costs to larger users</w:t>
      </w:r>
      <w:proofErr w:type="gramEnd"/>
      <w:r>
        <w:t xml:space="preserve"> and reduce the incentive for smaller users to be more efficient.</w:t>
      </w:r>
      <w:r>
        <w:rPr>
          <w:rStyle w:val="FootnoteReference"/>
        </w:rPr>
        <w:footnoteReference w:id="126"/>
      </w:r>
      <w:r w:rsidR="008013DA">
        <w:t xml:space="preserve"> </w:t>
      </w:r>
      <w:r>
        <w:t xml:space="preserve">It proposed that non-residential and residential tariffs </w:t>
      </w:r>
      <w:proofErr w:type="gramStart"/>
      <w:r>
        <w:t>be treated</w:t>
      </w:r>
      <w:proofErr w:type="gramEnd"/>
      <w:r>
        <w:t xml:space="preserve"> separately with:</w:t>
      </w:r>
    </w:p>
    <w:p w14:paraId="3CDCFFF1" w14:textId="77777777" w:rsidR="00B27A6F" w:rsidRDefault="00B27A6F" w:rsidP="001317F7">
      <w:pPr>
        <w:pStyle w:val="Bullet"/>
        <w:numPr>
          <w:ilvl w:val="0"/>
          <w:numId w:val="26"/>
        </w:numPr>
      </w:pPr>
      <w:r>
        <w:t>a medium supply charge and low usage charge for commercial users and discounts for large users to ensure they remain significant users of Icon Water</w:t>
      </w:r>
      <w:r w:rsidR="00DC674F">
        <w:t>’</w:t>
      </w:r>
      <w:r>
        <w:t>s services;</w:t>
      </w:r>
    </w:p>
    <w:p w14:paraId="05538A36" w14:textId="77777777" w:rsidR="00B27A6F" w:rsidRDefault="00B27A6F" w:rsidP="001317F7">
      <w:pPr>
        <w:pStyle w:val="Bullet"/>
        <w:numPr>
          <w:ilvl w:val="0"/>
          <w:numId w:val="26"/>
        </w:numPr>
      </w:pPr>
      <w:r>
        <w:t>a low supply charge and two-tier usage charge, with a medium charge at the higher threshold for residential users; and</w:t>
      </w:r>
    </w:p>
    <w:p w14:paraId="70E9DBEF" w14:textId="77777777" w:rsidR="00B27A6F" w:rsidRDefault="00B27A6F" w:rsidP="001317F7">
      <w:pPr>
        <w:pStyle w:val="Bullet"/>
        <w:numPr>
          <w:ilvl w:val="0"/>
          <w:numId w:val="26"/>
        </w:numPr>
      </w:pPr>
      <w:proofErr w:type="gramStart"/>
      <w:r>
        <w:t>more</w:t>
      </w:r>
      <w:proofErr w:type="gramEnd"/>
      <w:r>
        <w:t xml:space="preserve"> complex scarcity</w:t>
      </w:r>
      <w:r w:rsidR="003C372F">
        <w:t>-</w:t>
      </w:r>
      <w:r>
        <w:t>based pricing measures adopted when water security increases costs in supply; for example</w:t>
      </w:r>
      <w:r w:rsidR="003C372F">
        <w:t>,</w:t>
      </w:r>
      <w:r>
        <w:t xml:space="preserve"> when water storages drop below a pre-determined threshold, a multiplier could be applied to tariffs.</w:t>
      </w:r>
      <w:r w:rsidR="003C372F">
        <w:rPr>
          <w:rStyle w:val="FootnoteReference"/>
        </w:rPr>
        <w:footnoteReference w:id="127"/>
      </w:r>
      <w:r>
        <w:t xml:space="preserve"> </w:t>
      </w:r>
    </w:p>
    <w:p w14:paraId="56A74101" w14:textId="77777777" w:rsidR="00B27A6F" w:rsidRDefault="00B27A6F" w:rsidP="00B27A6F">
      <w:pPr>
        <w:pStyle w:val="HeadingAppendix2"/>
      </w:pPr>
      <w:bookmarkStart w:id="310" w:name="_Toc476754016"/>
      <w:bookmarkStart w:id="311" w:name="_Toc478465493"/>
      <w:r>
        <w:t>ClubsACT</w:t>
      </w:r>
      <w:bookmarkEnd w:id="310"/>
      <w:bookmarkEnd w:id="311"/>
    </w:p>
    <w:p w14:paraId="6975B3D4" w14:textId="77777777" w:rsidR="00B27A6F" w:rsidRDefault="00B27A6F" w:rsidP="00B27A6F">
      <w:r>
        <w:t xml:space="preserve">ClubsACT </w:t>
      </w:r>
      <w:r w:rsidRPr="00FA054B">
        <w:t>submit</w:t>
      </w:r>
      <w:r>
        <w:t xml:space="preserve">ted </w:t>
      </w:r>
      <w:proofErr w:type="gramStart"/>
      <w:r>
        <w:t>that more than two-thirds of ACT clubs maintain some form of sport and recreation infrastructure and are facing increasing water costs</w:t>
      </w:r>
      <w:proofErr w:type="gramEnd"/>
      <w:r>
        <w:t>:</w:t>
      </w:r>
    </w:p>
    <w:p w14:paraId="6380BE81" w14:textId="77777777" w:rsidR="00B27A6F" w:rsidRDefault="00B27A6F" w:rsidP="00B27A6F">
      <w:pPr>
        <w:pStyle w:val="ColorfulGrid-Accent110"/>
      </w:pPr>
      <w:r>
        <w:t xml:space="preserve">Clubs have experienced increases in water charges over the past decade of over 400%. This dramatically exceeds any reasonable measure of real cost growth, and forces ACT </w:t>
      </w:r>
      <w:r>
        <w:lastRenderedPageBreak/>
        <w:t>Clubs to endure much higher costs than do their counterparts in other comparable jurisdictions.</w:t>
      </w:r>
      <w:r>
        <w:rPr>
          <w:rStyle w:val="FootnoteReference"/>
        </w:rPr>
        <w:footnoteReference w:id="128"/>
      </w:r>
    </w:p>
    <w:p w14:paraId="5D1949AE" w14:textId="5E857695" w:rsidR="00B27A6F" w:rsidRDefault="00B27A6F" w:rsidP="00B27A6F">
      <w:r>
        <w:t xml:space="preserve">In recognition of the </w:t>
      </w:r>
      <w:r w:rsidR="00DC674F">
        <w:t>‘</w:t>
      </w:r>
      <w:r>
        <w:t>community benefit of clubs and the unreasonable costs they currently face in providing services for the ACT community</w:t>
      </w:r>
      <w:r w:rsidR="00DC674F">
        <w:t>’</w:t>
      </w:r>
      <w:proofErr w:type="gramStart"/>
      <w:r>
        <w:t>,ClubsACT</w:t>
      </w:r>
      <w:proofErr w:type="gramEnd"/>
      <w:r>
        <w:t xml:space="preserve"> submitted that clubs should be provided with:</w:t>
      </w:r>
    </w:p>
    <w:p w14:paraId="2E2C8ADA" w14:textId="77777777" w:rsidR="00B27A6F" w:rsidRDefault="00B27A6F" w:rsidP="001317F7">
      <w:pPr>
        <w:pStyle w:val="Bullet"/>
        <w:numPr>
          <w:ilvl w:val="0"/>
          <w:numId w:val="27"/>
        </w:numPr>
      </w:pPr>
      <w:r>
        <w:t>a tariff that provides a discount on water prices (such as that provided to ACT schools and churches); or</w:t>
      </w:r>
    </w:p>
    <w:p w14:paraId="7DD7A396" w14:textId="77777777" w:rsidR="00B27A6F" w:rsidRDefault="00B27A6F" w:rsidP="001317F7">
      <w:pPr>
        <w:pStyle w:val="BulletLast"/>
        <w:numPr>
          <w:ilvl w:val="0"/>
          <w:numId w:val="27"/>
        </w:numPr>
      </w:pPr>
      <w:proofErr w:type="gramStart"/>
      <w:r>
        <w:t>a</w:t>
      </w:r>
      <w:proofErr w:type="gramEnd"/>
      <w:r>
        <w:t xml:space="preserve"> community service obligation mechanism to reduce water costs.</w:t>
      </w:r>
      <w:r w:rsidR="003C372F">
        <w:rPr>
          <w:rStyle w:val="FootnoteReference"/>
        </w:rPr>
        <w:footnoteReference w:id="129"/>
      </w:r>
    </w:p>
    <w:p w14:paraId="54AB9BE4" w14:textId="77777777" w:rsidR="00B27A6F" w:rsidRDefault="007F7037" w:rsidP="00B27A6F">
      <w:pPr>
        <w:pStyle w:val="HeadingAppendix2"/>
      </w:pPr>
      <w:bookmarkStart w:id="312" w:name="_Toc476754017"/>
      <w:bookmarkStart w:id="313" w:name="_Toc478465494"/>
      <w:r>
        <w:t>White Label Personal Clouds</w:t>
      </w:r>
      <w:bookmarkEnd w:id="312"/>
      <w:bookmarkEnd w:id="313"/>
    </w:p>
    <w:p w14:paraId="568850F8" w14:textId="77777777" w:rsidR="007F7037" w:rsidRDefault="007F7037" w:rsidP="007F7037">
      <w:r>
        <w:t>White Label Personal Clouds noted the uneconomic bypass issue but recommended that tariffs be left as they are and that Icon Water introduce other methods to control demand and ensure economic efficiency, in particular through a separate community-based funding facility.</w:t>
      </w:r>
      <w:r>
        <w:rPr>
          <w:rStyle w:val="FootnoteReference"/>
        </w:rPr>
        <w:footnoteReference w:id="130"/>
      </w:r>
      <w:r>
        <w:t xml:space="preserve"> The proposed funding facility is a community-based arrangement where community funds would replace the funding required by Icon Water. </w:t>
      </w:r>
    </w:p>
    <w:p w14:paraId="46971D73" w14:textId="77777777" w:rsidR="007F7037" w:rsidRDefault="007F7037" w:rsidP="007F7037">
      <w:pPr>
        <w:pStyle w:val="HeadingAppendix2"/>
      </w:pPr>
      <w:bookmarkStart w:id="314" w:name="_Toc478465495"/>
      <w:r>
        <w:t>Federal Golf Club</w:t>
      </w:r>
      <w:bookmarkEnd w:id="314"/>
    </w:p>
    <w:p w14:paraId="2E519913" w14:textId="77777777" w:rsidR="00B27A6F" w:rsidRDefault="00B27A6F" w:rsidP="00B27A6F">
      <w:r>
        <w:t>The Federal Golf Club submitted that it:</w:t>
      </w:r>
    </w:p>
    <w:p w14:paraId="0B6A2EA5" w14:textId="77777777" w:rsidR="00B27A6F" w:rsidRDefault="00B27A6F" w:rsidP="001317F7">
      <w:pPr>
        <w:pStyle w:val="Bullet"/>
        <w:numPr>
          <w:ilvl w:val="0"/>
          <w:numId w:val="28"/>
        </w:numPr>
      </w:pPr>
      <w:r>
        <w:t>supported a move towards a higher supply charge and lower usage charge for water;</w:t>
      </w:r>
    </w:p>
    <w:p w14:paraId="038C2106" w14:textId="77777777" w:rsidR="00B27A6F" w:rsidRDefault="00B27A6F" w:rsidP="001317F7">
      <w:pPr>
        <w:pStyle w:val="Bullet"/>
        <w:numPr>
          <w:ilvl w:val="0"/>
          <w:numId w:val="28"/>
        </w:numPr>
      </w:pPr>
      <w:r>
        <w:t>did not support a sewerage services usage charge using water use as a proxy as this would disadvantage large water users;</w:t>
      </w:r>
    </w:p>
    <w:p w14:paraId="31DB95AF" w14:textId="77777777" w:rsidR="00B27A6F" w:rsidRDefault="00B27A6F" w:rsidP="001317F7">
      <w:pPr>
        <w:pStyle w:val="Bullet"/>
        <w:numPr>
          <w:ilvl w:val="0"/>
          <w:numId w:val="28"/>
        </w:numPr>
      </w:pPr>
      <w:r>
        <w:t>did not support an inclining block tariff but would support a declining block arrangement; and</w:t>
      </w:r>
    </w:p>
    <w:p w14:paraId="500A1E62" w14:textId="77777777" w:rsidR="00B27A6F" w:rsidRPr="00366222" w:rsidRDefault="00B27A6F" w:rsidP="001317F7">
      <w:pPr>
        <w:pStyle w:val="BulletLast"/>
        <w:numPr>
          <w:ilvl w:val="0"/>
          <w:numId w:val="28"/>
        </w:numPr>
      </w:pPr>
      <w:proofErr w:type="gramStart"/>
      <w:r>
        <w:t>supported</w:t>
      </w:r>
      <w:proofErr w:type="gramEnd"/>
      <w:r>
        <w:t xml:space="preserve"> consideration of a reduced water tariff for not-for-profit community organisations that provide health and social benefits.</w:t>
      </w:r>
      <w:r w:rsidR="003C372F">
        <w:rPr>
          <w:rStyle w:val="FootnoteReference"/>
        </w:rPr>
        <w:footnoteReference w:id="131"/>
      </w:r>
      <w:r w:rsidR="008013DA">
        <w:t xml:space="preserve"> </w:t>
      </w:r>
    </w:p>
    <w:p w14:paraId="2F3C7E34" w14:textId="77777777" w:rsidR="00B27A6F" w:rsidRDefault="00B27A6F" w:rsidP="00B27A6F">
      <w:pPr>
        <w:pStyle w:val="HeadingAppendix2"/>
      </w:pPr>
      <w:bookmarkStart w:id="315" w:name="_Toc476754018"/>
      <w:bookmarkStart w:id="316" w:name="_Toc478465496"/>
      <w:r>
        <w:lastRenderedPageBreak/>
        <w:t>ACT community</w:t>
      </w:r>
      <w:bookmarkEnd w:id="315"/>
      <w:bookmarkEnd w:id="316"/>
    </w:p>
    <w:p w14:paraId="3EC25A3F" w14:textId="77777777" w:rsidR="00B27A6F" w:rsidRDefault="00B27A6F" w:rsidP="00B27A6F">
      <w:r>
        <w:t>Mr Jason Rae supported an inclining block tariff and submitted that water charges should be higher than they currently are to encourage water conservation for environmental reasons:</w:t>
      </w:r>
    </w:p>
    <w:p w14:paraId="410CF60F" w14:textId="77777777" w:rsidR="00B27A6F" w:rsidRDefault="00B27A6F" w:rsidP="00B27A6F">
      <w:pPr>
        <w:pStyle w:val="ColorfulGrid-Accent110"/>
      </w:pPr>
      <w:r>
        <w:t>I would have thought it made more sense to charge more in general and a lot more for excessive use.</w:t>
      </w:r>
      <w:r>
        <w:rPr>
          <w:rStyle w:val="FootnoteReference"/>
        </w:rPr>
        <w:footnoteReference w:id="132"/>
      </w:r>
    </w:p>
    <w:p w14:paraId="294868C1" w14:textId="77777777" w:rsidR="00B27A6F" w:rsidRDefault="00B27A6F" w:rsidP="00B27A6F">
      <w:r>
        <w:t xml:space="preserve">Mr Ross Knee, in responding to the </w:t>
      </w:r>
      <w:r w:rsidR="003C372F">
        <w:t>t</w:t>
      </w:r>
      <w:r>
        <w:t xml:space="preserve">echnical </w:t>
      </w:r>
      <w:r w:rsidR="003C372F">
        <w:t>p</w:t>
      </w:r>
      <w:r>
        <w:t>aper on the price elasticity of water demand in the ACT, submitted that:</w:t>
      </w:r>
    </w:p>
    <w:p w14:paraId="59E77CA5" w14:textId="77777777" w:rsidR="00B27A6F" w:rsidRDefault="00B27A6F" w:rsidP="001317F7">
      <w:pPr>
        <w:pStyle w:val="Bullet"/>
        <w:numPr>
          <w:ilvl w:val="0"/>
          <w:numId w:val="29"/>
        </w:numPr>
      </w:pPr>
      <w:r>
        <w:t xml:space="preserve">the analysis in the paper </w:t>
      </w:r>
      <w:r w:rsidR="0020583E">
        <w:t xml:space="preserve">was </w:t>
      </w:r>
      <w:r>
        <w:t xml:space="preserve">flawed as it </w:t>
      </w:r>
      <w:r w:rsidR="0020583E">
        <w:t xml:space="preserve">did </w:t>
      </w:r>
      <w:r>
        <w:t>not analyse the two tiers separately;</w:t>
      </w:r>
    </w:p>
    <w:p w14:paraId="20A59930" w14:textId="77777777" w:rsidR="00B27A6F" w:rsidRDefault="00B27A6F" w:rsidP="001317F7">
      <w:pPr>
        <w:pStyle w:val="Bullet"/>
        <w:numPr>
          <w:ilvl w:val="0"/>
          <w:numId w:val="29"/>
        </w:numPr>
      </w:pPr>
      <w:r>
        <w:t>the analysis should have been done over two periods, pre</w:t>
      </w:r>
      <w:r w:rsidR="003C372F">
        <w:t>-</w:t>
      </w:r>
      <w:r>
        <w:t xml:space="preserve"> and post</w:t>
      </w:r>
      <w:r w:rsidR="003C372F">
        <w:t>-</w:t>
      </w:r>
      <w:r>
        <w:t>2010 when temporary water restrictions were lifted, rather than over the entire period 2003 to 2015;</w:t>
      </w:r>
    </w:p>
    <w:p w14:paraId="0BF298B6" w14:textId="77777777" w:rsidR="00B27A6F" w:rsidRDefault="00B27A6F" w:rsidP="001317F7">
      <w:pPr>
        <w:pStyle w:val="Bullet"/>
        <w:numPr>
          <w:ilvl w:val="0"/>
          <w:numId w:val="29"/>
        </w:numPr>
      </w:pPr>
      <w:r>
        <w:t>if scarcity pricing is used as a means to reduce water consumption this needs to be implemented before temporary water restrictions are applied and the price increase should only be applied to the second tier price; and</w:t>
      </w:r>
      <w:r w:rsidR="008013DA">
        <w:t xml:space="preserve"> </w:t>
      </w:r>
    </w:p>
    <w:p w14:paraId="74D94286" w14:textId="77777777" w:rsidR="00B27A6F" w:rsidRDefault="00B27A6F" w:rsidP="001317F7">
      <w:pPr>
        <w:pStyle w:val="BulletLast"/>
        <w:numPr>
          <w:ilvl w:val="0"/>
          <w:numId w:val="29"/>
        </w:numPr>
      </w:pPr>
      <w:proofErr w:type="gramStart"/>
      <w:r>
        <w:t>price</w:t>
      </w:r>
      <w:proofErr w:type="gramEnd"/>
      <w:r>
        <w:t xml:space="preserve"> reductions to stimulate demand are not a realistic option as Icon Water is subject to environmental sustainability requirements under the </w:t>
      </w:r>
      <w:r w:rsidRPr="000056B2">
        <w:rPr>
          <w:i/>
        </w:rPr>
        <w:t>Territory-owned Corporations Act 1990</w:t>
      </w:r>
      <w:r>
        <w:t>.</w:t>
      </w:r>
      <w:r w:rsidR="003C372F">
        <w:rPr>
          <w:rStyle w:val="FootnoteReference"/>
        </w:rPr>
        <w:footnoteReference w:id="133"/>
      </w:r>
    </w:p>
    <w:p w14:paraId="4DDA08AA" w14:textId="77777777" w:rsidR="00B27A6F" w:rsidRDefault="00B27A6F" w:rsidP="00B27A6F">
      <w:r>
        <w:t xml:space="preserve">In his second submission, in response to the </w:t>
      </w:r>
      <w:r w:rsidR="00992438">
        <w:t>d</w:t>
      </w:r>
      <w:r>
        <w:t xml:space="preserve">raft </w:t>
      </w:r>
      <w:r w:rsidR="00992438">
        <w:t>r</w:t>
      </w:r>
      <w:r>
        <w:t xml:space="preserve">eport, Mr Knee suggested </w:t>
      </w:r>
      <w:r w:rsidR="00992438">
        <w:t xml:space="preserve">that </w:t>
      </w:r>
      <w:r>
        <w:t xml:space="preserve">there is a conflict between the objectives of Icon Water under </w:t>
      </w:r>
      <w:r w:rsidR="00E62F0C" w:rsidRPr="00E62F0C">
        <w:t>the Territory-owned Corporations Act</w:t>
      </w:r>
      <w:r w:rsidR="00992438">
        <w:t xml:space="preserve"> –</w:t>
      </w:r>
      <w:r w:rsidRPr="00992438">
        <w:t xml:space="preserve"> </w:t>
      </w:r>
      <w:r>
        <w:t xml:space="preserve">where both efficiency and social responsibility are specified as objectives for Icon Water </w:t>
      </w:r>
      <w:r w:rsidR="00992438">
        <w:t xml:space="preserve">– </w:t>
      </w:r>
      <w:r>
        <w:t xml:space="preserve">and the overarching economic efficiency objective specified in </w:t>
      </w:r>
      <w:r w:rsidR="00992438">
        <w:t>s</w:t>
      </w:r>
      <w:r>
        <w:t>ection 19L of the ICRC Act.</w:t>
      </w:r>
      <w:r>
        <w:rPr>
          <w:rStyle w:val="FootnoteReference"/>
        </w:rPr>
        <w:footnoteReference w:id="134"/>
      </w:r>
      <w:r>
        <w:t xml:space="preserve"> </w:t>
      </w:r>
    </w:p>
    <w:p w14:paraId="408B3082" w14:textId="77777777" w:rsidR="00B27A6F" w:rsidRDefault="00B27A6F" w:rsidP="00B27A6F">
      <w:r>
        <w:t xml:space="preserve">Mr Knee expressed concerns about the merits of setting a lower usage price given </w:t>
      </w:r>
      <w:r w:rsidR="00992438">
        <w:t xml:space="preserve">that </w:t>
      </w:r>
      <w:r>
        <w:t>the increase in consumption would not be consistent with sustainable use.</w:t>
      </w:r>
      <w:r>
        <w:rPr>
          <w:rStyle w:val="FootnoteReference"/>
        </w:rPr>
        <w:footnoteReference w:id="135"/>
      </w:r>
      <w:r>
        <w:t xml:space="preserve"> </w:t>
      </w:r>
    </w:p>
    <w:p w14:paraId="36D0C165" w14:textId="77777777" w:rsidR="00B27A6F" w:rsidRDefault="00B27A6F" w:rsidP="00B27A6F">
      <w:r>
        <w:t>Mr Knee expressed support for drought pricing</w:t>
      </w:r>
      <w:r w:rsidR="004C7162">
        <w:t>,</w:t>
      </w:r>
      <w:r>
        <w:t xml:space="preserve"> but </w:t>
      </w:r>
      <w:r w:rsidR="00992438">
        <w:t xml:space="preserve">was </w:t>
      </w:r>
      <w:r>
        <w:t xml:space="preserve">concerned that the proposed structure </w:t>
      </w:r>
      <w:r w:rsidR="00992438">
        <w:t xml:space="preserve">did </w:t>
      </w:r>
      <w:r>
        <w:t xml:space="preserve">not reflect the </w:t>
      </w:r>
      <w:r w:rsidR="00DC674F">
        <w:t>‘</w:t>
      </w:r>
      <w:r>
        <w:t>user pay</w:t>
      </w:r>
      <w:r w:rsidR="00DC674F">
        <w:t>’</w:t>
      </w:r>
      <w:r>
        <w:t xml:space="preserve"> principle and that a more light</w:t>
      </w:r>
      <w:r w:rsidR="00992438">
        <w:t>-</w:t>
      </w:r>
      <w:r>
        <w:t xml:space="preserve">handed approach to regulation </w:t>
      </w:r>
      <w:r w:rsidR="004C7162">
        <w:t xml:space="preserve">would </w:t>
      </w:r>
      <w:r>
        <w:t>require further development work to be effective.</w:t>
      </w:r>
      <w:r>
        <w:rPr>
          <w:rStyle w:val="FootnoteReference"/>
        </w:rPr>
        <w:footnoteReference w:id="136"/>
      </w:r>
    </w:p>
    <w:p w14:paraId="01981530" w14:textId="77777777" w:rsidR="00B27A6F" w:rsidRDefault="00B27A6F" w:rsidP="00B27A6F">
      <w:r>
        <w:lastRenderedPageBreak/>
        <w:t>Mr Knee made a number of other suggestions to correct what he considered were errors or misinterpretations or to clarify certain issues.</w:t>
      </w:r>
      <w:r>
        <w:rPr>
          <w:rStyle w:val="FootnoteReference"/>
        </w:rPr>
        <w:footnoteReference w:id="137"/>
      </w:r>
      <w:r>
        <w:t xml:space="preserve"> </w:t>
      </w:r>
    </w:p>
    <w:p w14:paraId="42718F94" w14:textId="77777777" w:rsidR="00B27A6F" w:rsidRDefault="00B27A6F" w:rsidP="00B27A6F">
      <w:r>
        <w:t>Mr Ian Falconer submitted that the current tariff structure benefits the less well-off families and apartment owners while large users pay proportionally more, thus subsidising smaller users and householders.</w:t>
      </w:r>
      <w:r w:rsidR="008013DA">
        <w:t xml:space="preserve"> </w:t>
      </w:r>
      <w:r>
        <w:t xml:space="preserve">He further submitted that </w:t>
      </w:r>
      <w:proofErr w:type="gramStart"/>
      <w:r>
        <w:t>to now encourage</w:t>
      </w:r>
      <w:proofErr w:type="gramEnd"/>
      <w:r>
        <w:t xml:space="preserve"> greater use by large users </w:t>
      </w:r>
      <w:r w:rsidR="004C7162">
        <w:t xml:space="preserve">would be </w:t>
      </w:r>
      <w:r>
        <w:t xml:space="preserve">counter-productive as Canberra has a fixed allocation of water through the Basin Plan </w:t>
      </w:r>
      <w:r w:rsidR="004C7162">
        <w:t xml:space="preserve">that </w:t>
      </w:r>
      <w:r>
        <w:t>does not increase with rising population.</w:t>
      </w:r>
      <w:r>
        <w:rPr>
          <w:rStyle w:val="FootnoteReference"/>
        </w:rPr>
        <w:footnoteReference w:id="138"/>
      </w:r>
    </w:p>
    <w:p w14:paraId="199E0300" w14:textId="77777777" w:rsidR="00B27A6F" w:rsidRDefault="00B27A6F" w:rsidP="00B27A6F">
      <w:proofErr w:type="gramStart"/>
      <w:r>
        <w:t xml:space="preserve">Ms Sarah Hulbert raised concerns that the proposed changes in the tariff structure in the </w:t>
      </w:r>
      <w:r w:rsidR="00992438">
        <w:t>d</w:t>
      </w:r>
      <w:r>
        <w:t xml:space="preserve">raft </w:t>
      </w:r>
      <w:r w:rsidR="00992438">
        <w:t>r</w:t>
      </w:r>
      <w:r>
        <w:t>eport would have adverse impacts on low</w:t>
      </w:r>
      <w:r w:rsidR="00992438">
        <w:t>-</w:t>
      </w:r>
      <w:r>
        <w:t xml:space="preserve">income households; </w:t>
      </w:r>
      <w:r w:rsidR="004C7162">
        <w:t xml:space="preserve">would </w:t>
      </w:r>
      <w:r>
        <w:t>mean a loss of control over water expenses; d</w:t>
      </w:r>
      <w:r w:rsidR="00992438">
        <w:t>id</w:t>
      </w:r>
      <w:r>
        <w:t xml:space="preserve"> not address the issue of fairness for those households </w:t>
      </w:r>
      <w:r w:rsidR="00992438">
        <w:t xml:space="preserve">that </w:t>
      </w:r>
      <w:r>
        <w:t>have invested in water</w:t>
      </w:r>
      <w:r w:rsidR="00992438">
        <w:t>-</w:t>
      </w:r>
      <w:r>
        <w:t xml:space="preserve">saving initiatives; and </w:t>
      </w:r>
      <w:r w:rsidR="00992438">
        <w:t xml:space="preserve">were </w:t>
      </w:r>
      <w:r>
        <w:t>biased towards high water use businesses and a predictable income stream for Icon Water.</w:t>
      </w:r>
      <w:proofErr w:type="gramEnd"/>
      <w:r>
        <w:t xml:space="preserve"> </w:t>
      </w:r>
    </w:p>
    <w:p w14:paraId="5DE5DAF5" w14:textId="77777777" w:rsidR="00B27A6F" w:rsidRDefault="00B27A6F" w:rsidP="00B27A6F">
      <w:r>
        <w:t xml:space="preserve">Ms Susan Vidler raised concerns about the transparency of and deadlines for the public consultation process; the lack of accessible information for the </w:t>
      </w:r>
      <w:proofErr w:type="gramStart"/>
      <w:r>
        <w:t>general public</w:t>
      </w:r>
      <w:proofErr w:type="gramEnd"/>
      <w:r>
        <w:t xml:space="preserve">; conflicts of interest for </w:t>
      </w:r>
      <w:r w:rsidR="00992438">
        <w:t>m</w:t>
      </w:r>
      <w:r>
        <w:t>inisterial responsibilities; impacts of higher water bills on low</w:t>
      </w:r>
      <w:r w:rsidR="00992438">
        <w:t>-</w:t>
      </w:r>
      <w:r>
        <w:t>income households; and the scope for Icon Water to set the regulated water prices.</w:t>
      </w:r>
      <w:r w:rsidR="008013DA">
        <w:t xml:space="preserve"> </w:t>
      </w:r>
    </w:p>
    <w:p w14:paraId="560DDF8A" w14:textId="77777777" w:rsidR="00B27A6F" w:rsidRDefault="00B27A6F" w:rsidP="00E0097C">
      <w:proofErr w:type="gramStart"/>
      <w:r>
        <w:t>D</w:t>
      </w:r>
      <w:r w:rsidRPr="00992438">
        <w:t>r David Denham su</w:t>
      </w:r>
      <w:r>
        <w:t xml:space="preserve">pported the proposed overarching economic efficiency objective as a </w:t>
      </w:r>
      <w:r w:rsidRPr="007B586A">
        <w:t>sound basis for developing a tariff structure</w:t>
      </w:r>
      <w:r>
        <w:t>, and agreed that the proposed pricing principles provide</w:t>
      </w:r>
      <w:r w:rsidR="004C7162">
        <w:t>d</w:t>
      </w:r>
      <w:r>
        <w:t xml:space="preserve"> an effective basis for assessing current and alternative structures, but argued that social welfare cannot be maximised </w:t>
      </w:r>
      <w:r w:rsidR="00DC674F">
        <w:t>‘</w:t>
      </w:r>
      <w:r w:rsidRPr="00C25CCE">
        <w:t>because the fixed charge component is far too high and does not appropriately reward customers for conserving water</w:t>
      </w:r>
      <w:r w:rsidR="00DC674F">
        <w:t>’</w:t>
      </w:r>
      <w:r w:rsidR="00E0097C">
        <w:t>.</w:t>
      </w:r>
      <w:r>
        <w:rPr>
          <w:rStyle w:val="FootnoteReference"/>
        </w:rPr>
        <w:footnoteReference w:id="139"/>
      </w:r>
      <w:proofErr w:type="gramEnd"/>
      <w:r>
        <w:t xml:space="preserve"> </w:t>
      </w:r>
    </w:p>
    <w:p w14:paraId="6D45989B" w14:textId="77777777" w:rsidR="00B27A6F" w:rsidRDefault="00B27A6F" w:rsidP="00B27A6F">
      <w:r>
        <w:t xml:space="preserve">Dr Denham </w:t>
      </w:r>
      <w:r w:rsidR="005A50E4">
        <w:t>supported retaining</w:t>
      </w:r>
      <w:r>
        <w:t xml:space="preserve"> the current inclining block water tariff</w:t>
      </w:r>
      <w:r w:rsidR="005A50E4">
        <w:t>,</w:t>
      </w:r>
      <w:r>
        <w:t xml:space="preserve"> but with:</w:t>
      </w:r>
    </w:p>
    <w:p w14:paraId="21FC6C98" w14:textId="77777777" w:rsidR="00B27A6F" w:rsidRDefault="00B27A6F" w:rsidP="00B27A6F">
      <w:pPr>
        <w:pStyle w:val="Bullet"/>
        <w:numPr>
          <w:ilvl w:val="0"/>
          <w:numId w:val="12"/>
        </w:numPr>
        <w:ind w:left="644" w:hanging="360"/>
      </w:pPr>
      <w:r>
        <w:t>a significant reduction in the supply charge; and</w:t>
      </w:r>
    </w:p>
    <w:p w14:paraId="6BDEC77A" w14:textId="77777777" w:rsidR="00B27A6F" w:rsidRDefault="00B27A6F" w:rsidP="00B27A6F">
      <w:pPr>
        <w:pStyle w:val="BulletLast"/>
        <w:ind w:left="681" w:hanging="397"/>
      </w:pPr>
      <w:proofErr w:type="gramStart"/>
      <w:r>
        <w:t>a</w:t>
      </w:r>
      <w:proofErr w:type="gramEnd"/>
      <w:r>
        <w:t xml:space="preserve"> significantly reduced price for the first 40 kL of water consumed per quarter.</w:t>
      </w:r>
      <w:r w:rsidR="0020583E">
        <w:rPr>
          <w:rStyle w:val="FootnoteReference"/>
        </w:rPr>
        <w:footnoteReference w:id="140"/>
      </w:r>
    </w:p>
    <w:p w14:paraId="5C977F5E" w14:textId="77777777" w:rsidR="00B27A6F" w:rsidRPr="00303AB7" w:rsidRDefault="00B27A6F" w:rsidP="00B27A6F">
      <w:r>
        <w:t xml:space="preserve">Dr Denham also submitted that a usage price for sewerage services would need to consider how the flow </w:t>
      </w:r>
      <w:proofErr w:type="gramStart"/>
      <w:r>
        <w:t>would be measured</w:t>
      </w:r>
      <w:proofErr w:type="gramEnd"/>
      <w:r>
        <w:t xml:space="preserve"> and if it was easy it should be done.</w:t>
      </w:r>
      <w:r w:rsidR="008013DA">
        <w:t xml:space="preserve"> </w:t>
      </w:r>
      <w:r>
        <w:t xml:space="preserve">He submitted </w:t>
      </w:r>
      <w:r w:rsidR="005A50E4">
        <w:t xml:space="preserve">that </w:t>
      </w:r>
      <w:r>
        <w:t xml:space="preserve">he would support a scheme involving sewage usage charges where large </w:t>
      </w:r>
      <w:r>
        <w:lastRenderedPageBreak/>
        <w:t>users pay more</w:t>
      </w:r>
      <w:r w:rsidR="005A50E4">
        <w:t>,</w:t>
      </w:r>
      <w:r>
        <w:t xml:space="preserve"> but he would have to examine any proposal before making a proper assessment.</w:t>
      </w:r>
      <w:r w:rsidRPr="00754DDD">
        <w:rPr>
          <w:vertAlign w:val="superscript"/>
        </w:rPr>
        <w:footnoteReference w:id="141"/>
      </w:r>
    </w:p>
    <w:p w14:paraId="3AFE104A" w14:textId="77777777" w:rsidR="00B27A6F" w:rsidRDefault="00B27A6F" w:rsidP="00B27A6F">
      <w:r>
        <w:t xml:space="preserve">Dr Terry Dwyer supported a rebalancing of tariffs so that all utility charges are based on an ad valorem land value rate reflecting the value added to lands serviced </w:t>
      </w:r>
      <w:proofErr w:type="gramStart"/>
      <w:r>
        <w:t>plus</w:t>
      </w:r>
      <w:proofErr w:type="gramEnd"/>
      <w:r>
        <w:t xml:space="preserve"> a usage charge set at </w:t>
      </w:r>
      <w:r w:rsidR="004C7162">
        <w:t xml:space="preserve">the </w:t>
      </w:r>
      <w:r>
        <w:t>short</w:t>
      </w:r>
      <w:r w:rsidR="005A50E4">
        <w:t>-</w:t>
      </w:r>
      <w:r>
        <w:t>run marginal cost.</w:t>
      </w:r>
      <w:r w:rsidRPr="005243D2">
        <w:rPr>
          <w:rStyle w:val="FootnoteReference"/>
        </w:rPr>
        <w:footnoteReference w:id="142"/>
      </w:r>
    </w:p>
    <w:p w14:paraId="3FC3CA3D" w14:textId="77777777" w:rsidR="00B27A6F" w:rsidRDefault="00B27A6F" w:rsidP="00B27A6F">
      <w:r>
        <w:t xml:space="preserve">Dr Kristine Klugman did not support an inclining block tariff and in particular the doubling of the water charge for water consumption over a </w:t>
      </w:r>
      <w:proofErr w:type="gramStart"/>
      <w:r>
        <w:t>very minimal</w:t>
      </w:r>
      <w:proofErr w:type="gramEnd"/>
      <w:r>
        <w:t xml:space="preserve"> level:</w:t>
      </w:r>
    </w:p>
    <w:p w14:paraId="55325A74" w14:textId="77777777" w:rsidR="00B27A6F" w:rsidRDefault="00B27A6F" w:rsidP="00B27A6F">
      <w:pPr>
        <w:pStyle w:val="ColorfulGrid-Accent110"/>
      </w:pPr>
      <w:r>
        <w:t>The effect will be to kill the gardens of Canberra, because people will not be able to pay this amount of extra surcharge.</w:t>
      </w:r>
      <w:r>
        <w:rPr>
          <w:rStyle w:val="FootnoteReference"/>
        </w:rPr>
        <w:footnoteReference w:id="143"/>
      </w:r>
    </w:p>
    <w:p w14:paraId="07C4FB3F" w14:textId="77777777" w:rsidR="00B27A6F" w:rsidRDefault="00B27A6F" w:rsidP="00B27A6F">
      <w:r>
        <w:t xml:space="preserve">Mr David Parkin expressed support for the continuation of a two-tier system but proposed that the Tier 2 usage charge be only slightly higher than the Tier 1 price and not double as it is now and that the fixed supply charge </w:t>
      </w:r>
      <w:proofErr w:type="gramStart"/>
      <w:r>
        <w:t>be increased</w:t>
      </w:r>
      <w:proofErr w:type="gramEnd"/>
      <w:r>
        <w:t>. He also noted inequities in relation to use for larger households.</w:t>
      </w:r>
      <w:r>
        <w:rPr>
          <w:rStyle w:val="FootnoteReference"/>
        </w:rPr>
        <w:footnoteReference w:id="144"/>
      </w:r>
      <w:r>
        <w:t xml:space="preserve"> </w:t>
      </w:r>
    </w:p>
    <w:p w14:paraId="2AE750F7" w14:textId="77777777" w:rsidR="00B27A6F" w:rsidRDefault="00B27A6F" w:rsidP="00B27A6F">
      <w:pPr>
        <w:pStyle w:val="HeadingAppendix2"/>
      </w:pPr>
      <w:bookmarkStart w:id="317" w:name="_Toc476754019"/>
      <w:bookmarkStart w:id="318" w:name="_Toc478465497"/>
      <w:r>
        <w:t xml:space="preserve">Public </w:t>
      </w:r>
      <w:r w:rsidR="005A30D8">
        <w:t>f</w:t>
      </w:r>
      <w:r>
        <w:t>orum</w:t>
      </w:r>
      <w:bookmarkEnd w:id="317"/>
      <w:bookmarkEnd w:id="318"/>
    </w:p>
    <w:p w14:paraId="0719EC99" w14:textId="77777777" w:rsidR="00B27A6F" w:rsidRDefault="00B27A6F" w:rsidP="00B27A6F">
      <w:r>
        <w:t>The Commission held a public forum on the tariff structure review on 6 December 2016.</w:t>
      </w:r>
      <w:r w:rsidR="008013DA">
        <w:t xml:space="preserve"> </w:t>
      </w:r>
      <w:r>
        <w:t xml:space="preserve">Mr Joe Dimasi, Senior </w:t>
      </w:r>
      <w:proofErr w:type="gramStart"/>
      <w:r>
        <w:t>Commissioner,</w:t>
      </w:r>
      <w:proofErr w:type="gramEnd"/>
      <w:r>
        <w:t xml:space="preserve"> gave a presentation on the work undertaken by the Commission to date and its current thinking.</w:t>
      </w:r>
      <w:r w:rsidR="008013DA">
        <w:t xml:space="preserve"> </w:t>
      </w:r>
      <w:r>
        <w:t>A number of people also gave presentations and others contributed during a question and answer session.</w:t>
      </w:r>
      <w:r w:rsidR="008013DA">
        <w:t xml:space="preserve"> </w:t>
      </w:r>
      <w:r>
        <w:t xml:space="preserve">This section summarises the presentations that </w:t>
      </w:r>
      <w:proofErr w:type="gramStart"/>
      <w:r>
        <w:t>were made</w:t>
      </w:r>
      <w:proofErr w:type="gramEnd"/>
      <w:r>
        <w:t xml:space="preserve"> by members of the public at the public forum.</w:t>
      </w:r>
      <w:r w:rsidR="008013DA">
        <w:t xml:space="preserve"> </w:t>
      </w:r>
      <w:r>
        <w:t>A transcript of the proceedings is available on the Commission</w:t>
      </w:r>
      <w:r w:rsidR="00DC674F">
        <w:t>’</w:t>
      </w:r>
      <w:r>
        <w:t>s website.</w:t>
      </w:r>
      <w:r>
        <w:rPr>
          <w:rStyle w:val="FootnoteReference"/>
        </w:rPr>
        <w:footnoteReference w:id="145"/>
      </w:r>
    </w:p>
    <w:p w14:paraId="08966D65" w14:textId="77777777" w:rsidR="00B27A6F" w:rsidRDefault="00B27A6F" w:rsidP="00B27A6F">
      <w:r>
        <w:t>Mr Gwyn Rees, Chief Executive Officer of Clubs ACT, explained that Clubs ACT represents several clubs responsible for several golf courses, bowling greens, cricket fields, football fields, a yacht club, a BMX track and other venues.</w:t>
      </w:r>
      <w:r w:rsidR="008013DA">
        <w:t xml:space="preserve"> </w:t>
      </w:r>
      <w:r w:rsidR="004C7162">
        <w:t>He</w:t>
      </w:r>
      <w:r>
        <w:t xml:space="preserve"> submitted that if the tariff structure </w:t>
      </w:r>
      <w:proofErr w:type="gramStart"/>
      <w:r>
        <w:t>was</w:t>
      </w:r>
      <w:proofErr w:type="gramEnd"/>
      <w:r>
        <w:t xml:space="preserve"> changed then clubs would not use more water given the water</w:t>
      </w:r>
      <w:r w:rsidR="005A50E4">
        <w:t>-</w:t>
      </w:r>
      <w:r>
        <w:t>saving investments they had made, the cost of using water and the fact that the water demand</w:t>
      </w:r>
      <w:r w:rsidR="00A261EF">
        <w:t xml:space="preserve"> at</w:t>
      </w:r>
      <w:r>
        <w:t xml:space="preserve"> venues is relatively stable.</w:t>
      </w:r>
      <w:r w:rsidR="008013DA">
        <w:t xml:space="preserve"> </w:t>
      </w:r>
      <w:r>
        <w:t>He als</w:t>
      </w:r>
      <w:r w:rsidRPr="004C7162">
        <w:t xml:space="preserve">o </w:t>
      </w:r>
      <w:r w:rsidR="004C7162">
        <w:t xml:space="preserve">said </w:t>
      </w:r>
      <w:r w:rsidRPr="004C7162">
        <w:t>th</w:t>
      </w:r>
      <w:r>
        <w:t xml:space="preserve">ere was a case for clubs to have a discount for water given they are maintaining community assets. </w:t>
      </w:r>
    </w:p>
    <w:p w14:paraId="0DEF7DEE" w14:textId="77777777" w:rsidR="00B27A6F" w:rsidRDefault="00B27A6F" w:rsidP="00B27A6F">
      <w:r>
        <w:t>Mr Kevin Cox, representing ACT Water Rewards Co-operative</w:t>
      </w:r>
      <w:r w:rsidR="007A68BA">
        <w:t>,</w:t>
      </w:r>
      <w:r>
        <w:t xml:space="preserve"> </w:t>
      </w:r>
      <w:r w:rsidR="004210DF">
        <w:t xml:space="preserve">said </w:t>
      </w:r>
      <w:r>
        <w:t xml:space="preserve">that economic efficiency would not be achieved if reducing the price of water to large users </w:t>
      </w:r>
      <w:proofErr w:type="gramStart"/>
      <w:r>
        <w:t>was</w:t>
      </w:r>
      <w:proofErr w:type="gramEnd"/>
      <w:r>
        <w:t xml:space="preserve"> at the expense of increasing the price to households.</w:t>
      </w:r>
      <w:r w:rsidR="008013DA">
        <w:t xml:space="preserve"> </w:t>
      </w:r>
      <w:r>
        <w:t>He outlined a proposal for reducing the financial costs for Icon Water with a community</w:t>
      </w:r>
      <w:r w:rsidR="007A68BA">
        <w:t>-</w:t>
      </w:r>
      <w:r>
        <w:t>based funding scheme</w:t>
      </w:r>
      <w:r w:rsidR="007A68BA">
        <w:t>,</w:t>
      </w:r>
      <w:r>
        <w:t xml:space="preserve"> which </w:t>
      </w:r>
      <w:proofErr w:type="gramStart"/>
      <w:r>
        <w:t xml:space="preserve">was </w:t>
      </w:r>
      <w:r>
        <w:lastRenderedPageBreak/>
        <w:t>also presented</w:t>
      </w:r>
      <w:proofErr w:type="gramEnd"/>
      <w:r>
        <w:t xml:space="preserve"> in the White Label Personal Clouds submission outlined above.</w:t>
      </w:r>
      <w:r w:rsidR="008013DA">
        <w:t xml:space="preserve"> </w:t>
      </w:r>
      <w:r>
        <w:t xml:space="preserve">Mr Cox also advocated putting Icon Water in charge of all the water in the ACT. </w:t>
      </w:r>
    </w:p>
    <w:p w14:paraId="37BEDCD1" w14:textId="77777777" w:rsidR="00B27A6F" w:rsidRDefault="00B27A6F" w:rsidP="00B27A6F">
      <w:r>
        <w:t>Mr Sutherland, from ACAT</w:t>
      </w:r>
      <w:r w:rsidR="007A68BA">
        <w:t>,</w:t>
      </w:r>
      <w:r>
        <w:t xml:space="preserve"> noted that the </w:t>
      </w:r>
      <w:r w:rsidR="007A68BA">
        <w:t>t</w:t>
      </w:r>
      <w:r>
        <w:t>ribunal was mostly concerned with the issue of hardship and protecting low</w:t>
      </w:r>
      <w:r w:rsidR="007A68BA">
        <w:t>-</w:t>
      </w:r>
      <w:r>
        <w:t>income consumers in Canberra in relation to their water and energy bills.</w:t>
      </w:r>
      <w:r w:rsidR="008013DA">
        <w:t xml:space="preserve"> </w:t>
      </w:r>
      <w:r w:rsidR="007A68BA">
        <w:t>He</w:t>
      </w:r>
      <w:r>
        <w:t xml:space="preserve"> </w:t>
      </w:r>
      <w:r w:rsidR="004210DF">
        <w:t xml:space="preserve">said </w:t>
      </w:r>
      <w:r>
        <w:t>that the ICRC</w:t>
      </w:r>
      <w:r w:rsidR="00DC674F">
        <w:t>’</w:t>
      </w:r>
      <w:r>
        <w:t>s role was to balance economic, social and environmental considerations and not give primacy to economic issues.</w:t>
      </w:r>
      <w:r w:rsidR="008013DA">
        <w:t xml:space="preserve"> </w:t>
      </w:r>
      <w:r>
        <w:t>He also noted that with quarterly billing some customers were paying Tier 2 prices when their annual consumption was less than the Tier 2 volume threshold.</w:t>
      </w:r>
      <w:r w:rsidR="008013DA">
        <w:t xml:space="preserve"> </w:t>
      </w:r>
      <w:r>
        <w:t xml:space="preserve">Mr Sutherland </w:t>
      </w:r>
      <w:r w:rsidR="004210DF">
        <w:t xml:space="preserve">said </w:t>
      </w:r>
      <w:r>
        <w:t>that ACAT was strongly in favour of keeping the current tiers, noting the equity considerations for low</w:t>
      </w:r>
      <w:r w:rsidR="007A68BA">
        <w:t>-</w:t>
      </w:r>
      <w:r>
        <w:t xml:space="preserve">income </w:t>
      </w:r>
      <w:r w:rsidR="007A68BA">
        <w:t xml:space="preserve">households </w:t>
      </w:r>
      <w:r>
        <w:t>and low users of water.</w:t>
      </w:r>
      <w:r w:rsidR="008013DA">
        <w:t xml:space="preserve"> </w:t>
      </w:r>
      <w:r w:rsidR="007A68BA">
        <w:t>He</w:t>
      </w:r>
      <w:r>
        <w:t xml:space="preserve"> also noted the need to consider water and sewerage services as a single entity in terms of cash flow and take account of the fact that the sewerage services tariff is a fixed supply charge only.</w:t>
      </w:r>
      <w:r w:rsidR="008013DA">
        <w:t xml:space="preserve"> </w:t>
      </w:r>
      <w:r>
        <w:t xml:space="preserve">Mr Sutherland also raised concerns about how tenants </w:t>
      </w:r>
      <w:proofErr w:type="gramStart"/>
      <w:r>
        <w:t>were charged</w:t>
      </w:r>
      <w:proofErr w:type="gramEnd"/>
      <w:r>
        <w:t xml:space="preserve"> and advocated allowing them to access the concession arrangements.</w:t>
      </w:r>
      <w:r w:rsidR="008013DA">
        <w:t xml:space="preserve"> </w:t>
      </w:r>
      <w:r>
        <w:t xml:space="preserve">He also noted the relevance of capacity charging for large users. </w:t>
      </w:r>
    </w:p>
    <w:p w14:paraId="302A1119" w14:textId="77777777" w:rsidR="00B27A6F" w:rsidRDefault="00B27A6F" w:rsidP="00B27A6F">
      <w:r>
        <w:t>Dr Terry Dwyer advocated recovery of water and sewerage costs through land rates based on the economic value created by the associated services.</w:t>
      </w:r>
      <w:r w:rsidR="008013DA">
        <w:t xml:space="preserve"> </w:t>
      </w:r>
      <w:r>
        <w:t>He offered a number of historical examples and economic theories to support his propositions.</w:t>
      </w:r>
      <w:r w:rsidR="008013DA">
        <w:t xml:space="preserve"> </w:t>
      </w:r>
      <w:r>
        <w:t>He also noted the sensitivity of the land rating system to the existence of apartments</w:t>
      </w:r>
      <w:r w:rsidR="007A68BA">
        <w:t>,</w:t>
      </w:r>
      <w:r>
        <w:t xml:space="preserve"> which would facilitate effective cost recovery through land rates.</w:t>
      </w:r>
      <w:r w:rsidR="008013DA">
        <w:t xml:space="preserve"> </w:t>
      </w:r>
      <w:r>
        <w:t>He also noted that the ACT is water</w:t>
      </w:r>
      <w:r w:rsidR="007A68BA">
        <w:t>-</w:t>
      </w:r>
      <w:r>
        <w:t xml:space="preserve">rich relative to its needs, explaining that 96 per cent of water that flows and falls into the ACT </w:t>
      </w:r>
      <w:proofErr w:type="gramStart"/>
      <w:r>
        <w:t>is sent on</w:t>
      </w:r>
      <w:proofErr w:type="gramEnd"/>
      <w:r>
        <w:t xml:space="preserve"> downstream. </w:t>
      </w:r>
    </w:p>
    <w:p w14:paraId="58DEB762" w14:textId="77777777" w:rsidR="00B27A6F" w:rsidRDefault="00B27A6F" w:rsidP="00B27A6F">
      <w:r>
        <w:t xml:space="preserve">Mr Ian Falconer, a board member of the Conservation Council of the ACT, supported </w:t>
      </w:r>
      <w:r w:rsidR="007A68BA">
        <w:t xml:space="preserve">retaining </w:t>
      </w:r>
      <w:r>
        <w:t xml:space="preserve">the current tariff structure </w:t>
      </w:r>
      <w:r w:rsidR="007A68BA">
        <w:t xml:space="preserve">and expressed </w:t>
      </w:r>
      <w:r>
        <w:t xml:space="preserve">concerns about conservation and equity if the proposed changes set out in the </w:t>
      </w:r>
      <w:r w:rsidR="007A68BA">
        <w:t>d</w:t>
      </w:r>
      <w:r>
        <w:t xml:space="preserve">raft </w:t>
      </w:r>
      <w:r w:rsidR="007A68BA">
        <w:t>r</w:t>
      </w:r>
      <w:r>
        <w:t xml:space="preserve">eport </w:t>
      </w:r>
      <w:proofErr w:type="gramStart"/>
      <w:r>
        <w:t>were implemented</w:t>
      </w:r>
      <w:proofErr w:type="gramEnd"/>
      <w:r>
        <w:t xml:space="preserve">. </w:t>
      </w:r>
    </w:p>
    <w:p w14:paraId="732E197E" w14:textId="77777777" w:rsidR="00B27A6F" w:rsidRDefault="00B27A6F" w:rsidP="00B27A6F">
      <w:r>
        <w:t>Mr David Parkin highlighted the debt in Icon Water</w:t>
      </w:r>
      <w:r w:rsidR="00DC674F">
        <w:t>’</w:t>
      </w:r>
      <w:r>
        <w:t>s financial position and questioned the proposition that there is 40 years of water security.</w:t>
      </w:r>
      <w:r w:rsidR="008013DA">
        <w:t xml:space="preserve"> </w:t>
      </w:r>
      <w:r>
        <w:t xml:space="preserve">He also raised concerns about the financial impact on low users and questioned why a better job </w:t>
      </w:r>
      <w:proofErr w:type="gramStart"/>
      <w:r>
        <w:t>could not be done</w:t>
      </w:r>
      <w:proofErr w:type="gramEnd"/>
      <w:r>
        <w:t xml:space="preserve"> in relation to sewerage pricing. </w:t>
      </w:r>
    </w:p>
    <w:p w14:paraId="4A94F062" w14:textId="77777777" w:rsidR="00B27A6F" w:rsidRDefault="00B27A6F" w:rsidP="00B27A6F">
      <w:r>
        <w:t>Dr Chris Klugman raised concerns about the impact of the proposed changes on the poor and community service obligations for Icon Water to maintain the environment in Canberra.</w:t>
      </w:r>
    </w:p>
    <w:p w14:paraId="4ED6B1F2" w14:textId="77777777" w:rsidR="00B27A6F" w:rsidRDefault="00B27A6F" w:rsidP="00B27A6F">
      <w:r>
        <w:t xml:space="preserve">Mr John Bromhead raised concerns that the quarterly billing </w:t>
      </w:r>
      <w:r w:rsidR="004210DF">
        <w:t xml:space="preserve">cycle </w:t>
      </w:r>
      <w:r>
        <w:t>did not take account of the fact that annual use may be less than 200</w:t>
      </w:r>
      <w:r w:rsidR="00B624EE">
        <w:t> </w:t>
      </w:r>
      <w:r>
        <w:t>kL.</w:t>
      </w:r>
    </w:p>
    <w:p w14:paraId="1D7582A8" w14:textId="77777777" w:rsidR="00B27A6F" w:rsidRDefault="00B27A6F" w:rsidP="00B27A6F">
      <w:r>
        <w:t>Mr Gary Petherbridge, President of the Owner</w:t>
      </w:r>
      <w:r w:rsidR="00DC674F">
        <w:t>’</w:t>
      </w:r>
      <w:r>
        <w:t>s Corporation Network</w:t>
      </w:r>
      <w:r w:rsidR="007A68BA">
        <w:t>,</w:t>
      </w:r>
      <w:r>
        <w:t xml:space="preserve"> </w:t>
      </w:r>
      <w:r w:rsidR="004210DF">
        <w:t xml:space="preserve">suggested </w:t>
      </w:r>
      <w:r>
        <w:t xml:space="preserve">that the review should consider the charging arrangements for owners and people who live in apartments. </w:t>
      </w:r>
    </w:p>
    <w:p w14:paraId="40223688" w14:textId="77777777" w:rsidR="00B27A6F" w:rsidRDefault="00B27A6F" w:rsidP="00B27A6F">
      <w:r>
        <w:t xml:space="preserve">Mr Ray McGuiness from Bowls ACT noted the uncertainty relating to charges and difficulties for bowling clubs. </w:t>
      </w:r>
    </w:p>
    <w:p w14:paraId="7B92CE87" w14:textId="77777777" w:rsidR="003A7D85" w:rsidRDefault="00B27A6F" w:rsidP="00B27A6F">
      <w:pPr>
        <w:sectPr w:rsidR="003A7D85" w:rsidSect="00B27A6F">
          <w:headerReference w:type="even" r:id="rId65"/>
          <w:headerReference w:type="default" r:id="rId66"/>
          <w:endnotePr>
            <w:numFmt w:val="decimal"/>
          </w:endnotePr>
          <w:type w:val="continuous"/>
          <w:pgSz w:w="11907" w:h="16840" w:code="9"/>
          <w:pgMar w:top="2268" w:right="2098" w:bottom="1701" w:left="2098" w:header="578" w:footer="578" w:gutter="0"/>
          <w:cols w:space="720"/>
          <w:docGrid w:linePitch="299"/>
        </w:sectPr>
      </w:pPr>
      <w:r>
        <w:lastRenderedPageBreak/>
        <w:t xml:space="preserve">Mr Rees noted the cost pressures for bowls clubs in particular and proposed that approaches for charging clubs in other jurisdictions </w:t>
      </w:r>
      <w:proofErr w:type="gramStart"/>
      <w:r>
        <w:t>be considered</w:t>
      </w:r>
      <w:proofErr w:type="gramEnd"/>
      <w:r>
        <w:t xml:space="preserve">. </w:t>
      </w:r>
    </w:p>
    <w:p w14:paraId="4A0A0A0D" w14:textId="77777777" w:rsidR="003A7D85" w:rsidRDefault="00A261EF" w:rsidP="004050E4">
      <w:pPr>
        <w:pStyle w:val="HeadingAppendix1"/>
        <w:numPr>
          <w:ilvl w:val="0"/>
          <w:numId w:val="5"/>
        </w:numPr>
        <w:ind w:left="2693"/>
        <w:sectPr w:rsidR="003A7D85" w:rsidSect="003A7D85">
          <w:headerReference w:type="default" r:id="rId67"/>
          <w:endnotePr>
            <w:numFmt w:val="decimal"/>
          </w:endnotePr>
          <w:type w:val="oddPage"/>
          <w:pgSz w:w="11907" w:h="16840" w:code="9"/>
          <w:pgMar w:top="2268" w:right="2098" w:bottom="1701" w:left="2098" w:header="578" w:footer="578" w:gutter="0"/>
          <w:cols w:space="720"/>
          <w:docGrid w:linePitch="299"/>
        </w:sectPr>
      </w:pPr>
      <w:bookmarkStart w:id="319" w:name="_Ref456688407"/>
      <w:bookmarkStart w:id="320" w:name="_Toc476754020"/>
      <w:bookmarkStart w:id="321" w:name="_Toc478465498"/>
      <w:r>
        <w:lastRenderedPageBreak/>
        <w:t>National water</w:t>
      </w:r>
      <w:r w:rsidR="0042340F">
        <w:t xml:space="preserve"> initiative pricing principles</w:t>
      </w:r>
      <w:bookmarkEnd w:id="319"/>
      <w:bookmarkEnd w:id="320"/>
      <w:bookmarkEnd w:id="321"/>
    </w:p>
    <w:p w14:paraId="7E307C0C" w14:textId="64409313" w:rsidR="003A7D85" w:rsidRDefault="003A7D85" w:rsidP="003A7D85">
      <w:r w:rsidRPr="00205CA8">
        <w:t>In 2010, a set of National Water Initiative pricing principles, agreed by all Australian governments and endorsed by the Natural Resource Management Ministerial Council, was developed as the basis for setting water prices in all jurisdictions.</w:t>
      </w:r>
      <w:r w:rsidR="008013DA">
        <w:t xml:space="preserve"> </w:t>
      </w:r>
      <w:r w:rsidRPr="00205CA8">
        <w:t xml:space="preserve">The 10 pricing principles for setting urban water tariffs are summarised in </w:t>
      </w:r>
      <w:r w:rsidR="00E62F0C">
        <w:fldChar w:fldCharType="begin"/>
      </w:r>
      <w:r>
        <w:instrText xml:space="preserve"> REF _Ref476055949 \h </w:instrText>
      </w:r>
      <w:r w:rsidR="00E62F0C">
        <w:fldChar w:fldCharType="separate"/>
      </w:r>
      <w:r w:rsidRPr="00C5491B">
        <w:t>Box</w:t>
      </w:r>
      <w:r>
        <w:t xml:space="preserve"> A2</w:t>
      </w:r>
      <w:r w:rsidRPr="00C5491B">
        <w:t>.</w:t>
      </w:r>
      <w:r>
        <w:rPr>
          <w:noProof/>
        </w:rPr>
        <w:t>1</w:t>
      </w:r>
      <w:r w:rsidR="00E62F0C">
        <w:fldChar w:fldCharType="end"/>
      </w:r>
      <w:r>
        <w:t>.</w:t>
      </w:r>
    </w:p>
    <w:p w14:paraId="2513C4B5" w14:textId="701E7771" w:rsidR="003A7D85" w:rsidRPr="00C5491B" w:rsidRDefault="003A7D85" w:rsidP="003A7D85">
      <w:pPr>
        <w:pStyle w:val="FigureName"/>
        <w:keepNext/>
      </w:pPr>
      <w:bookmarkStart w:id="322" w:name="_Ref476055949"/>
      <w:bookmarkStart w:id="323" w:name="_Toc435700208"/>
      <w:bookmarkStart w:id="324" w:name="_Ref476055937"/>
      <w:bookmarkStart w:id="325" w:name="_Toc476559398"/>
      <w:bookmarkStart w:id="326" w:name="_Toc478480752"/>
      <w:r w:rsidRPr="00C5491B">
        <w:lastRenderedPageBreak/>
        <w:t>Box</w:t>
      </w:r>
      <w:r>
        <w:t xml:space="preserve"> A</w:t>
      </w:r>
      <w:r w:rsidR="00E62F0C">
        <w:fldChar w:fldCharType="begin"/>
      </w:r>
      <w:r>
        <w:instrText xml:space="preserve"> SEQ Box \* ARABIC \s 1 </w:instrText>
      </w:r>
      <w:r w:rsidR="00E62F0C">
        <w:fldChar w:fldCharType="separate"/>
      </w:r>
      <w:r>
        <w:rPr>
          <w:noProof/>
        </w:rPr>
        <w:t>2</w:t>
      </w:r>
      <w:r w:rsidR="00E62F0C">
        <w:fldChar w:fldCharType="end"/>
      </w:r>
      <w:bookmarkEnd w:id="322"/>
      <w:r>
        <w:t>.1</w:t>
      </w:r>
      <w:r w:rsidRPr="00C5491B">
        <w:tab/>
        <w:t>N</w:t>
      </w:r>
      <w:r>
        <w:t xml:space="preserve">ational </w:t>
      </w:r>
      <w:r w:rsidRPr="00C5491B">
        <w:t>W</w:t>
      </w:r>
      <w:r>
        <w:t xml:space="preserve">ater </w:t>
      </w:r>
      <w:r w:rsidRPr="00C5491B">
        <w:t>I</w:t>
      </w:r>
      <w:r>
        <w:t>nitiative</w:t>
      </w:r>
      <w:r w:rsidRPr="00C5491B">
        <w:t xml:space="preserve"> </w:t>
      </w:r>
      <w:r>
        <w:t>urban water price-setting principles</w:t>
      </w:r>
      <w:bookmarkEnd w:id="323"/>
      <w:bookmarkEnd w:id="324"/>
      <w:bookmarkEnd w:id="325"/>
      <w:bookmarkEnd w:id="326"/>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3A7D85" w14:paraId="3BDA747E" w14:textId="77777777" w:rsidTr="003A7D85">
        <w:trPr>
          <w:cantSplit/>
          <w:trHeight w:val="2069"/>
        </w:trPr>
        <w:tc>
          <w:tcPr>
            <w:tcW w:w="7927" w:type="dxa"/>
            <w:shd w:val="clear" w:color="auto" w:fill="DBE5F1"/>
          </w:tcPr>
          <w:p w14:paraId="026E2069" w14:textId="77777777" w:rsidR="003A7D85" w:rsidRPr="00821663" w:rsidRDefault="003A7D85" w:rsidP="003A7D85">
            <w:pPr>
              <w:keepNext/>
            </w:pPr>
            <w:r w:rsidRPr="00821663">
              <w:rPr>
                <w:rStyle w:val="Bold"/>
              </w:rPr>
              <w:t>Principle 1: Cost recovery</w:t>
            </w:r>
            <w:r w:rsidRPr="003A2647">
              <w:rPr>
                <w:rStyle w:val="Bold"/>
                <w:b w:val="0"/>
              </w:rPr>
              <w:t xml:space="preserve"> </w:t>
            </w:r>
            <w:r w:rsidRPr="00821663">
              <w:sym w:font="Symbol" w:char="F02D"/>
            </w:r>
            <w:r w:rsidRPr="00821663">
              <w:t xml:space="preserve"> full recovery of efficient costs </w:t>
            </w:r>
            <w:proofErr w:type="gramStart"/>
            <w:r w:rsidR="007A188A">
              <w:t>should be sought</w:t>
            </w:r>
            <w:proofErr w:type="gramEnd"/>
            <w:r w:rsidR="007A188A">
              <w:t xml:space="preserve"> </w:t>
            </w:r>
            <w:r w:rsidRPr="00821663">
              <w:t>through upper bound pricing.</w:t>
            </w:r>
            <w:r>
              <w:rPr>
                <w:rStyle w:val="FootnoteReference"/>
              </w:rPr>
              <w:footnoteReference w:id="146"/>
            </w:r>
          </w:p>
          <w:p w14:paraId="55DE08A7" w14:textId="77777777" w:rsidR="003A7D85" w:rsidRPr="00821663" w:rsidRDefault="003A7D85" w:rsidP="003A7D85">
            <w:pPr>
              <w:keepNext/>
            </w:pPr>
            <w:r w:rsidRPr="00821663">
              <w:rPr>
                <w:rStyle w:val="Bold"/>
              </w:rPr>
              <w:t>Principle 2: Tariff structures</w:t>
            </w:r>
            <w:r w:rsidRPr="003A2647">
              <w:rPr>
                <w:rStyle w:val="Bold"/>
                <w:b w:val="0"/>
              </w:rPr>
              <w:t xml:space="preserve"> </w:t>
            </w:r>
            <w:r w:rsidRPr="00821663">
              <w:sym w:font="Symbol" w:char="F02D"/>
            </w:r>
            <w:r w:rsidRPr="00821663">
              <w:t xml:space="preserve"> two</w:t>
            </w:r>
            <w:r>
              <w:t>-</w:t>
            </w:r>
            <w:r w:rsidRPr="00821663">
              <w:t xml:space="preserve">part tariffs (service availability and water usage charge) </w:t>
            </w:r>
            <w:proofErr w:type="gramStart"/>
            <w:r w:rsidR="007A188A">
              <w:t>should be used</w:t>
            </w:r>
            <w:proofErr w:type="gramEnd"/>
            <w:r w:rsidR="007A188A">
              <w:t xml:space="preserve"> </w:t>
            </w:r>
            <w:r w:rsidRPr="00821663">
              <w:t>unless demonstr</w:t>
            </w:r>
            <w:r>
              <w:t>ated to not be cost-effective.</w:t>
            </w:r>
          </w:p>
          <w:p w14:paraId="41FEC477" w14:textId="77777777" w:rsidR="003A7D85" w:rsidRPr="00821663" w:rsidRDefault="003A7D85" w:rsidP="003A7D85">
            <w:pPr>
              <w:keepNext/>
            </w:pPr>
            <w:r w:rsidRPr="00821663">
              <w:rPr>
                <w:rStyle w:val="Bold"/>
              </w:rPr>
              <w:t>Principle 3: Cost</w:t>
            </w:r>
            <w:r>
              <w:rPr>
                <w:rStyle w:val="Bold"/>
              </w:rPr>
              <w:t>-</w:t>
            </w:r>
            <w:r w:rsidRPr="00821663">
              <w:rPr>
                <w:rStyle w:val="Bold"/>
              </w:rPr>
              <w:t>reflective tariffs</w:t>
            </w:r>
            <w:r w:rsidRPr="00821663">
              <w:t xml:space="preserve"> </w:t>
            </w:r>
            <w:r w:rsidRPr="00821663">
              <w:sym w:font="Symbol" w:char="F02D"/>
            </w:r>
            <w:r w:rsidRPr="00821663">
              <w:t xml:space="preserve"> for economic efficiency reasons</w:t>
            </w:r>
            <w:r>
              <w:t>,</w:t>
            </w:r>
            <w:r w:rsidRPr="00821663">
              <w:t xml:space="preserve"> </w:t>
            </w:r>
            <w:r w:rsidR="007A188A">
              <w:t xml:space="preserve">the </w:t>
            </w:r>
            <w:r w:rsidRPr="00821663">
              <w:t>water usage charge should have regard to the long</w:t>
            </w:r>
            <w:r>
              <w:t>-</w:t>
            </w:r>
            <w:r w:rsidRPr="00821663">
              <w:t>run marginal cost of the supply of additional water (does not preclude inclining block charges where government</w:t>
            </w:r>
            <w:r>
              <w:t>s</w:t>
            </w:r>
            <w:r w:rsidRPr="00821663">
              <w:t xml:space="preserve"> seek to</w:t>
            </w:r>
            <w:r>
              <w:t xml:space="preserve"> promote efficient water use).</w:t>
            </w:r>
          </w:p>
          <w:p w14:paraId="65C3D2E2" w14:textId="77777777" w:rsidR="003A7D85" w:rsidRPr="00821663" w:rsidRDefault="003A7D85" w:rsidP="003A7D85">
            <w:pPr>
              <w:keepNext/>
            </w:pPr>
            <w:r w:rsidRPr="00821663">
              <w:rPr>
                <w:rStyle w:val="Bold"/>
              </w:rPr>
              <w:t>Principle 4: Setting the service availability charge</w:t>
            </w:r>
            <w:r w:rsidRPr="003A2647">
              <w:rPr>
                <w:rStyle w:val="Bold"/>
                <w:b w:val="0"/>
              </w:rPr>
              <w:t xml:space="preserve"> </w:t>
            </w:r>
            <w:r w:rsidRPr="00821663">
              <w:sym w:font="Symbol" w:char="F02D"/>
            </w:r>
            <w:r w:rsidRPr="00821663">
              <w:t xml:space="preserve"> </w:t>
            </w:r>
            <w:r w:rsidR="007A188A">
              <w:t xml:space="preserve">the charge </w:t>
            </w:r>
            <w:r w:rsidRPr="00821663">
              <w:t xml:space="preserve">should recover </w:t>
            </w:r>
            <w:r>
              <w:t xml:space="preserve">the </w:t>
            </w:r>
            <w:r w:rsidRPr="00821663">
              <w:t>difference between revenue collected from variable water charges and developer charges</w:t>
            </w:r>
            <w:r>
              <w:t xml:space="preserve"> and total revenue requirement.</w:t>
            </w:r>
          </w:p>
          <w:p w14:paraId="247E1726" w14:textId="77777777" w:rsidR="003A7D85" w:rsidRDefault="003A7D85" w:rsidP="003A7D85">
            <w:pPr>
              <w:keepNext/>
            </w:pPr>
            <w:r w:rsidRPr="00821663">
              <w:rPr>
                <w:rStyle w:val="Bold"/>
              </w:rPr>
              <w:t>Principle 5: Pricing transparency</w:t>
            </w:r>
            <w:r w:rsidRPr="00821663">
              <w:t xml:space="preserve"> </w:t>
            </w:r>
            <w:r w:rsidRPr="00821663">
              <w:sym w:font="Symbol" w:char="F02D"/>
            </w:r>
            <w:r w:rsidRPr="00821663">
              <w:t xml:space="preserve"> </w:t>
            </w:r>
            <w:r w:rsidRPr="003C4D68">
              <w:t>tariffs should be set using a transparent methodology</w:t>
            </w:r>
            <w:r>
              <w:t xml:space="preserve"> and </w:t>
            </w:r>
            <w:r w:rsidR="007A188A">
              <w:t xml:space="preserve">the process should be </w:t>
            </w:r>
            <w:r>
              <w:t xml:space="preserve">subject to </w:t>
            </w:r>
            <w:r w:rsidRPr="003C4D68">
              <w:t>public</w:t>
            </w:r>
            <w:r>
              <w:t xml:space="preserve"> consultation and </w:t>
            </w:r>
            <w:r w:rsidRPr="003C4D68">
              <w:t>scrutiny.</w:t>
            </w:r>
          </w:p>
          <w:p w14:paraId="144AC7A0" w14:textId="77777777" w:rsidR="003A7D85" w:rsidRPr="00821663" w:rsidRDefault="003A7D85" w:rsidP="003A7D85">
            <w:pPr>
              <w:keepNext/>
            </w:pPr>
            <w:r w:rsidRPr="008B3C2B">
              <w:rPr>
                <w:b/>
              </w:rPr>
              <w:t xml:space="preserve">Principle 6: </w:t>
            </w:r>
            <w:r w:rsidRPr="003A1612">
              <w:rPr>
                <w:b/>
              </w:rPr>
              <w:t>Over recovery of revenue</w:t>
            </w:r>
            <w:r>
              <w:t xml:space="preserve"> – where water usage charges lead to revenue recovery in excess of upper bound revenue requirements in respect of new investments, jurisdictions are to address the over</w:t>
            </w:r>
            <w:r w:rsidR="007A188A">
              <w:t>-</w:t>
            </w:r>
            <w:r>
              <w:t>recovery.</w:t>
            </w:r>
          </w:p>
          <w:p w14:paraId="13D90F28" w14:textId="77777777" w:rsidR="003A7D85" w:rsidRPr="00821663" w:rsidRDefault="003A7D85" w:rsidP="003A7D85">
            <w:pPr>
              <w:keepNext/>
            </w:pPr>
            <w:r w:rsidRPr="00821663">
              <w:rPr>
                <w:rStyle w:val="Bold"/>
              </w:rPr>
              <w:t>Principle 7: Differential water charges</w:t>
            </w:r>
            <w:r w:rsidRPr="00821663">
              <w:t xml:space="preserve"> </w:t>
            </w:r>
            <w:r w:rsidRPr="00821663">
              <w:sym w:font="Symbol" w:char="F02D"/>
            </w:r>
            <w:r>
              <w:t xml:space="preserve"> w</w:t>
            </w:r>
            <w:r w:rsidRPr="00613AF1">
              <w:t xml:space="preserve">ater charges </w:t>
            </w:r>
            <w:proofErr w:type="gramStart"/>
            <w:r w:rsidRPr="00613AF1">
              <w:t>should be differentiated</w:t>
            </w:r>
            <w:proofErr w:type="gramEnd"/>
            <w:r w:rsidRPr="00613AF1">
              <w:t xml:space="preserve"> by the cost of servicing different customers</w:t>
            </w:r>
            <w:r>
              <w:t xml:space="preserve"> </w:t>
            </w:r>
            <w:r w:rsidRPr="00613AF1">
              <w:t xml:space="preserve">where the benefits </w:t>
            </w:r>
            <w:r>
              <w:t xml:space="preserve">of </w:t>
            </w:r>
            <w:r w:rsidRPr="00613AF1">
              <w:t>doing so outweigh the costs of identifying</w:t>
            </w:r>
            <w:r>
              <w:t xml:space="preserve"> </w:t>
            </w:r>
            <w:r w:rsidRPr="00613AF1">
              <w:t>differences and the equity advantages of alternatives</w:t>
            </w:r>
            <w:r>
              <w:t>.</w:t>
            </w:r>
          </w:p>
          <w:p w14:paraId="092736B2" w14:textId="77777777" w:rsidR="003A7D85" w:rsidRPr="00821663" w:rsidRDefault="003A7D85" w:rsidP="003A7D85">
            <w:pPr>
              <w:keepNext/>
            </w:pPr>
            <w:r w:rsidRPr="00821663">
              <w:rPr>
                <w:rStyle w:val="Bold"/>
              </w:rPr>
              <w:t>Principle 8: Setting developer charges</w:t>
            </w:r>
            <w:r w:rsidRPr="00821663">
              <w:t xml:space="preserve"> </w:t>
            </w:r>
            <w:r w:rsidRPr="00821663">
              <w:sym w:font="Symbol" w:char="F02D"/>
            </w:r>
            <w:r>
              <w:t xml:space="preserve"> charges </w:t>
            </w:r>
            <w:r w:rsidRPr="00CA06FB">
              <w:t>should reflect the investment in both new and existing assets</w:t>
            </w:r>
            <w:r>
              <w:t xml:space="preserve"> </w:t>
            </w:r>
            <w:r w:rsidRPr="00CA06FB">
              <w:t xml:space="preserve">required to serve a new development and have regard to the </w:t>
            </w:r>
            <w:r>
              <w:t xml:space="preserve">way </w:t>
            </w:r>
            <w:r w:rsidRPr="00CA06FB">
              <w:t>in which ongoing</w:t>
            </w:r>
            <w:r>
              <w:t xml:space="preserve"> </w:t>
            </w:r>
            <w:r w:rsidRPr="00CA06FB">
              <w:t>water usage and service availability charges are set</w:t>
            </w:r>
            <w:r>
              <w:t>.</w:t>
            </w:r>
          </w:p>
          <w:p w14:paraId="4069F0E1" w14:textId="77777777" w:rsidR="003A7D85" w:rsidRPr="00821663" w:rsidRDefault="003A7D85" w:rsidP="003A7D85">
            <w:pPr>
              <w:keepNext/>
            </w:pPr>
            <w:r w:rsidRPr="00821663">
              <w:rPr>
                <w:rStyle w:val="Bold"/>
              </w:rPr>
              <w:t>Principle 9: Capping developer charges</w:t>
            </w:r>
            <w:r w:rsidRPr="00821663">
              <w:t xml:space="preserve"> </w:t>
            </w:r>
            <w:r w:rsidRPr="00821663">
              <w:sym w:font="Symbol" w:char="F02D"/>
            </w:r>
            <w:r>
              <w:t xml:space="preserve"> </w:t>
            </w:r>
            <w:r w:rsidRPr="00755772">
              <w:t>charges should not exceed the costs of serving new developments</w:t>
            </w:r>
            <w:r>
              <w:t xml:space="preserve">, </w:t>
            </w:r>
            <w:r w:rsidRPr="00755772">
              <w:t>includ</w:t>
            </w:r>
            <w:r>
              <w:t>ing</w:t>
            </w:r>
            <w:r w:rsidRPr="00755772">
              <w:t xml:space="preserve"> investment in both new and existing assets.</w:t>
            </w:r>
          </w:p>
          <w:p w14:paraId="3B4AB3A4" w14:textId="77777777" w:rsidR="003A7D85" w:rsidRPr="00C5491B" w:rsidRDefault="003A7D85" w:rsidP="003A7D85">
            <w:pPr>
              <w:keepNext/>
            </w:pPr>
            <w:r w:rsidRPr="00821663">
              <w:rPr>
                <w:rStyle w:val="Bold"/>
              </w:rPr>
              <w:t>Principle 10: Revenue from developer charges</w:t>
            </w:r>
            <w:r>
              <w:t xml:space="preserve"> </w:t>
            </w:r>
            <w:r w:rsidRPr="00821663">
              <w:sym w:font="Symbol" w:char="F02D"/>
            </w:r>
            <w:r>
              <w:t xml:space="preserve"> t</w:t>
            </w:r>
            <w:r w:rsidRPr="00755772">
              <w:t>o avoid over-recovery, revenue from developer charges should be offset against the</w:t>
            </w:r>
            <w:r>
              <w:t xml:space="preserve"> </w:t>
            </w:r>
            <w:r w:rsidRPr="00755772">
              <w:t xml:space="preserve">total revenue requirement </w:t>
            </w:r>
            <w:proofErr w:type="gramStart"/>
            <w:r w:rsidRPr="00755772">
              <w:t>either by excluding or deducting</w:t>
            </w:r>
            <w:proofErr w:type="gramEnd"/>
            <w:r w:rsidRPr="00755772">
              <w:t xml:space="preserve"> the contributed assets from</w:t>
            </w:r>
            <w:r>
              <w:t xml:space="preserve"> </w:t>
            </w:r>
            <w:r w:rsidRPr="00755772">
              <w:t xml:space="preserve">the </w:t>
            </w:r>
            <w:r>
              <w:t xml:space="preserve">regulatory asset base </w:t>
            </w:r>
            <w:r w:rsidRPr="00755772">
              <w:t>or by offsetting the revenue recovered using other mechanisms.</w:t>
            </w:r>
          </w:p>
        </w:tc>
      </w:tr>
    </w:tbl>
    <w:p w14:paraId="46B3DE6A" w14:textId="77777777" w:rsidR="003A7D85" w:rsidRDefault="003A7D85" w:rsidP="003A7D85">
      <w:pPr>
        <w:pStyle w:val="TableNotesLast"/>
        <w:keepNext/>
      </w:pPr>
      <w:r w:rsidRPr="00C5491B">
        <w:t>Source:</w:t>
      </w:r>
      <w:r w:rsidR="00F466DB">
        <w:t xml:space="preserve"> </w:t>
      </w:r>
      <w:r w:rsidR="00E62F0C">
        <w:fldChar w:fldCharType="begin"/>
      </w:r>
      <w:r>
        <w:instrText xml:space="preserve"> ADDIN EN.CITE &lt;EndNote&gt;&lt;Cite&gt;&lt;Author&gt;NRMMC&lt;/Author&gt;&lt;Year&gt;2010&lt;/Year&gt;&lt;RecNum&gt;201&lt;/RecNum&gt;&lt;DisplayText&gt;NRMMC (2010)&lt;/DisplayText&gt;&lt;record&gt;&lt;rec-number&gt;201&lt;/rec-number&gt;&lt;foreign-keys&gt;&lt;key app="EN" db-id="5xwt9zxa6r5fesevwr5xzp97r95ev9wx9zpw" timestamp="1375231972"&gt;201&lt;/key&gt;&lt;/foreign-keys&gt;&lt;ref-type name="AAA ICRC Water References"&gt;40&lt;/ref-type&gt;&lt;contributors&gt;&lt;authors&gt;&lt;author&gt;NRMMC,&lt;/author&gt;&lt;/authors&gt;&lt;/contributors&gt;&lt;titles&gt;&lt;title&gt;National Water Initiative Pricing Principles&lt;/title&gt;&lt;/titles&gt;&lt;dates&gt;&lt;year&gt;2010&lt;/year&gt;&lt;pub-dates&gt;&lt;date&gt;April 2010&lt;/date&gt;&lt;/pub-dates&gt;&lt;/dates&gt;&lt;pub-location&gt;Canberra&lt;/pub-location&gt;&lt;publisher&gt;Natural Resource Management Ministerial Council&lt;/publisher&gt;&lt;urls&gt;&lt;/urls&gt;&lt;/record&gt;&lt;/Cite&gt;&lt;/EndNote&gt;</w:instrText>
      </w:r>
      <w:r w:rsidR="00E62F0C">
        <w:fldChar w:fldCharType="separate"/>
      </w:r>
      <w:hyperlink w:anchor="_ENREF_29" w:tooltip="NRMMC, 2010 #201" w:history="1">
        <w:r>
          <w:rPr>
            <w:noProof/>
          </w:rPr>
          <w:t>NRMMC (2010</w:t>
        </w:r>
      </w:hyperlink>
      <w:r>
        <w:rPr>
          <w:noProof/>
        </w:rPr>
        <w:t>)</w:t>
      </w:r>
      <w:r w:rsidR="00E62F0C">
        <w:fldChar w:fldCharType="end"/>
      </w:r>
      <w:r w:rsidRPr="00C5491B">
        <w:t>.</w:t>
      </w:r>
    </w:p>
    <w:p w14:paraId="7D685DC6" w14:textId="77777777" w:rsidR="003A7D85" w:rsidRDefault="003A7D85" w:rsidP="00B27A6F">
      <w:pPr>
        <w:sectPr w:rsidR="003A7D85" w:rsidSect="003A7D85">
          <w:headerReference w:type="even" r:id="rId68"/>
          <w:endnotePr>
            <w:numFmt w:val="decimal"/>
          </w:endnotePr>
          <w:type w:val="continuous"/>
          <w:pgSz w:w="11907" w:h="16840" w:code="9"/>
          <w:pgMar w:top="2268" w:right="2098" w:bottom="1701" w:left="2098" w:header="578" w:footer="578" w:gutter="0"/>
          <w:cols w:space="720"/>
          <w:docGrid w:linePitch="299"/>
        </w:sectPr>
      </w:pPr>
    </w:p>
    <w:p w14:paraId="27E269E5" w14:textId="77777777" w:rsidR="003A7D85" w:rsidRDefault="003A7D85" w:rsidP="003A7D85">
      <w:pPr>
        <w:pStyle w:val="HeadingAppendix1"/>
        <w:numPr>
          <w:ilvl w:val="0"/>
          <w:numId w:val="5"/>
        </w:numPr>
        <w:ind w:left="2693"/>
        <w:sectPr w:rsidR="003A7D85" w:rsidSect="003A7D85">
          <w:headerReference w:type="default" r:id="rId69"/>
          <w:endnotePr>
            <w:numFmt w:val="decimal"/>
          </w:endnotePr>
          <w:type w:val="oddPage"/>
          <w:pgSz w:w="11907" w:h="16840" w:code="9"/>
          <w:pgMar w:top="2268" w:right="2098" w:bottom="1701" w:left="2098" w:header="578" w:footer="578" w:gutter="0"/>
          <w:cols w:space="720"/>
          <w:docGrid w:linePitch="299"/>
        </w:sectPr>
      </w:pPr>
      <w:bookmarkStart w:id="327" w:name="_Ref459984914"/>
      <w:bookmarkStart w:id="328" w:name="_Toc476754023"/>
      <w:bookmarkStart w:id="329" w:name="_Toc478465499"/>
      <w:r>
        <w:lastRenderedPageBreak/>
        <w:t>Water tariffs in other jurisdictions</w:t>
      </w:r>
      <w:bookmarkEnd w:id="327"/>
      <w:bookmarkEnd w:id="328"/>
      <w:bookmarkEnd w:id="329"/>
    </w:p>
    <w:p w14:paraId="111147B3" w14:textId="73249025" w:rsidR="00B12F0D" w:rsidRDefault="00702C16" w:rsidP="00702C16">
      <w:pPr>
        <w:pStyle w:val="TableName0"/>
      </w:pPr>
      <w:bookmarkStart w:id="330" w:name="_Toc476559399"/>
      <w:r>
        <w:t>Table A3.1</w:t>
      </w:r>
      <w:r>
        <w:tab/>
        <w:t xml:space="preserve">Water tariffs in other jurisdictions </w:t>
      </w:r>
    </w:p>
    <w:tbl>
      <w:tblPr>
        <w:tblW w:w="7800" w:type="dxa"/>
        <w:tblInd w:w="108" w:type="dxa"/>
        <w:tblLook w:val="04A0" w:firstRow="1" w:lastRow="0" w:firstColumn="1" w:lastColumn="0" w:noHBand="0" w:noVBand="1"/>
      </w:tblPr>
      <w:tblGrid>
        <w:gridCol w:w="1888"/>
        <w:gridCol w:w="959"/>
        <w:gridCol w:w="1033"/>
        <w:gridCol w:w="900"/>
        <w:gridCol w:w="866"/>
        <w:gridCol w:w="651"/>
        <w:gridCol w:w="651"/>
        <w:gridCol w:w="852"/>
      </w:tblGrid>
      <w:tr w:rsidR="003A7D85" w:rsidRPr="006E4EFA" w14:paraId="33AA4169" w14:textId="77777777" w:rsidTr="003D1270">
        <w:trPr>
          <w:trHeight w:val="315"/>
        </w:trPr>
        <w:tc>
          <w:tcPr>
            <w:tcW w:w="1888" w:type="dxa"/>
            <w:vMerge w:val="restart"/>
            <w:tcBorders>
              <w:top w:val="single" w:sz="12" w:space="0" w:color="1F497D"/>
              <w:left w:val="nil"/>
              <w:bottom w:val="single" w:sz="8" w:space="0" w:color="1F497D"/>
              <w:right w:val="nil"/>
            </w:tcBorders>
            <w:shd w:val="clear" w:color="000000" w:fill="DBE5F1"/>
            <w:vAlign w:val="center"/>
            <w:hideMark/>
          </w:tcPr>
          <w:bookmarkEnd w:id="330"/>
          <w:p w14:paraId="483B72D7" w14:textId="77777777" w:rsidR="003A7D85" w:rsidRPr="006E4EFA" w:rsidRDefault="003A7D85" w:rsidP="003A7D85">
            <w:pPr>
              <w:spacing w:after="0" w:line="240" w:lineRule="auto"/>
              <w:rPr>
                <w:rFonts w:eastAsia="Times New Roman"/>
                <w:b/>
                <w:bCs/>
                <w:color w:val="000033"/>
                <w:szCs w:val="22"/>
                <w:lang w:val="en-AU" w:eastAsia="en-AU"/>
              </w:rPr>
            </w:pPr>
            <w:r w:rsidRPr="006E4EFA">
              <w:rPr>
                <w:rFonts w:eastAsia="Times New Roman"/>
                <w:b/>
                <w:bCs/>
                <w:color w:val="000033"/>
                <w:szCs w:val="22"/>
                <w:lang w:val="en-AU" w:eastAsia="en-AU"/>
              </w:rPr>
              <w:t> </w:t>
            </w:r>
          </w:p>
        </w:tc>
        <w:tc>
          <w:tcPr>
            <w:tcW w:w="959" w:type="dxa"/>
            <w:tcBorders>
              <w:top w:val="single" w:sz="12" w:space="0" w:color="1F497D"/>
              <w:left w:val="nil"/>
              <w:bottom w:val="nil"/>
              <w:right w:val="dotted" w:sz="4" w:space="0" w:color="auto"/>
            </w:tcBorders>
            <w:shd w:val="clear" w:color="000000" w:fill="DBE5F1"/>
            <w:vAlign w:val="center"/>
            <w:hideMark/>
          </w:tcPr>
          <w:p w14:paraId="2BB180BE"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Supply charge</w:t>
            </w:r>
          </w:p>
        </w:tc>
        <w:tc>
          <w:tcPr>
            <w:tcW w:w="1033" w:type="dxa"/>
            <w:vMerge w:val="restart"/>
            <w:tcBorders>
              <w:top w:val="single" w:sz="12" w:space="0" w:color="1F497D"/>
              <w:left w:val="dotted" w:sz="4" w:space="0" w:color="auto"/>
              <w:bottom w:val="single" w:sz="8" w:space="0" w:color="1F497D"/>
              <w:right w:val="nil"/>
            </w:tcBorders>
            <w:shd w:val="clear" w:color="000000" w:fill="DBE5F1"/>
            <w:vAlign w:val="center"/>
            <w:hideMark/>
          </w:tcPr>
          <w:p w14:paraId="53A4BC4F"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Tier 1 price ($/k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w:t>
            </w:r>
          </w:p>
        </w:tc>
        <w:tc>
          <w:tcPr>
            <w:tcW w:w="900" w:type="dxa"/>
            <w:tcBorders>
              <w:top w:val="single" w:sz="12" w:space="0" w:color="1F497D"/>
              <w:left w:val="nil"/>
              <w:bottom w:val="nil"/>
              <w:right w:val="nil"/>
            </w:tcBorders>
            <w:shd w:val="clear" w:color="000000" w:fill="DBE5F1"/>
            <w:vAlign w:val="center"/>
            <w:hideMark/>
          </w:tcPr>
          <w:p w14:paraId="71D900E2"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Tier 2 price</w:t>
            </w:r>
          </w:p>
        </w:tc>
        <w:tc>
          <w:tcPr>
            <w:tcW w:w="866" w:type="dxa"/>
            <w:tcBorders>
              <w:top w:val="single" w:sz="12" w:space="0" w:color="1F497D"/>
              <w:left w:val="nil"/>
              <w:bottom w:val="nil"/>
              <w:right w:val="dotted" w:sz="4" w:space="0" w:color="auto"/>
            </w:tcBorders>
            <w:shd w:val="clear" w:color="000000" w:fill="DBE5F1"/>
            <w:vAlign w:val="center"/>
            <w:hideMark/>
          </w:tcPr>
          <w:p w14:paraId="2D03C44E"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Tier 3 price</w:t>
            </w:r>
          </w:p>
        </w:tc>
        <w:tc>
          <w:tcPr>
            <w:tcW w:w="651" w:type="dxa"/>
            <w:tcBorders>
              <w:top w:val="single" w:sz="12" w:space="0" w:color="1F497D"/>
              <w:left w:val="nil"/>
              <w:bottom w:val="nil"/>
              <w:right w:val="nil"/>
            </w:tcBorders>
            <w:shd w:val="clear" w:color="000000" w:fill="DBE5F1"/>
            <w:vAlign w:val="center"/>
            <w:hideMark/>
          </w:tcPr>
          <w:p w14:paraId="048EB4E3"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Step 1</w:t>
            </w:r>
          </w:p>
        </w:tc>
        <w:tc>
          <w:tcPr>
            <w:tcW w:w="651" w:type="dxa"/>
            <w:tcBorders>
              <w:top w:val="single" w:sz="12" w:space="0" w:color="1F497D"/>
              <w:left w:val="nil"/>
              <w:bottom w:val="nil"/>
              <w:right w:val="nil"/>
            </w:tcBorders>
            <w:shd w:val="clear" w:color="000000" w:fill="DBE5F1"/>
            <w:vAlign w:val="center"/>
            <w:hideMark/>
          </w:tcPr>
          <w:p w14:paraId="71BE260E"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Step 2</w:t>
            </w:r>
          </w:p>
        </w:tc>
        <w:tc>
          <w:tcPr>
            <w:tcW w:w="852" w:type="dxa"/>
            <w:vMerge w:val="restart"/>
            <w:tcBorders>
              <w:top w:val="single" w:sz="12" w:space="0" w:color="1F497D"/>
              <w:left w:val="nil"/>
              <w:bottom w:val="single" w:sz="8" w:space="0" w:color="1F497D"/>
              <w:right w:val="nil"/>
            </w:tcBorders>
            <w:shd w:val="clear" w:color="000000" w:fill="DBE5F1"/>
            <w:vAlign w:val="center"/>
            <w:hideMark/>
          </w:tcPr>
          <w:p w14:paraId="26C6CCC4"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200 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/a bill ($)</w:t>
            </w:r>
          </w:p>
        </w:tc>
      </w:tr>
      <w:tr w:rsidR="003A7D85" w:rsidRPr="006E4EFA" w14:paraId="4B5AA44D" w14:textId="77777777" w:rsidTr="003D1270">
        <w:trPr>
          <w:trHeight w:val="315"/>
        </w:trPr>
        <w:tc>
          <w:tcPr>
            <w:tcW w:w="1888" w:type="dxa"/>
            <w:vMerge/>
            <w:tcBorders>
              <w:top w:val="single" w:sz="12" w:space="0" w:color="1F497D"/>
              <w:left w:val="nil"/>
              <w:bottom w:val="single" w:sz="8" w:space="0" w:color="1F497D"/>
              <w:right w:val="nil"/>
            </w:tcBorders>
            <w:vAlign w:val="center"/>
            <w:hideMark/>
          </w:tcPr>
          <w:p w14:paraId="259C3A8E" w14:textId="77777777" w:rsidR="003A7D85" w:rsidRPr="006E4EFA" w:rsidRDefault="003A7D85" w:rsidP="003A7D85">
            <w:pPr>
              <w:spacing w:after="0" w:line="240" w:lineRule="auto"/>
              <w:rPr>
                <w:rFonts w:eastAsia="Times New Roman"/>
                <w:b/>
                <w:bCs/>
                <w:color w:val="000033"/>
                <w:szCs w:val="22"/>
                <w:lang w:val="en-AU" w:eastAsia="en-AU"/>
              </w:rPr>
            </w:pPr>
          </w:p>
        </w:tc>
        <w:tc>
          <w:tcPr>
            <w:tcW w:w="959" w:type="dxa"/>
            <w:tcBorders>
              <w:top w:val="nil"/>
              <w:left w:val="nil"/>
              <w:bottom w:val="single" w:sz="8" w:space="0" w:color="1F497D"/>
              <w:right w:val="dotted" w:sz="4" w:space="0" w:color="auto"/>
            </w:tcBorders>
            <w:shd w:val="clear" w:color="000000" w:fill="DBE5F1"/>
            <w:vAlign w:val="center"/>
            <w:hideMark/>
          </w:tcPr>
          <w:p w14:paraId="757F1227"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($/a)</w:t>
            </w:r>
          </w:p>
        </w:tc>
        <w:tc>
          <w:tcPr>
            <w:tcW w:w="1033" w:type="dxa"/>
            <w:vMerge/>
            <w:tcBorders>
              <w:top w:val="single" w:sz="12" w:space="0" w:color="1F497D"/>
              <w:left w:val="dotted" w:sz="4" w:space="0" w:color="auto"/>
              <w:bottom w:val="single" w:sz="8" w:space="0" w:color="1F497D"/>
              <w:right w:val="nil"/>
            </w:tcBorders>
            <w:vAlign w:val="center"/>
            <w:hideMark/>
          </w:tcPr>
          <w:p w14:paraId="26E867B1" w14:textId="77777777" w:rsidR="003A7D85" w:rsidRPr="006E4EFA" w:rsidRDefault="003A7D85" w:rsidP="003A7D85">
            <w:pPr>
              <w:spacing w:after="0" w:line="240" w:lineRule="auto"/>
              <w:rPr>
                <w:rFonts w:ascii="Arial Narrow" w:eastAsia="Times New Roman" w:hAnsi="Arial Narrow"/>
                <w:b/>
                <w:bCs/>
                <w:color w:val="000000"/>
                <w:sz w:val="18"/>
                <w:szCs w:val="18"/>
                <w:lang w:val="en-AU" w:eastAsia="en-AU"/>
              </w:rPr>
            </w:pPr>
          </w:p>
        </w:tc>
        <w:tc>
          <w:tcPr>
            <w:tcW w:w="900" w:type="dxa"/>
            <w:tcBorders>
              <w:top w:val="nil"/>
              <w:left w:val="nil"/>
              <w:bottom w:val="single" w:sz="8" w:space="0" w:color="1F497D"/>
              <w:right w:val="nil"/>
            </w:tcBorders>
            <w:shd w:val="clear" w:color="000000" w:fill="DBE5F1"/>
            <w:vAlign w:val="center"/>
            <w:hideMark/>
          </w:tcPr>
          <w:p w14:paraId="3CDEBF27"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w:t>
            </w:r>
          </w:p>
        </w:tc>
        <w:tc>
          <w:tcPr>
            <w:tcW w:w="866" w:type="dxa"/>
            <w:tcBorders>
              <w:top w:val="nil"/>
              <w:left w:val="nil"/>
              <w:bottom w:val="single" w:sz="8" w:space="0" w:color="1F497D"/>
              <w:right w:val="dotted" w:sz="4" w:space="0" w:color="auto"/>
            </w:tcBorders>
            <w:shd w:val="clear" w:color="000000" w:fill="DBE5F1"/>
            <w:vAlign w:val="center"/>
            <w:hideMark/>
          </w:tcPr>
          <w:p w14:paraId="48580A71"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w:t>
            </w:r>
          </w:p>
        </w:tc>
        <w:tc>
          <w:tcPr>
            <w:tcW w:w="651" w:type="dxa"/>
            <w:tcBorders>
              <w:top w:val="nil"/>
              <w:left w:val="nil"/>
              <w:bottom w:val="single" w:sz="8" w:space="0" w:color="1F497D"/>
              <w:right w:val="nil"/>
            </w:tcBorders>
            <w:shd w:val="clear" w:color="000000" w:fill="DBE5F1"/>
            <w:vAlign w:val="center"/>
            <w:hideMark/>
          </w:tcPr>
          <w:p w14:paraId="749571A1"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/a)</w:t>
            </w:r>
          </w:p>
        </w:tc>
        <w:tc>
          <w:tcPr>
            <w:tcW w:w="651" w:type="dxa"/>
            <w:tcBorders>
              <w:top w:val="nil"/>
              <w:left w:val="nil"/>
              <w:bottom w:val="single" w:sz="8" w:space="0" w:color="1F497D"/>
              <w:right w:val="nil"/>
            </w:tcBorders>
            <w:shd w:val="clear" w:color="000000" w:fill="DBE5F1"/>
            <w:vAlign w:val="center"/>
            <w:hideMark/>
          </w:tcPr>
          <w:p w14:paraId="243532DD" w14:textId="77777777" w:rsidR="003A7D85" w:rsidRPr="006E4EFA" w:rsidRDefault="003A7D85" w:rsidP="003A7D85">
            <w:pPr>
              <w:spacing w:after="0" w:line="240" w:lineRule="auto"/>
              <w:jc w:val="right"/>
              <w:rPr>
                <w:rFonts w:ascii="Arial Narrow" w:eastAsia="Times New Roman" w:hAnsi="Arial Narrow"/>
                <w:b/>
                <w:bCs/>
                <w:color w:val="000000"/>
                <w:sz w:val="18"/>
                <w:szCs w:val="18"/>
                <w:lang w:val="en-AU" w:eastAsia="en-AU"/>
              </w:rPr>
            </w:pPr>
            <w:r w:rsidRPr="006E4EFA">
              <w:rPr>
                <w:rFonts w:ascii="Arial Narrow" w:eastAsia="Times New Roman" w:hAnsi="Arial Narrow"/>
                <w:b/>
                <w:bCs/>
                <w:color w:val="000000"/>
                <w:sz w:val="18"/>
                <w:szCs w:val="18"/>
                <w:lang w:val="en-AU" w:eastAsia="en-AU"/>
              </w:rPr>
              <w:t>(k</w:t>
            </w:r>
            <w:r w:rsidR="007A188A">
              <w:rPr>
                <w:rFonts w:ascii="Arial Narrow" w:eastAsia="Times New Roman" w:hAnsi="Arial Narrow"/>
                <w:b/>
                <w:bCs/>
                <w:color w:val="000000"/>
                <w:sz w:val="18"/>
                <w:szCs w:val="18"/>
                <w:lang w:val="en-AU" w:eastAsia="en-AU"/>
              </w:rPr>
              <w:t>L</w:t>
            </w:r>
            <w:r w:rsidRPr="006E4EFA">
              <w:rPr>
                <w:rFonts w:ascii="Arial Narrow" w:eastAsia="Times New Roman" w:hAnsi="Arial Narrow"/>
                <w:b/>
                <w:bCs/>
                <w:color w:val="000000"/>
                <w:sz w:val="18"/>
                <w:szCs w:val="18"/>
                <w:lang w:val="en-AU" w:eastAsia="en-AU"/>
              </w:rPr>
              <w:t>/a)</w:t>
            </w:r>
          </w:p>
        </w:tc>
        <w:tc>
          <w:tcPr>
            <w:tcW w:w="852" w:type="dxa"/>
            <w:vMerge/>
            <w:tcBorders>
              <w:top w:val="single" w:sz="12" w:space="0" w:color="1F497D"/>
              <w:left w:val="nil"/>
              <w:bottom w:val="single" w:sz="8" w:space="0" w:color="1F497D"/>
              <w:right w:val="nil"/>
            </w:tcBorders>
            <w:vAlign w:val="center"/>
            <w:hideMark/>
          </w:tcPr>
          <w:p w14:paraId="27ED080D" w14:textId="77777777" w:rsidR="003A7D85" w:rsidRPr="006E4EFA" w:rsidRDefault="003A7D85" w:rsidP="003A7D85">
            <w:pPr>
              <w:spacing w:after="0" w:line="240" w:lineRule="auto"/>
              <w:rPr>
                <w:rFonts w:ascii="Arial Narrow" w:eastAsia="Times New Roman" w:hAnsi="Arial Narrow"/>
                <w:b/>
                <w:bCs/>
                <w:color w:val="000000"/>
                <w:sz w:val="18"/>
                <w:szCs w:val="18"/>
                <w:lang w:val="en-AU" w:eastAsia="en-AU"/>
              </w:rPr>
            </w:pPr>
          </w:p>
        </w:tc>
      </w:tr>
      <w:tr w:rsidR="003D1270" w:rsidRPr="006E4EFA" w14:paraId="3AC23A6F" w14:textId="77777777" w:rsidTr="003D1270">
        <w:trPr>
          <w:trHeight w:val="266"/>
        </w:trPr>
        <w:tc>
          <w:tcPr>
            <w:tcW w:w="1888" w:type="dxa"/>
            <w:tcBorders>
              <w:top w:val="nil"/>
              <w:left w:val="nil"/>
              <w:bottom w:val="nil"/>
              <w:right w:val="nil"/>
            </w:tcBorders>
            <w:shd w:val="clear" w:color="auto" w:fill="auto"/>
            <w:vAlign w:val="center"/>
          </w:tcPr>
          <w:p w14:paraId="6F5E060C" w14:textId="77777777" w:rsidR="003D1270" w:rsidRPr="006E4EFA" w:rsidRDefault="003D1270" w:rsidP="008013DA">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City West Water</w:t>
            </w:r>
            <w:r>
              <w:rPr>
                <w:rFonts w:ascii="Arial Narrow" w:eastAsia="Times New Roman" w:hAnsi="Arial Narrow"/>
                <w:color w:val="000000"/>
                <w:sz w:val="18"/>
                <w:szCs w:val="18"/>
                <w:lang w:val="en-AU" w:eastAsia="en-AU"/>
              </w:rPr>
              <w:t xml:space="preserve"> (Melb)</w:t>
            </w:r>
            <w:r w:rsidRPr="006E4EFA">
              <w:rPr>
                <w:rFonts w:ascii="Arial Narrow" w:eastAsia="Times New Roman" w:hAnsi="Arial Narrow"/>
                <w:color w:val="000000"/>
                <w:sz w:val="18"/>
                <w:szCs w:val="18"/>
                <w:vertAlign w:val="superscript"/>
                <w:lang w:val="en-AU" w:eastAsia="en-AU"/>
              </w:rPr>
              <w:t>(a)</w:t>
            </w:r>
          </w:p>
        </w:tc>
        <w:tc>
          <w:tcPr>
            <w:tcW w:w="959" w:type="dxa"/>
            <w:tcBorders>
              <w:top w:val="nil"/>
              <w:left w:val="nil"/>
              <w:bottom w:val="nil"/>
              <w:right w:val="dotted" w:sz="4" w:space="0" w:color="auto"/>
            </w:tcBorders>
            <w:shd w:val="clear" w:color="auto" w:fill="auto"/>
            <w:vAlign w:val="center"/>
          </w:tcPr>
          <w:p w14:paraId="051ADFAB"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73034669"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5FB11930"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282027C5"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74A28888"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1A5CACB0"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tcPr>
          <w:p w14:paraId="7059A956"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5CD70770" w14:textId="77777777" w:rsidTr="003C6665">
        <w:trPr>
          <w:trHeight w:val="289"/>
        </w:trPr>
        <w:tc>
          <w:tcPr>
            <w:tcW w:w="1888" w:type="dxa"/>
            <w:tcBorders>
              <w:top w:val="nil"/>
              <w:left w:val="nil"/>
              <w:bottom w:val="nil"/>
              <w:right w:val="nil"/>
            </w:tcBorders>
            <w:shd w:val="clear" w:color="auto" w:fill="auto"/>
            <w:vAlign w:val="center"/>
            <w:hideMark/>
          </w:tcPr>
          <w:p w14:paraId="48488745" w14:textId="77777777" w:rsidR="003A7D85" w:rsidRPr="006E4EFA" w:rsidRDefault="003A7D85" w:rsidP="008013DA">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p>
        </w:tc>
        <w:tc>
          <w:tcPr>
            <w:tcW w:w="959" w:type="dxa"/>
            <w:tcBorders>
              <w:top w:val="nil"/>
              <w:left w:val="nil"/>
              <w:bottom w:val="nil"/>
              <w:right w:val="dotted" w:sz="4" w:space="0" w:color="auto"/>
            </w:tcBorders>
            <w:shd w:val="clear" w:color="auto" w:fill="auto"/>
            <w:vAlign w:val="center"/>
            <w:hideMark/>
          </w:tcPr>
          <w:p w14:paraId="217A3ED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228</w:t>
            </w:r>
          </w:p>
        </w:tc>
        <w:tc>
          <w:tcPr>
            <w:tcW w:w="1033" w:type="dxa"/>
            <w:tcBorders>
              <w:top w:val="nil"/>
              <w:left w:val="nil"/>
              <w:bottom w:val="nil"/>
              <w:right w:val="nil"/>
            </w:tcBorders>
            <w:shd w:val="clear" w:color="auto" w:fill="auto"/>
            <w:vAlign w:val="center"/>
            <w:hideMark/>
          </w:tcPr>
          <w:p w14:paraId="69C91FE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2.39</w:t>
            </w:r>
          </w:p>
        </w:tc>
        <w:tc>
          <w:tcPr>
            <w:tcW w:w="900" w:type="dxa"/>
            <w:tcBorders>
              <w:top w:val="nil"/>
              <w:left w:val="nil"/>
              <w:bottom w:val="nil"/>
              <w:right w:val="nil"/>
            </w:tcBorders>
            <w:shd w:val="clear" w:color="auto" w:fill="auto"/>
            <w:vAlign w:val="center"/>
            <w:hideMark/>
          </w:tcPr>
          <w:p w14:paraId="63D9FFC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2.82</w:t>
            </w:r>
          </w:p>
        </w:tc>
        <w:tc>
          <w:tcPr>
            <w:tcW w:w="866" w:type="dxa"/>
            <w:tcBorders>
              <w:top w:val="nil"/>
              <w:left w:val="nil"/>
              <w:bottom w:val="nil"/>
              <w:right w:val="dotted" w:sz="4" w:space="0" w:color="auto"/>
            </w:tcBorders>
            <w:shd w:val="clear" w:color="auto" w:fill="auto"/>
            <w:vAlign w:val="center"/>
            <w:hideMark/>
          </w:tcPr>
          <w:p w14:paraId="3D35DF0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4.19</w:t>
            </w:r>
          </w:p>
        </w:tc>
        <w:tc>
          <w:tcPr>
            <w:tcW w:w="651" w:type="dxa"/>
            <w:tcBorders>
              <w:top w:val="nil"/>
              <w:left w:val="nil"/>
              <w:bottom w:val="nil"/>
              <w:right w:val="nil"/>
            </w:tcBorders>
            <w:shd w:val="clear" w:color="auto" w:fill="auto"/>
            <w:vAlign w:val="center"/>
            <w:hideMark/>
          </w:tcPr>
          <w:p w14:paraId="56BA5E7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161</w:t>
            </w:r>
          </w:p>
        </w:tc>
        <w:tc>
          <w:tcPr>
            <w:tcW w:w="651" w:type="dxa"/>
            <w:tcBorders>
              <w:top w:val="nil"/>
              <w:left w:val="nil"/>
              <w:bottom w:val="nil"/>
              <w:right w:val="nil"/>
            </w:tcBorders>
            <w:shd w:val="clear" w:color="auto" w:fill="auto"/>
            <w:vAlign w:val="center"/>
            <w:hideMark/>
          </w:tcPr>
          <w:p w14:paraId="46C7FC23"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321</w:t>
            </w:r>
          </w:p>
        </w:tc>
        <w:tc>
          <w:tcPr>
            <w:tcW w:w="852" w:type="dxa"/>
            <w:tcBorders>
              <w:top w:val="nil"/>
              <w:left w:val="nil"/>
              <w:bottom w:val="nil"/>
              <w:right w:val="nil"/>
            </w:tcBorders>
            <w:shd w:val="clear" w:color="auto" w:fill="auto"/>
            <w:vAlign w:val="center"/>
            <w:hideMark/>
          </w:tcPr>
          <w:p w14:paraId="0120A7E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723</w:t>
            </w:r>
          </w:p>
        </w:tc>
      </w:tr>
      <w:tr w:rsidR="003A7D85" w:rsidRPr="006E4EFA" w14:paraId="3A72BFD7" w14:textId="77777777" w:rsidTr="003D1270">
        <w:trPr>
          <w:trHeight w:val="315"/>
        </w:trPr>
        <w:tc>
          <w:tcPr>
            <w:tcW w:w="1888" w:type="dxa"/>
            <w:tcBorders>
              <w:top w:val="nil"/>
              <w:left w:val="nil"/>
              <w:bottom w:val="nil"/>
              <w:right w:val="nil"/>
            </w:tcBorders>
            <w:shd w:val="clear" w:color="auto" w:fill="auto"/>
            <w:vAlign w:val="center"/>
            <w:hideMark/>
          </w:tcPr>
          <w:p w14:paraId="40453373"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p>
        </w:tc>
        <w:tc>
          <w:tcPr>
            <w:tcW w:w="959" w:type="dxa"/>
            <w:tcBorders>
              <w:top w:val="nil"/>
              <w:left w:val="nil"/>
              <w:bottom w:val="nil"/>
              <w:right w:val="dotted" w:sz="4" w:space="0" w:color="auto"/>
            </w:tcBorders>
            <w:shd w:val="clear" w:color="auto" w:fill="auto"/>
            <w:vAlign w:val="center"/>
            <w:hideMark/>
          </w:tcPr>
          <w:p w14:paraId="39D386F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332.08</w:t>
            </w:r>
          </w:p>
        </w:tc>
        <w:tc>
          <w:tcPr>
            <w:tcW w:w="1033" w:type="dxa"/>
            <w:tcBorders>
              <w:top w:val="nil"/>
              <w:left w:val="nil"/>
              <w:bottom w:val="nil"/>
              <w:right w:val="nil"/>
            </w:tcBorders>
            <w:shd w:val="clear" w:color="auto" w:fill="auto"/>
            <w:vAlign w:val="center"/>
            <w:hideMark/>
          </w:tcPr>
          <w:p w14:paraId="02ED7073"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2.66</w:t>
            </w:r>
          </w:p>
        </w:tc>
        <w:tc>
          <w:tcPr>
            <w:tcW w:w="900" w:type="dxa"/>
            <w:tcBorders>
              <w:top w:val="nil"/>
              <w:left w:val="nil"/>
              <w:bottom w:val="nil"/>
              <w:right w:val="nil"/>
            </w:tcBorders>
            <w:shd w:val="clear" w:color="auto" w:fill="auto"/>
            <w:vAlign w:val="center"/>
            <w:hideMark/>
          </w:tcPr>
          <w:p w14:paraId="69FFA08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0EBE3018"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3147B30E"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26ACEB9E" w14:textId="77777777" w:rsidR="003A7D85" w:rsidRPr="000C7549" w:rsidRDefault="003A7D85"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hideMark/>
          </w:tcPr>
          <w:p w14:paraId="52D7C37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865</w:t>
            </w:r>
          </w:p>
        </w:tc>
      </w:tr>
      <w:tr w:rsidR="003C6665" w:rsidRPr="006E4EFA" w14:paraId="08E34E29" w14:textId="77777777" w:rsidTr="003D1270">
        <w:trPr>
          <w:trHeight w:val="300"/>
        </w:trPr>
        <w:tc>
          <w:tcPr>
            <w:tcW w:w="1888" w:type="dxa"/>
            <w:tcBorders>
              <w:top w:val="nil"/>
              <w:left w:val="nil"/>
              <w:bottom w:val="nil"/>
              <w:right w:val="nil"/>
            </w:tcBorders>
            <w:shd w:val="clear" w:color="auto" w:fill="auto"/>
            <w:vAlign w:val="center"/>
          </w:tcPr>
          <w:p w14:paraId="5F366E80" w14:textId="77777777" w:rsidR="003C6665" w:rsidRPr="006E4EFA" w:rsidRDefault="003C6665" w:rsidP="003A7D85">
            <w:pPr>
              <w:spacing w:after="0" w:line="240" w:lineRule="auto"/>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Hunter Water</w:t>
            </w:r>
          </w:p>
        </w:tc>
        <w:tc>
          <w:tcPr>
            <w:tcW w:w="959" w:type="dxa"/>
            <w:tcBorders>
              <w:top w:val="nil"/>
              <w:left w:val="nil"/>
              <w:bottom w:val="nil"/>
              <w:right w:val="dotted" w:sz="4" w:space="0" w:color="auto"/>
            </w:tcBorders>
            <w:shd w:val="clear" w:color="auto" w:fill="auto"/>
            <w:vAlign w:val="center"/>
          </w:tcPr>
          <w:p w14:paraId="463A04B5" w14:textId="77777777" w:rsidR="003C6665" w:rsidRPr="006E4EFA" w:rsidRDefault="003C6665"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3AD37649" w14:textId="77777777" w:rsidR="003C6665" w:rsidRPr="006E4EFA" w:rsidRDefault="003C6665"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5D6DA2E3" w14:textId="77777777" w:rsidR="003C6665" w:rsidRPr="006E4EFA" w:rsidRDefault="003C666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520ECC89" w14:textId="77777777" w:rsidR="003C6665" w:rsidRPr="006E4EFA" w:rsidRDefault="003C666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1CC97718" w14:textId="77777777" w:rsidR="003C6665" w:rsidRPr="006E4EFA" w:rsidRDefault="003C666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77EA8698" w14:textId="77777777" w:rsidR="003C6665" w:rsidRPr="000C7549" w:rsidRDefault="003C6665"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tcPr>
          <w:p w14:paraId="7B3A5BDE" w14:textId="77777777" w:rsidR="003C6665" w:rsidRPr="006E4EFA" w:rsidRDefault="003C6665"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79E1E7C9" w14:textId="77777777" w:rsidTr="003D1270">
        <w:trPr>
          <w:trHeight w:val="300"/>
        </w:trPr>
        <w:tc>
          <w:tcPr>
            <w:tcW w:w="1888" w:type="dxa"/>
            <w:tcBorders>
              <w:top w:val="nil"/>
              <w:left w:val="nil"/>
              <w:bottom w:val="nil"/>
              <w:right w:val="nil"/>
            </w:tcBorders>
            <w:shd w:val="clear" w:color="auto" w:fill="auto"/>
            <w:vAlign w:val="center"/>
            <w:hideMark/>
          </w:tcPr>
          <w:p w14:paraId="133A2DC6"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p>
        </w:tc>
        <w:tc>
          <w:tcPr>
            <w:tcW w:w="959" w:type="dxa"/>
            <w:tcBorders>
              <w:top w:val="nil"/>
              <w:left w:val="nil"/>
              <w:bottom w:val="nil"/>
              <w:right w:val="dotted" w:sz="4" w:space="0" w:color="auto"/>
            </w:tcBorders>
            <w:shd w:val="clear" w:color="auto" w:fill="auto"/>
            <w:vAlign w:val="center"/>
            <w:hideMark/>
          </w:tcPr>
          <w:p w14:paraId="39FAC53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25.69</w:t>
            </w:r>
          </w:p>
        </w:tc>
        <w:tc>
          <w:tcPr>
            <w:tcW w:w="1033" w:type="dxa"/>
            <w:tcBorders>
              <w:top w:val="nil"/>
              <w:left w:val="nil"/>
              <w:bottom w:val="nil"/>
              <w:right w:val="nil"/>
            </w:tcBorders>
            <w:shd w:val="clear" w:color="auto" w:fill="auto"/>
            <w:vAlign w:val="center"/>
            <w:hideMark/>
          </w:tcPr>
          <w:p w14:paraId="646CC95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2.25</w:t>
            </w:r>
          </w:p>
        </w:tc>
        <w:tc>
          <w:tcPr>
            <w:tcW w:w="900" w:type="dxa"/>
            <w:tcBorders>
              <w:top w:val="nil"/>
              <w:left w:val="nil"/>
              <w:bottom w:val="nil"/>
              <w:right w:val="nil"/>
            </w:tcBorders>
            <w:shd w:val="clear" w:color="auto" w:fill="auto"/>
            <w:vAlign w:val="center"/>
            <w:hideMark/>
          </w:tcPr>
          <w:p w14:paraId="3C74D9D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69D5A84D"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44A68FB4"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44E3BE4A" w14:textId="77777777" w:rsidR="003A7D85" w:rsidRPr="000C7549" w:rsidRDefault="003A7D85"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hideMark/>
          </w:tcPr>
          <w:p w14:paraId="7007E4D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476</w:t>
            </w:r>
          </w:p>
        </w:tc>
      </w:tr>
      <w:tr w:rsidR="003A7D85" w:rsidRPr="006E4EFA" w14:paraId="666D91F7" w14:textId="77777777" w:rsidTr="003D1270">
        <w:trPr>
          <w:trHeight w:val="315"/>
        </w:trPr>
        <w:tc>
          <w:tcPr>
            <w:tcW w:w="1888" w:type="dxa"/>
            <w:tcBorders>
              <w:top w:val="nil"/>
              <w:left w:val="nil"/>
              <w:bottom w:val="nil"/>
              <w:right w:val="nil"/>
            </w:tcBorders>
            <w:shd w:val="clear" w:color="auto" w:fill="auto"/>
            <w:vAlign w:val="center"/>
            <w:hideMark/>
          </w:tcPr>
          <w:p w14:paraId="6A85FD55"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sidRPr="006E4EFA">
              <w:rPr>
                <w:rFonts w:ascii="Arial Narrow" w:eastAsia="Times New Roman" w:hAnsi="Arial Narrow"/>
                <w:color w:val="000000"/>
                <w:sz w:val="18"/>
                <w:szCs w:val="18"/>
                <w:vertAlign w:val="superscript"/>
                <w:lang w:val="en-AU" w:eastAsia="en-AU"/>
              </w:rPr>
              <w:t>(b)</w:t>
            </w:r>
          </w:p>
        </w:tc>
        <w:tc>
          <w:tcPr>
            <w:tcW w:w="959" w:type="dxa"/>
            <w:tcBorders>
              <w:top w:val="nil"/>
              <w:left w:val="nil"/>
              <w:bottom w:val="nil"/>
              <w:right w:val="dotted" w:sz="4" w:space="0" w:color="auto"/>
            </w:tcBorders>
            <w:shd w:val="clear" w:color="auto" w:fill="auto"/>
            <w:vAlign w:val="center"/>
            <w:hideMark/>
          </w:tcPr>
          <w:p w14:paraId="315494B3"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25.69</w:t>
            </w:r>
          </w:p>
        </w:tc>
        <w:tc>
          <w:tcPr>
            <w:tcW w:w="1033" w:type="dxa"/>
            <w:tcBorders>
              <w:top w:val="nil"/>
              <w:left w:val="nil"/>
              <w:bottom w:val="nil"/>
              <w:right w:val="nil"/>
            </w:tcBorders>
            <w:shd w:val="clear" w:color="auto" w:fill="auto"/>
            <w:vAlign w:val="center"/>
            <w:hideMark/>
          </w:tcPr>
          <w:p w14:paraId="14D9634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2.25</w:t>
            </w:r>
          </w:p>
        </w:tc>
        <w:tc>
          <w:tcPr>
            <w:tcW w:w="900" w:type="dxa"/>
            <w:tcBorders>
              <w:top w:val="nil"/>
              <w:left w:val="nil"/>
              <w:bottom w:val="nil"/>
              <w:right w:val="nil"/>
            </w:tcBorders>
            <w:shd w:val="clear" w:color="auto" w:fill="auto"/>
            <w:vAlign w:val="center"/>
            <w:hideMark/>
          </w:tcPr>
          <w:p w14:paraId="72C37DB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50BB32F8"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389F2B3C"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4D4A8027" w14:textId="77777777" w:rsidR="003A7D85" w:rsidRPr="000C7549" w:rsidRDefault="003A7D85"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hideMark/>
          </w:tcPr>
          <w:p w14:paraId="3E232C7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476</w:t>
            </w:r>
          </w:p>
        </w:tc>
      </w:tr>
      <w:tr w:rsidR="003A7D85" w:rsidRPr="006E4EFA" w14:paraId="0BE5D914" w14:textId="77777777" w:rsidTr="003D1270">
        <w:trPr>
          <w:trHeight w:val="315"/>
        </w:trPr>
        <w:tc>
          <w:tcPr>
            <w:tcW w:w="1888" w:type="dxa"/>
            <w:tcBorders>
              <w:top w:val="nil"/>
              <w:left w:val="nil"/>
              <w:bottom w:val="nil"/>
              <w:right w:val="nil"/>
            </w:tcBorders>
            <w:shd w:val="clear" w:color="auto" w:fill="auto"/>
            <w:vAlign w:val="center"/>
            <w:hideMark/>
          </w:tcPr>
          <w:p w14:paraId="1485AE8A"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sidRPr="006E4EFA">
              <w:rPr>
                <w:rFonts w:ascii="Arial Narrow" w:eastAsia="Times New Roman" w:hAnsi="Arial Narrow"/>
                <w:color w:val="000000"/>
                <w:sz w:val="18"/>
                <w:szCs w:val="18"/>
                <w:vertAlign w:val="superscript"/>
                <w:lang w:val="en-AU" w:eastAsia="en-AU"/>
              </w:rPr>
              <w:t>(c)</w:t>
            </w:r>
          </w:p>
        </w:tc>
        <w:tc>
          <w:tcPr>
            <w:tcW w:w="959" w:type="dxa"/>
            <w:tcBorders>
              <w:top w:val="nil"/>
              <w:left w:val="nil"/>
              <w:bottom w:val="nil"/>
              <w:right w:val="dotted" w:sz="4" w:space="0" w:color="auto"/>
            </w:tcBorders>
            <w:shd w:val="clear" w:color="auto" w:fill="auto"/>
            <w:vAlign w:val="center"/>
            <w:hideMark/>
          </w:tcPr>
          <w:p w14:paraId="678596A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9,239.56</w:t>
            </w:r>
          </w:p>
        </w:tc>
        <w:tc>
          <w:tcPr>
            <w:tcW w:w="1033" w:type="dxa"/>
            <w:tcBorders>
              <w:top w:val="nil"/>
              <w:left w:val="nil"/>
              <w:bottom w:val="nil"/>
              <w:right w:val="nil"/>
            </w:tcBorders>
            <w:shd w:val="clear" w:color="auto" w:fill="auto"/>
            <w:vAlign w:val="center"/>
            <w:hideMark/>
          </w:tcPr>
          <w:p w14:paraId="0AF0AF0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1.81</w:t>
            </w:r>
            <w:r w:rsidR="003D1270">
              <w:rPr>
                <w:rFonts w:ascii="Arial Narrow" w:eastAsia="Times New Roman" w:hAnsi="Arial Narrow"/>
                <w:color w:val="000000"/>
                <w:sz w:val="18"/>
                <w:szCs w:val="18"/>
                <w:lang w:val="en-AU" w:eastAsia="en-AU"/>
              </w:rPr>
              <w:t>–</w:t>
            </w:r>
            <w:r w:rsidRPr="006E4EFA">
              <w:rPr>
                <w:rFonts w:ascii="Arial Narrow" w:eastAsia="Times New Roman" w:hAnsi="Arial Narrow"/>
                <w:color w:val="000000"/>
                <w:sz w:val="18"/>
                <w:szCs w:val="18"/>
                <w:lang w:val="en-AU" w:eastAsia="en-AU"/>
              </w:rPr>
              <w:t>2.25</w:t>
            </w:r>
            <w:r w:rsidRPr="00E323D0">
              <w:rPr>
                <w:rFonts w:ascii="Arial Narrow" w:eastAsia="Times New Roman" w:hAnsi="Arial Narrow"/>
                <w:color w:val="000000"/>
                <w:sz w:val="18"/>
                <w:szCs w:val="18"/>
                <w:vertAlign w:val="superscript"/>
                <w:lang w:val="en-AU" w:eastAsia="en-AU"/>
              </w:rPr>
              <w:t>(d)</w:t>
            </w:r>
          </w:p>
        </w:tc>
        <w:tc>
          <w:tcPr>
            <w:tcW w:w="900" w:type="dxa"/>
            <w:tcBorders>
              <w:top w:val="nil"/>
              <w:left w:val="nil"/>
              <w:bottom w:val="nil"/>
              <w:right w:val="nil"/>
            </w:tcBorders>
            <w:shd w:val="clear" w:color="auto" w:fill="auto"/>
            <w:vAlign w:val="center"/>
            <w:hideMark/>
          </w:tcPr>
          <w:p w14:paraId="4E7761C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54EEFF03"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6FB9E942"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4A367AA4" w14:textId="77777777" w:rsidR="003A7D85" w:rsidRPr="000C7549" w:rsidRDefault="003A7D85"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hideMark/>
          </w:tcPr>
          <w:p w14:paraId="270BD48C" w14:textId="77777777" w:rsidR="003A7D85" w:rsidRPr="006E4EFA" w:rsidRDefault="003A7D85" w:rsidP="003D1270">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9,602</w:t>
            </w:r>
            <w:r w:rsidR="003D1270">
              <w:rPr>
                <w:rFonts w:ascii="Arial Narrow" w:eastAsia="Times New Roman" w:hAnsi="Arial Narrow"/>
                <w:color w:val="000000"/>
                <w:sz w:val="18"/>
                <w:szCs w:val="18"/>
                <w:lang w:val="en-AU" w:eastAsia="en-AU"/>
              </w:rPr>
              <w:t>–</w:t>
            </w:r>
            <w:r w:rsidRPr="006E4EFA">
              <w:rPr>
                <w:rFonts w:ascii="Arial Narrow" w:eastAsia="Times New Roman" w:hAnsi="Arial Narrow"/>
                <w:color w:val="000000"/>
                <w:sz w:val="18"/>
                <w:szCs w:val="18"/>
                <w:lang w:val="en-AU" w:eastAsia="en-AU"/>
              </w:rPr>
              <w:t>9,690</w:t>
            </w:r>
          </w:p>
        </w:tc>
      </w:tr>
      <w:tr w:rsidR="003D1270" w:rsidRPr="006E4EFA" w14:paraId="5A3F6A74" w14:textId="77777777" w:rsidTr="003D1270">
        <w:trPr>
          <w:trHeight w:val="300"/>
        </w:trPr>
        <w:tc>
          <w:tcPr>
            <w:tcW w:w="1888" w:type="dxa"/>
            <w:tcBorders>
              <w:top w:val="nil"/>
              <w:left w:val="nil"/>
              <w:bottom w:val="nil"/>
              <w:right w:val="nil"/>
            </w:tcBorders>
            <w:shd w:val="clear" w:color="000000" w:fill="FBD4B4"/>
            <w:vAlign w:val="center"/>
          </w:tcPr>
          <w:p w14:paraId="0BC57C0E" w14:textId="77777777" w:rsidR="003D1270" w:rsidRPr="006E4EFA" w:rsidRDefault="003D1270"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Icon Water</w:t>
            </w:r>
          </w:p>
        </w:tc>
        <w:tc>
          <w:tcPr>
            <w:tcW w:w="959" w:type="dxa"/>
            <w:tcBorders>
              <w:top w:val="nil"/>
              <w:left w:val="nil"/>
              <w:bottom w:val="nil"/>
              <w:right w:val="dotted" w:sz="4" w:space="0" w:color="auto"/>
            </w:tcBorders>
            <w:shd w:val="clear" w:color="000000" w:fill="FBD4B4"/>
            <w:vAlign w:val="center"/>
          </w:tcPr>
          <w:p w14:paraId="3234E9DF"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000000" w:fill="FBD4B4"/>
            <w:vAlign w:val="center"/>
          </w:tcPr>
          <w:p w14:paraId="32FCE01C"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000000" w:fill="FBD4B4"/>
            <w:vAlign w:val="center"/>
          </w:tcPr>
          <w:p w14:paraId="2A2E72AE"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000000" w:fill="FBD4B4"/>
            <w:vAlign w:val="center"/>
          </w:tcPr>
          <w:p w14:paraId="52F25540"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000000" w:fill="FBD4B4"/>
            <w:vAlign w:val="center"/>
          </w:tcPr>
          <w:p w14:paraId="35BD6280"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000000" w:fill="FBD4B4"/>
            <w:vAlign w:val="center"/>
          </w:tcPr>
          <w:p w14:paraId="3D7891B5"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852" w:type="dxa"/>
            <w:tcBorders>
              <w:top w:val="nil"/>
              <w:left w:val="nil"/>
              <w:bottom w:val="nil"/>
              <w:right w:val="nil"/>
            </w:tcBorders>
            <w:shd w:val="clear" w:color="000000" w:fill="FBD4B4"/>
            <w:vAlign w:val="center"/>
          </w:tcPr>
          <w:p w14:paraId="557A91FD"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42AF78BE" w14:textId="77777777" w:rsidTr="003D1270">
        <w:trPr>
          <w:trHeight w:val="300"/>
        </w:trPr>
        <w:tc>
          <w:tcPr>
            <w:tcW w:w="1888" w:type="dxa"/>
            <w:tcBorders>
              <w:top w:val="nil"/>
              <w:left w:val="nil"/>
              <w:bottom w:val="nil"/>
              <w:right w:val="nil"/>
            </w:tcBorders>
            <w:shd w:val="clear" w:color="000000" w:fill="FBD4B4"/>
            <w:vAlign w:val="center"/>
            <w:hideMark/>
          </w:tcPr>
          <w:p w14:paraId="4DE3D249"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w:t>
            </w:r>
            <w:r>
              <w:rPr>
                <w:rFonts w:ascii="Arial Narrow" w:eastAsia="Times New Roman" w:hAnsi="Arial Narrow"/>
                <w:color w:val="000000"/>
                <w:sz w:val="18"/>
                <w:szCs w:val="18"/>
                <w:lang w:val="en-AU" w:eastAsia="en-AU"/>
              </w:rPr>
              <w:t>idential</w:t>
            </w:r>
            <w:r w:rsidRPr="006E4EFA">
              <w:rPr>
                <w:rFonts w:ascii="Arial Narrow" w:eastAsia="Times New Roman" w:hAnsi="Arial Narrow"/>
                <w:color w:val="000000"/>
                <w:sz w:val="18"/>
                <w:szCs w:val="18"/>
                <w:lang w:val="en-AU" w:eastAsia="en-AU"/>
              </w:rPr>
              <w:t xml:space="preserve"> &amp; business</w:t>
            </w:r>
          </w:p>
        </w:tc>
        <w:tc>
          <w:tcPr>
            <w:tcW w:w="959" w:type="dxa"/>
            <w:tcBorders>
              <w:top w:val="nil"/>
              <w:left w:val="nil"/>
              <w:bottom w:val="nil"/>
              <w:right w:val="dotted" w:sz="4" w:space="0" w:color="auto"/>
            </w:tcBorders>
            <w:shd w:val="clear" w:color="000000" w:fill="FBD4B4"/>
            <w:vAlign w:val="center"/>
            <w:hideMark/>
          </w:tcPr>
          <w:p w14:paraId="380714C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101.48</w:t>
            </w:r>
          </w:p>
        </w:tc>
        <w:tc>
          <w:tcPr>
            <w:tcW w:w="1033" w:type="dxa"/>
            <w:tcBorders>
              <w:top w:val="nil"/>
              <w:left w:val="nil"/>
              <w:bottom w:val="nil"/>
              <w:right w:val="nil"/>
            </w:tcBorders>
            <w:shd w:val="clear" w:color="000000" w:fill="FBD4B4"/>
            <w:vAlign w:val="center"/>
            <w:hideMark/>
          </w:tcPr>
          <w:p w14:paraId="02B61E5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2.61</w:t>
            </w:r>
            <w:r>
              <w:rPr>
                <w:rFonts w:ascii="Arial Narrow" w:eastAsia="Times New Roman" w:hAnsi="Arial Narrow"/>
                <w:color w:val="000000"/>
                <w:sz w:val="18"/>
                <w:szCs w:val="18"/>
                <w:vertAlign w:val="superscript"/>
                <w:lang w:val="en-AU" w:eastAsia="en-AU"/>
              </w:rPr>
              <w:t>(e)</w:t>
            </w:r>
          </w:p>
        </w:tc>
        <w:tc>
          <w:tcPr>
            <w:tcW w:w="900" w:type="dxa"/>
            <w:tcBorders>
              <w:top w:val="nil"/>
              <w:left w:val="nil"/>
              <w:bottom w:val="nil"/>
              <w:right w:val="nil"/>
            </w:tcBorders>
            <w:shd w:val="clear" w:color="000000" w:fill="FBD4B4"/>
            <w:vAlign w:val="center"/>
            <w:hideMark/>
          </w:tcPr>
          <w:p w14:paraId="1FB5F07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5.24</w:t>
            </w:r>
          </w:p>
        </w:tc>
        <w:tc>
          <w:tcPr>
            <w:tcW w:w="866" w:type="dxa"/>
            <w:tcBorders>
              <w:top w:val="nil"/>
              <w:left w:val="nil"/>
              <w:bottom w:val="nil"/>
              <w:right w:val="dotted" w:sz="4" w:space="0" w:color="auto"/>
            </w:tcBorders>
            <w:shd w:val="clear" w:color="000000" w:fill="FBD4B4"/>
            <w:vAlign w:val="center"/>
            <w:hideMark/>
          </w:tcPr>
          <w:p w14:paraId="21D6629E"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000000" w:fill="FBD4B4"/>
            <w:vAlign w:val="center"/>
            <w:hideMark/>
          </w:tcPr>
          <w:p w14:paraId="3892150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200</w:t>
            </w:r>
          </w:p>
        </w:tc>
        <w:tc>
          <w:tcPr>
            <w:tcW w:w="651" w:type="dxa"/>
            <w:tcBorders>
              <w:top w:val="nil"/>
              <w:left w:val="nil"/>
              <w:bottom w:val="nil"/>
              <w:right w:val="nil"/>
            </w:tcBorders>
            <w:shd w:val="clear" w:color="000000" w:fill="FBD4B4"/>
            <w:vAlign w:val="center"/>
            <w:hideMark/>
          </w:tcPr>
          <w:p w14:paraId="573D67E9"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852" w:type="dxa"/>
            <w:tcBorders>
              <w:top w:val="nil"/>
              <w:left w:val="nil"/>
              <w:bottom w:val="nil"/>
              <w:right w:val="nil"/>
            </w:tcBorders>
            <w:shd w:val="clear" w:color="000000" w:fill="FBD4B4"/>
            <w:vAlign w:val="center"/>
            <w:hideMark/>
          </w:tcPr>
          <w:p w14:paraId="69C8429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623</w:t>
            </w:r>
          </w:p>
        </w:tc>
      </w:tr>
      <w:tr w:rsidR="003D1270" w:rsidRPr="006E4EFA" w14:paraId="2D37F8A2" w14:textId="77777777" w:rsidTr="003D1270">
        <w:trPr>
          <w:trHeight w:val="300"/>
        </w:trPr>
        <w:tc>
          <w:tcPr>
            <w:tcW w:w="1888" w:type="dxa"/>
            <w:tcBorders>
              <w:top w:val="nil"/>
              <w:left w:val="nil"/>
              <w:bottom w:val="nil"/>
              <w:right w:val="nil"/>
            </w:tcBorders>
            <w:shd w:val="clear" w:color="auto" w:fill="auto"/>
            <w:vAlign w:val="center"/>
          </w:tcPr>
          <w:p w14:paraId="60B7DB5A" w14:textId="77777777" w:rsidR="003D1270" w:rsidRDefault="003D1270" w:rsidP="003A7D85">
            <w:pPr>
              <w:spacing w:after="0" w:line="240" w:lineRule="auto"/>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NT PowerWater</w:t>
            </w:r>
          </w:p>
        </w:tc>
        <w:tc>
          <w:tcPr>
            <w:tcW w:w="959" w:type="dxa"/>
            <w:tcBorders>
              <w:top w:val="nil"/>
              <w:left w:val="nil"/>
              <w:bottom w:val="nil"/>
              <w:right w:val="dotted" w:sz="4" w:space="0" w:color="auto"/>
            </w:tcBorders>
            <w:shd w:val="clear" w:color="auto" w:fill="auto"/>
            <w:vAlign w:val="center"/>
          </w:tcPr>
          <w:p w14:paraId="0866ECBB"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6F947E06"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2EB39FF2"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3C0BD2D1"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2CA375D7"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15EC91C0" w14:textId="77777777" w:rsidR="003D1270" w:rsidRPr="006E4EFA" w:rsidRDefault="003D1270"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tcPr>
          <w:p w14:paraId="2FA021A8"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3ACFD140" w14:textId="77777777" w:rsidTr="003D1270">
        <w:trPr>
          <w:trHeight w:val="300"/>
        </w:trPr>
        <w:tc>
          <w:tcPr>
            <w:tcW w:w="1888" w:type="dxa"/>
            <w:tcBorders>
              <w:top w:val="nil"/>
              <w:left w:val="nil"/>
              <w:bottom w:val="nil"/>
              <w:right w:val="nil"/>
            </w:tcBorders>
            <w:shd w:val="clear" w:color="auto" w:fill="auto"/>
            <w:vAlign w:val="center"/>
            <w:hideMark/>
          </w:tcPr>
          <w:p w14:paraId="574A2715"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w:t>
            </w:r>
            <w:r>
              <w:rPr>
                <w:rFonts w:ascii="Arial Narrow" w:eastAsia="Times New Roman" w:hAnsi="Arial Narrow"/>
                <w:color w:val="000000"/>
                <w:sz w:val="18"/>
                <w:szCs w:val="18"/>
                <w:lang w:val="en-AU" w:eastAsia="en-AU"/>
              </w:rPr>
              <w:t xml:space="preserve"> </w:t>
            </w:r>
            <w:r w:rsidRPr="006E4EFA">
              <w:rPr>
                <w:rFonts w:ascii="Arial Narrow" w:eastAsia="Times New Roman" w:hAnsi="Arial Narrow"/>
                <w:color w:val="000000"/>
                <w:sz w:val="18"/>
                <w:szCs w:val="18"/>
                <w:lang w:val="en-AU" w:eastAsia="en-AU"/>
              </w:rPr>
              <w:t>residential</w:t>
            </w:r>
          </w:p>
        </w:tc>
        <w:tc>
          <w:tcPr>
            <w:tcW w:w="959" w:type="dxa"/>
            <w:tcBorders>
              <w:top w:val="nil"/>
              <w:left w:val="nil"/>
              <w:bottom w:val="nil"/>
              <w:right w:val="dotted" w:sz="4" w:space="0" w:color="auto"/>
            </w:tcBorders>
            <w:shd w:val="clear" w:color="auto" w:fill="auto"/>
            <w:vAlign w:val="center"/>
            <w:hideMark/>
          </w:tcPr>
          <w:p w14:paraId="52CA2E5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293.06</w:t>
            </w:r>
            <w:r>
              <w:rPr>
                <w:rFonts w:ascii="Arial Narrow" w:eastAsia="Times New Roman" w:hAnsi="Arial Narrow"/>
                <w:color w:val="000000"/>
                <w:sz w:val="18"/>
                <w:szCs w:val="18"/>
                <w:vertAlign w:val="superscript"/>
                <w:lang w:val="en-AU" w:eastAsia="en-AU"/>
              </w:rPr>
              <w:t>(f</w:t>
            </w:r>
            <w:r w:rsidRPr="006E4EFA">
              <w:rPr>
                <w:rFonts w:ascii="Arial Narrow" w:eastAsia="Times New Roman" w:hAnsi="Arial Narrow"/>
                <w:color w:val="000000"/>
                <w:sz w:val="18"/>
                <w:szCs w:val="18"/>
                <w:vertAlign w:val="superscript"/>
                <w:lang w:val="en-AU" w:eastAsia="en-AU"/>
              </w:rPr>
              <w:t>)</w:t>
            </w:r>
          </w:p>
        </w:tc>
        <w:tc>
          <w:tcPr>
            <w:tcW w:w="1033" w:type="dxa"/>
            <w:tcBorders>
              <w:top w:val="nil"/>
              <w:left w:val="nil"/>
              <w:bottom w:val="nil"/>
              <w:right w:val="nil"/>
            </w:tcBorders>
            <w:shd w:val="clear" w:color="auto" w:fill="auto"/>
            <w:vAlign w:val="center"/>
            <w:hideMark/>
          </w:tcPr>
          <w:p w14:paraId="3161888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1.92</w:t>
            </w:r>
          </w:p>
        </w:tc>
        <w:tc>
          <w:tcPr>
            <w:tcW w:w="900" w:type="dxa"/>
            <w:tcBorders>
              <w:top w:val="nil"/>
              <w:left w:val="nil"/>
              <w:bottom w:val="nil"/>
              <w:right w:val="nil"/>
            </w:tcBorders>
            <w:shd w:val="clear" w:color="auto" w:fill="auto"/>
            <w:vAlign w:val="center"/>
            <w:hideMark/>
          </w:tcPr>
          <w:p w14:paraId="05BFFF69"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31B61A7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651" w:type="dxa"/>
            <w:tcBorders>
              <w:top w:val="nil"/>
              <w:left w:val="nil"/>
              <w:bottom w:val="nil"/>
              <w:right w:val="nil"/>
            </w:tcBorders>
            <w:shd w:val="clear" w:color="auto" w:fill="auto"/>
            <w:vAlign w:val="center"/>
            <w:hideMark/>
          </w:tcPr>
          <w:p w14:paraId="322301D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hideMark/>
          </w:tcPr>
          <w:p w14:paraId="040AFD3D"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34A1B5F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677</w:t>
            </w:r>
          </w:p>
        </w:tc>
      </w:tr>
      <w:tr w:rsidR="003A7D85" w:rsidRPr="006E4EFA" w14:paraId="00AF7B9B" w14:textId="77777777" w:rsidTr="003D1270">
        <w:trPr>
          <w:trHeight w:val="300"/>
        </w:trPr>
        <w:tc>
          <w:tcPr>
            <w:tcW w:w="1888" w:type="dxa"/>
            <w:tcBorders>
              <w:top w:val="nil"/>
              <w:left w:val="nil"/>
              <w:bottom w:val="nil"/>
              <w:right w:val="nil"/>
            </w:tcBorders>
            <w:shd w:val="clear" w:color="auto" w:fill="auto"/>
            <w:vAlign w:val="center"/>
          </w:tcPr>
          <w:p w14:paraId="519B6761"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p>
        </w:tc>
        <w:tc>
          <w:tcPr>
            <w:tcW w:w="959" w:type="dxa"/>
            <w:tcBorders>
              <w:top w:val="nil"/>
              <w:left w:val="nil"/>
              <w:bottom w:val="nil"/>
              <w:right w:val="dotted" w:sz="4" w:space="0" w:color="auto"/>
            </w:tcBorders>
            <w:shd w:val="clear" w:color="auto" w:fill="auto"/>
            <w:vAlign w:val="center"/>
          </w:tcPr>
          <w:p w14:paraId="51D9D9F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10,549</w:t>
            </w:r>
            <w:r>
              <w:rPr>
                <w:rFonts w:ascii="Arial Narrow" w:eastAsia="Times New Roman" w:hAnsi="Arial Narrow"/>
                <w:color w:val="000000"/>
                <w:sz w:val="18"/>
                <w:szCs w:val="18"/>
                <w:vertAlign w:val="superscript"/>
                <w:lang w:val="en-AU" w:eastAsia="en-AU"/>
              </w:rPr>
              <w:t>(g</w:t>
            </w:r>
            <w:r w:rsidRPr="006E4EFA">
              <w:rPr>
                <w:rFonts w:ascii="Arial Narrow" w:eastAsia="Times New Roman" w:hAnsi="Arial Narrow"/>
                <w:color w:val="000000"/>
                <w:sz w:val="18"/>
                <w:szCs w:val="18"/>
                <w:vertAlign w:val="superscript"/>
                <w:lang w:val="en-AU" w:eastAsia="en-AU"/>
              </w:rPr>
              <w:t>)</w:t>
            </w:r>
          </w:p>
        </w:tc>
        <w:tc>
          <w:tcPr>
            <w:tcW w:w="1033" w:type="dxa"/>
            <w:tcBorders>
              <w:top w:val="nil"/>
              <w:left w:val="nil"/>
              <w:bottom w:val="nil"/>
              <w:right w:val="nil"/>
            </w:tcBorders>
            <w:shd w:val="clear" w:color="auto" w:fill="auto"/>
            <w:vAlign w:val="center"/>
          </w:tcPr>
          <w:p w14:paraId="2D8CB26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1.92</w:t>
            </w:r>
          </w:p>
        </w:tc>
        <w:tc>
          <w:tcPr>
            <w:tcW w:w="900" w:type="dxa"/>
            <w:tcBorders>
              <w:top w:val="nil"/>
              <w:left w:val="nil"/>
              <w:bottom w:val="nil"/>
              <w:right w:val="nil"/>
            </w:tcBorders>
            <w:shd w:val="clear" w:color="auto" w:fill="auto"/>
            <w:vAlign w:val="center"/>
          </w:tcPr>
          <w:p w14:paraId="09A3E33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6F4FB23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5F755CB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3471FBCC"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tcPr>
          <w:p w14:paraId="13D5808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20,254</w:t>
            </w:r>
          </w:p>
        </w:tc>
      </w:tr>
      <w:tr w:rsidR="003A7D85" w:rsidRPr="006E4EFA" w14:paraId="78359DF7" w14:textId="77777777" w:rsidTr="003D1270">
        <w:trPr>
          <w:trHeight w:val="300"/>
        </w:trPr>
        <w:tc>
          <w:tcPr>
            <w:tcW w:w="1888" w:type="dxa"/>
            <w:tcBorders>
              <w:top w:val="nil"/>
              <w:left w:val="nil"/>
              <w:bottom w:val="nil"/>
              <w:right w:val="nil"/>
            </w:tcBorders>
            <w:shd w:val="clear" w:color="auto" w:fill="auto"/>
            <w:vAlign w:val="center"/>
            <w:hideMark/>
          </w:tcPr>
          <w:p w14:paraId="67259943"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Q</w:t>
            </w:r>
            <w:r w:rsidR="004210DF">
              <w:rPr>
                <w:rFonts w:ascii="Arial Narrow" w:eastAsia="Times New Roman" w:hAnsi="Arial Narrow"/>
                <w:color w:val="000000"/>
                <w:sz w:val="18"/>
                <w:szCs w:val="18"/>
                <w:lang w:val="en-AU" w:eastAsia="en-AU"/>
              </w:rPr>
              <w:t>ueensland</w:t>
            </w:r>
            <w:r w:rsidRPr="006E4EFA">
              <w:rPr>
                <w:rFonts w:ascii="Arial Narrow" w:eastAsia="Times New Roman" w:hAnsi="Arial Narrow"/>
                <w:color w:val="000000"/>
                <w:sz w:val="18"/>
                <w:szCs w:val="18"/>
                <w:lang w:val="en-AU" w:eastAsia="en-AU"/>
              </w:rPr>
              <w:t xml:space="preserve"> Urban Utilities </w:t>
            </w:r>
          </w:p>
        </w:tc>
        <w:tc>
          <w:tcPr>
            <w:tcW w:w="959" w:type="dxa"/>
            <w:tcBorders>
              <w:top w:val="nil"/>
              <w:left w:val="nil"/>
              <w:bottom w:val="nil"/>
              <w:right w:val="dotted" w:sz="4" w:space="0" w:color="auto"/>
            </w:tcBorders>
            <w:shd w:val="clear" w:color="auto" w:fill="auto"/>
            <w:vAlign w:val="center"/>
            <w:hideMark/>
          </w:tcPr>
          <w:p w14:paraId="287582C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hideMark/>
          </w:tcPr>
          <w:p w14:paraId="3F26A64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hideMark/>
          </w:tcPr>
          <w:p w14:paraId="48C66635" w14:textId="77777777" w:rsidR="003A7D85" w:rsidRPr="006E4EFA" w:rsidRDefault="003A7D85" w:rsidP="003A7D85">
            <w:pPr>
              <w:spacing w:after="0" w:line="240" w:lineRule="auto"/>
              <w:jc w:val="right"/>
              <w:rPr>
                <w:rFonts w:eastAsia="Times New Roman"/>
                <w:sz w:val="20"/>
                <w:lang w:val="en-AU" w:eastAsia="en-AU"/>
              </w:rPr>
            </w:pPr>
          </w:p>
        </w:tc>
        <w:tc>
          <w:tcPr>
            <w:tcW w:w="866" w:type="dxa"/>
            <w:tcBorders>
              <w:top w:val="nil"/>
              <w:left w:val="nil"/>
              <w:bottom w:val="nil"/>
              <w:right w:val="dotted" w:sz="4" w:space="0" w:color="auto"/>
            </w:tcBorders>
            <w:shd w:val="clear" w:color="auto" w:fill="auto"/>
            <w:vAlign w:val="center"/>
            <w:hideMark/>
          </w:tcPr>
          <w:p w14:paraId="7E4BECB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651" w:type="dxa"/>
            <w:tcBorders>
              <w:top w:val="nil"/>
              <w:left w:val="nil"/>
              <w:bottom w:val="nil"/>
              <w:right w:val="nil"/>
            </w:tcBorders>
            <w:shd w:val="clear" w:color="auto" w:fill="auto"/>
            <w:vAlign w:val="center"/>
            <w:hideMark/>
          </w:tcPr>
          <w:p w14:paraId="41C55D8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hideMark/>
          </w:tcPr>
          <w:p w14:paraId="4BA11812"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7E254E31" w14:textId="77777777" w:rsidR="003A7D85" w:rsidRPr="006E4EFA" w:rsidRDefault="003A7D85" w:rsidP="003A7D85">
            <w:pPr>
              <w:spacing w:after="0" w:line="240" w:lineRule="auto"/>
              <w:jc w:val="right"/>
              <w:rPr>
                <w:rFonts w:eastAsia="Times New Roman"/>
                <w:sz w:val="20"/>
                <w:lang w:val="en-AU" w:eastAsia="en-AU"/>
              </w:rPr>
            </w:pPr>
          </w:p>
        </w:tc>
      </w:tr>
      <w:tr w:rsidR="003A7D85" w:rsidRPr="006E4EFA" w14:paraId="5001CE6E" w14:textId="77777777" w:rsidTr="003D1270">
        <w:trPr>
          <w:trHeight w:val="315"/>
        </w:trPr>
        <w:tc>
          <w:tcPr>
            <w:tcW w:w="1888" w:type="dxa"/>
            <w:tcBorders>
              <w:top w:val="nil"/>
              <w:left w:val="nil"/>
              <w:bottom w:val="nil"/>
              <w:right w:val="nil"/>
            </w:tcBorders>
            <w:shd w:val="clear" w:color="auto" w:fill="auto"/>
            <w:vAlign w:val="center"/>
            <w:hideMark/>
          </w:tcPr>
          <w:p w14:paraId="3BFA09C9"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r>
              <w:rPr>
                <w:rFonts w:ascii="Arial Narrow" w:eastAsia="Times New Roman" w:hAnsi="Arial Narrow"/>
                <w:color w:val="000000"/>
                <w:sz w:val="18"/>
                <w:szCs w:val="18"/>
                <w:vertAlign w:val="superscript"/>
                <w:lang w:val="en-AU" w:eastAsia="en-AU"/>
              </w:rPr>
              <w:t>(h</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0256440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192.48</w:t>
            </w:r>
          </w:p>
        </w:tc>
        <w:tc>
          <w:tcPr>
            <w:tcW w:w="1033" w:type="dxa"/>
            <w:tcBorders>
              <w:top w:val="nil"/>
              <w:left w:val="nil"/>
              <w:bottom w:val="nil"/>
              <w:right w:val="nil"/>
            </w:tcBorders>
            <w:shd w:val="clear" w:color="auto" w:fill="auto"/>
            <w:vAlign w:val="center"/>
            <w:hideMark/>
          </w:tcPr>
          <w:p w14:paraId="427BA7F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0.77</w:t>
            </w:r>
          </w:p>
        </w:tc>
        <w:tc>
          <w:tcPr>
            <w:tcW w:w="900" w:type="dxa"/>
            <w:tcBorders>
              <w:top w:val="nil"/>
              <w:left w:val="nil"/>
              <w:bottom w:val="nil"/>
              <w:right w:val="nil"/>
            </w:tcBorders>
            <w:shd w:val="clear" w:color="auto" w:fill="auto"/>
            <w:vAlign w:val="center"/>
            <w:hideMark/>
          </w:tcPr>
          <w:p w14:paraId="1CE875A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1.45</w:t>
            </w:r>
          </w:p>
        </w:tc>
        <w:tc>
          <w:tcPr>
            <w:tcW w:w="866" w:type="dxa"/>
            <w:tcBorders>
              <w:top w:val="nil"/>
              <w:left w:val="nil"/>
              <w:bottom w:val="nil"/>
              <w:right w:val="dotted" w:sz="4" w:space="0" w:color="auto"/>
            </w:tcBorders>
            <w:shd w:val="clear" w:color="auto" w:fill="auto"/>
            <w:vAlign w:val="center"/>
            <w:hideMark/>
          </w:tcPr>
          <w:p w14:paraId="1CF6188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651" w:type="dxa"/>
            <w:tcBorders>
              <w:top w:val="nil"/>
              <w:left w:val="nil"/>
              <w:bottom w:val="nil"/>
              <w:right w:val="nil"/>
            </w:tcBorders>
            <w:shd w:val="clear" w:color="auto" w:fill="auto"/>
            <w:vAlign w:val="center"/>
            <w:hideMark/>
          </w:tcPr>
          <w:p w14:paraId="2817C7D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296</w:t>
            </w:r>
          </w:p>
        </w:tc>
        <w:tc>
          <w:tcPr>
            <w:tcW w:w="651" w:type="dxa"/>
            <w:tcBorders>
              <w:top w:val="nil"/>
              <w:left w:val="nil"/>
              <w:bottom w:val="nil"/>
              <w:right w:val="nil"/>
            </w:tcBorders>
            <w:shd w:val="clear" w:color="auto" w:fill="auto"/>
            <w:vAlign w:val="center"/>
            <w:hideMark/>
          </w:tcPr>
          <w:p w14:paraId="335B3470"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4CF78DA5"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347</w:t>
            </w:r>
          </w:p>
        </w:tc>
      </w:tr>
      <w:tr w:rsidR="003A7D85" w:rsidRPr="006E4EFA" w14:paraId="4E72B526" w14:textId="77777777" w:rsidTr="003D1270">
        <w:trPr>
          <w:trHeight w:val="315"/>
        </w:trPr>
        <w:tc>
          <w:tcPr>
            <w:tcW w:w="1888" w:type="dxa"/>
            <w:tcBorders>
              <w:top w:val="nil"/>
              <w:left w:val="nil"/>
              <w:bottom w:val="nil"/>
              <w:right w:val="nil"/>
            </w:tcBorders>
            <w:shd w:val="clear" w:color="auto" w:fill="auto"/>
            <w:vAlign w:val="center"/>
            <w:hideMark/>
          </w:tcPr>
          <w:p w14:paraId="7059237B"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Pr>
                <w:rFonts w:ascii="Arial Narrow" w:eastAsia="Times New Roman" w:hAnsi="Arial Narrow"/>
                <w:color w:val="000000"/>
                <w:sz w:val="18"/>
                <w:szCs w:val="18"/>
                <w:vertAlign w:val="superscript"/>
                <w:lang w:val="en-AU" w:eastAsia="en-AU"/>
              </w:rPr>
              <w:t>(i</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26B3178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195</w:t>
            </w:r>
          </w:p>
        </w:tc>
        <w:tc>
          <w:tcPr>
            <w:tcW w:w="1033" w:type="dxa"/>
            <w:tcBorders>
              <w:top w:val="nil"/>
              <w:left w:val="nil"/>
              <w:bottom w:val="nil"/>
              <w:right w:val="nil"/>
            </w:tcBorders>
            <w:shd w:val="clear" w:color="auto" w:fill="auto"/>
            <w:vAlign w:val="center"/>
            <w:hideMark/>
          </w:tcPr>
          <w:p w14:paraId="3F99600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0.92</w:t>
            </w:r>
          </w:p>
        </w:tc>
        <w:tc>
          <w:tcPr>
            <w:tcW w:w="900" w:type="dxa"/>
            <w:tcBorders>
              <w:top w:val="nil"/>
              <w:left w:val="nil"/>
              <w:bottom w:val="nil"/>
              <w:right w:val="nil"/>
            </w:tcBorders>
            <w:shd w:val="clear" w:color="auto" w:fill="auto"/>
            <w:vAlign w:val="center"/>
            <w:hideMark/>
          </w:tcPr>
          <w:p w14:paraId="7A0657F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1.05</w:t>
            </w:r>
          </w:p>
        </w:tc>
        <w:tc>
          <w:tcPr>
            <w:tcW w:w="866" w:type="dxa"/>
            <w:tcBorders>
              <w:top w:val="nil"/>
              <w:left w:val="nil"/>
              <w:bottom w:val="nil"/>
              <w:right w:val="dotted" w:sz="4" w:space="0" w:color="auto"/>
            </w:tcBorders>
            <w:shd w:val="clear" w:color="auto" w:fill="auto"/>
            <w:vAlign w:val="center"/>
            <w:hideMark/>
          </w:tcPr>
          <w:p w14:paraId="606993F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1.54</w:t>
            </w:r>
          </w:p>
        </w:tc>
        <w:tc>
          <w:tcPr>
            <w:tcW w:w="651" w:type="dxa"/>
            <w:tcBorders>
              <w:top w:val="nil"/>
              <w:left w:val="nil"/>
              <w:bottom w:val="nil"/>
              <w:right w:val="nil"/>
            </w:tcBorders>
            <w:shd w:val="clear" w:color="auto" w:fill="auto"/>
            <w:vAlign w:val="center"/>
            <w:hideMark/>
          </w:tcPr>
          <w:p w14:paraId="4D5F5B7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196</w:t>
            </w:r>
          </w:p>
        </w:tc>
        <w:tc>
          <w:tcPr>
            <w:tcW w:w="651" w:type="dxa"/>
            <w:tcBorders>
              <w:top w:val="nil"/>
              <w:left w:val="nil"/>
              <w:bottom w:val="nil"/>
              <w:right w:val="nil"/>
            </w:tcBorders>
            <w:shd w:val="clear" w:color="auto" w:fill="auto"/>
            <w:vAlign w:val="center"/>
            <w:hideMark/>
          </w:tcPr>
          <w:p w14:paraId="5E44455C" w14:textId="77777777" w:rsidR="003A7D85" w:rsidRPr="000C7549" w:rsidRDefault="003A7D85" w:rsidP="003A7D85">
            <w:pPr>
              <w:spacing w:after="0" w:line="240" w:lineRule="auto"/>
              <w:jc w:val="right"/>
              <w:rPr>
                <w:rFonts w:ascii="Arial Narrow" w:eastAsia="Times New Roman" w:hAnsi="Arial Narrow"/>
                <w:color w:val="000000"/>
                <w:sz w:val="18"/>
                <w:szCs w:val="18"/>
                <w:lang w:val="en-AU" w:eastAsia="en-AU"/>
              </w:rPr>
            </w:pPr>
            <w:r w:rsidRPr="000C7549">
              <w:rPr>
                <w:rFonts w:ascii="Arial Narrow" w:eastAsia="Times New Roman" w:hAnsi="Arial Narrow"/>
                <w:color w:val="000000"/>
                <w:sz w:val="18"/>
                <w:szCs w:val="18"/>
                <w:lang w:val="en-AU" w:eastAsia="en-AU"/>
              </w:rPr>
              <w:t>296</w:t>
            </w:r>
          </w:p>
        </w:tc>
        <w:tc>
          <w:tcPr>
            <w:tcW w:w="852" w:type="dxa"/>
            <w:tcBorders>
              <w:top w:val="nil"/>
              <w:left w:val="nil"/>
              <w:bottom w:val="nil"/>
              <w:right w:val="nil"/>
            </w:tcBorders>
            <w:shd w:val="clear" w:color="auto" w:fill="auto"/>
            <w:vAlign w:val="center"/>
            <w:hideMark/>
          </w:tcPr>
          <w:p w14:paraId="7C25BA8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380</w:t>
            </w:r>
          </w:p>
        </w:tc>
      </w:tr>
      <w:tr w:rsidR="003D1270" w:rsidRPr="006E4EFA" w14:paraId="0C90D36F" w14:textId="77777777" w:rsidTr="003D1270">
        <w:trPr>
          <w:trHeight w:val="300"/>
        </w:trPr>
        <w:tc>
          <w:tcPr>
            <w:tcW w:w="1888" w:type="dxa"/>
            <w:tcBorders>
              <w:top w:val="nil"/>
              <w:left w:val="nil"/>
              <w:bottom w:val="nil"/>
              <w:right w:val="nil"/>
            </w:tcBorders>
            <w:shd w:val="clear" w:color="auto" w:fill="auto"/>
            <w:vAlign w:val="center"/>
          </w:tcPr>
          <w:p w14:paraId="219C4B72" w14:textId="77777777" w:rsidR="003D1270" w:rsidRPr="006E4EFA" w:rsidRDefault="003D1270"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SA Water</w:t>
            </w:r>
          </w:p>
        </w:tc>
        <w:tc>
          <w:tcPr>
            <w:tcW w:w="959" w:type="dxa"/>
            <w:tcBorders>
              <w:top w:val="nil"/>
              <w:left w:val="nil"/>
              <w:bottom w:val="nil"/>
              <w:right w:val="dotted" w:sz="4" w:space="0" w:color="auto"/>
            </w:tcBorders>
            <w:shd w:val="clear" w:color="auto" w:fill="auto"/>
            <w:vAlign w:val="center"/>
          </w:tcPr>
          <w:p w14:paraId="040729B0"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21D6ED2D"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4D559F94"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68D7CE80"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3A19E742"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tcPr>
          <w:p w14:paraId="0EC991E4"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52" w:type="dxa"/>
            <w:tcBorders>
              <w:top w:val="nil"/>
              <w:left w:val="nil"/>
              <w:bottom w:val="nil"/>
              <w:right w:val="nil"/>
            </w:tcBorders>
            <w:shd w:val="clear" w:color="auto" w:fill="auto"/>
            <w:vAlign w:val="center"/>
          </w:tcPr>
          <w:p w14:paraId="65EE932B"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0942A4A1" w14:textId="77777777" w:rsidTr="003D1270">
        <w:trPr>
          <w:trHeight w:val="300"/>
        </w:trPr>
        <w:tc>
          <w:tcPr>
            <w:tcW w:w="1888" w:type="dxa"/>
            <w:tcBorders>
              <w:top w:val="nil"/>
              <w:left w:val="nil"/>
              <w:bottom w:val="nil"/>
              <w:right w:val="nil"/>
            </w:tcBorders>
            <w:shd w:val="clear" w:color="auto" w:fill="auto"/>
            <w:vAlign w:val="center"/>
            <w:hideMark/>
          </w:tcPr>
          <w:p w14:paraId="2B0BF1A3"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p>
        </w:tc>
        <w:tc>
          <w:tcPr>
            <w:tcW w:w="959" w:type="dxa"/>
            <w:tcBorders>
              <w:top w:val="nil"/>
              <w:left w:val="nil"/>
              <w:bottom w:val="nil"/>
              <w:right w:val="dotted" w:sz="4" w:space="0" w:color="auto"/>
            </w:tcBorders>
            <w:shd w:val="clear" w:color="auto" w:fill="auto"/>
            <w:vAlign w:val="center"/>
            <w:hideMark/>
          </w:tcPr>
          <w:p w14:paraId="0441C96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286.4</w:t>
            </w:r>
          </w:p>
        </w:tc>
        <w:tc>
          <w:tcPr>
            <w:tcW w:w="1033" w:type="dxa"/>
            <w:tcBorders>
              <w:top w:val="nil"/>
              <w:left w:val="nil"/>
              <w:bottom w:val="nil"/>
              <w:right w:val="nil"/>
            </w:tcBorders>
            <w:shd w:val="clear" w:color="auto" w:fill="auto"/>
            <w:vAlign w:val="center"/>
            <w:hideMark/>
          </w:tcPr>
          <w:p w14:paraId="6AD8C11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2.27</w:t>
            </w:r>
          </w:p>
        </w:tc>
        <w:tc>
          <w:tcPr>
            <w:tcW w:w="900" w:type="dxa"/>
            <w:tcBorders>
              <w:top w:val="nil"/>
              <w:left w:val="nil"/>
              <w:bottom w:val="nil"/>
              <w:right w:val="nil"/>
            </w:tcBorders>
            <w:shd w:val="clear" w:color="auto" w:fill="auto"/>
            <w:vAlign w:val="center"/>
            <w:hideMark/>
          </w:tcPr>
          <w:p w14:paraId="1875A565"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3.24</w:t>
            </w:r>
          </w:p>
        </w:tc>
        <w:tc>
          <w:tcPr>
            <w:tcW w:w="866" w:type="dxa"/>
            <w:tcBorders>
              <w:top w:val="nil"/>
              <w:left w:val="nil"/>
              <w:bottom w:val="nil"/>
              <w:right w:val="dotted" w:sz="4" w:space="0" w:color="auto"/>
            </w:tcBorders>
            <w:shd w:val="clear" w:color="auto" w:fill="auto"/>
            <w:vAlign w:val="center"/>
            <w:hideMark/>
          </w:tcPr>
          <w:p w14:paraId="7456D32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3.51</w:t>
            </w:r>
          </w:p>
        </w:tc>
        <w:tc>
          <w:tcPr>
            <w:tcW w:w="651" w:type="dxa"/>
            <w:tcBorders>
              <w:top w:val="nil"/>
              <w:left w:val="nil"/>
              <w:bottom w:val="nil"/>
              <w:right w:val="nil"/>
            </w:tcBorders>
            <w:shd w:val="clear" w:color="auto" w:fill="auto"/>
            <w:vAlign w:val="center"/>
            <w:hideMark/>
          </w:tcPr>
          <w:p w14:paraId="41EF799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120</w:t>
            </w:r>
          </w:p>
        </w:tc>
        <w:tc>
          <w:tcPr>
            <w:tcW w:w="651" w:type="dxa"/>
            <w:tcBorders>
              <w:top w:val="nil"/>
              <w:left w:val="nil"/>
              <w:bottom w:val="nil"/>
              <w:right w:val="nil"/>
            </w:tcBorders>
            <w:shd w:val="clear" w:color="auto" w:fill="auto"/>
            <w:vAlign w:val="center"/>
            <w:hideMark/>
          </w:tcPr>
          <w:p w14:paraId="1B18DB4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520</w:t>
            </w:r>
          </w:p>
        </w:tc>
        <w:tc>
          <w:tcPr>
            <w:tcW w:w="852" w:type="dxa"/>
            <w:tcBorders>
              <w:top w:val="nil"/>
              <w:left w:val="nil"/>
              <w:bottom w:val="nil"/>
              <w:right w:val="nil"/>
            </w:tcBorders>
            <w:shd w:val="clear" w:color="auto" w:fill="auto"/>
            <w:vAlign w:val="center"/>
            <w:hideMark/>
          </w:tcPr>
          <w:p w14:paraId="23A197A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818</w:t>
            </w:r>
          </w:p>
        </w:tc>
      </w:tr>
      <w:tr w:rsidR="003A7D85" w:rsidRPr="006E4EFA" w14:paraId="33F131AD" w14:textId="77777777" w:rsidTr="003D1270">
        <w:trPr>
          <w:trHeight w:val="315"/>
        </w:trPr>
        <w:tc>
          <w:tcPr>
            <w:tcW w:w="1888" w:type="dxa"/>
            <w:tcBorders>
              <w:top w:val="nil"/>
              <w:left w:val="nil"/>
              <w:bottom w:val="nil"/>
              <w:right w:val="nil"/>
            </w:tcBorders>
            <w:shd w:val="clear" w:color="auto" w:fill="auto"/>
            <w:vAlign w:val="center"/>
            <w:hideMark/>
          </w:tcPr>
          <w:p w14:paraId="5CB25D3F"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Pr>
                <w:rFonts w:ascii="Arial Narrow" w:eastAsia="Times New Roman" w:hAnsi="Arial Narrow"/>
                <w:color w:val="000000"/>
                <w:sz w:val="18"/>
                <w:szCs w:val="18"/>
                <w:vertAlign w:val="superscript"/>
                <w:lang w:val="en-AU" w:eastAsia="en-AU"/>
              </w:rPr>
              <w:t>(j</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41B032E5"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286.4</w:t>
            </w:r>
          </w:p>
        </w:tc>
        <w:tc>
          <w:tcPr>
            <w:tcW w:w="1033" w:type="dxa"/>
            <w:tcBorders>
              <w:top w:val="nil"/>
              <w:left w:val="nil"/>
              <w:bottom w:val="nil"/>
              <w:right w:val="nil"/>
            </w:tcBorders>
            <w:shd w:val="clear" w:color="auto" w:fill="auto"/>
            <w:vAlign w:val="center"/>
            <w:hideMark/>
          </w:tcPr>
          <w:p w14:paraId="1F9D6272"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3.24</w:t>
            </w:r>
          </w:p>
        </w:tc>
        <w:tc>
          <w:tcPr>
            <w:tcW w:w="900" w:type="dxa"/>
            <w:tcBorders>
              <w:top w:val="nil"/>
              <w:left w:val="nil"/>
              <w:bottom w:val="nil"/>
              <w:right w:val="nil"/>
            </w:tcBorders>
            <w:shd w:val="clear" w:color="auto" w:fill="auto"/>
            <w:vAlign w:val="center"/>
            <w:hideMark/>
          </w:tcPr>
          <w:p w14:paraId="73D66E6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04574296"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22A2390E"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44738948"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1F6655A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934</w:t>
            </w:r>
          </w:p>
        </w:tc>
      </w:tr>
      <w:tr w:rsidR="003A7D85" w:rsidRPr="006E4EFA" w14:paraId="11F6B4D8" w14:textId="77777777" w:rsidTr="003D1270">
        <w:trPr>
          <w:trHeight w:val="300"/>
        </w:trPr>
        <w:tc>
          <w:tcPr>
            <w:tcW w:w="1888" w:type="dxa"/>
            <w:tcBorders>
              <w:top w:val="nil"/>
              <w:left w:val="nil"/>
              <w:bottom w:val="nil"/>
              <w:right w:val="nil"/>
            </w:tcBorders>
            <w:shd w:val="clear" w:color="auto" w:fill="auto"/>
            <w:vAlign w:val="center"/>
            <w:hideMark/>
          </w:tcPr>
          <w:p w14:paraId="470B884C"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xml:space="preserve">South East Water (Melb) </w:t>
            </w:r>
          </w:p>
        </w:tc>
        <w:tc>
          <w:tcPr>
            <w:tcW w:w="959" w:type="dxa"/>
            <w:tcBorders>
              <w:top w:val="nil"/>
              <w:left w:val="nil"/>
              <w:bottom w:val="nil"/>
              <w:right w:val="dotted" w:sz="4" w:space="0" w:color="auto"/>
            </w:tcBorders>
            <w:shd w:val="clear" w:color="auto" w:fill="auto"/>
            <w:vAlign w:val="center"/>
            <w:hideMark/>
          </w:tcPr>
          <w:p w14:paraId="2078AC45"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1033" w:type="dxa"/>
            <w:tcBorders>
              <w:top w:val="nil"/>
              <w:left w:val="nil"/>
              <w:bottom w:val="nil"/>
              <w:right w:val="nil"/>
            </w:tcBorders>
            <w:shd w:val="clear" w:color="auto" w:fill="auto"/>
            <w:noWrap/>
            <w:vAlign w:val="bottom"/>
            <w:hideMark/>
          </w:tcPr>
          <w:p w14:paraId="507592A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noWrap/>
            <w:vAlign w:val="bottom"/>
            <w:hideMark/>
          </w:tcPr>
          <w:p w14:paraId="4988FF38" w14:textId="77777777" w:rsidR="003A7D85" w:rsidRPr="006E4EFA" w:rsidRDefault="003A7D85" w:rsidP="003A7D85">
            <w:pPr>
              <w:spacing w:after="0" w:line="240" w:lineRule="auto"/>
              <w:rPr>
                <w:rFonts w:eastAsia="Times New Roman"/>
                <w:sz w:val="20"/>
                <w:lang w:val="en-AU" w:eastAsia="en-AU"/>
              </w:rPr>
            </w:pPr>
          </w:p>
        </w:tc>
        <w:tc>
          <w:tcPr>
            <w:tcW w:w="866" w:type="dxa"/>
            <w:tcBorders>
              <w:top w:val="nil"/>
              <w:left w:val="nil"/>
              <w:bottom w:val="nil"/>
              <w:right w:val="dotted" w:sz="4" w:space="0" w:color="auto"/>
            </w:tcBorders>
            <w:shd w:val="clear" w:color="auto" w:fill="auto"/>
            <w:vAlign w:val="center"/>
            <w:hideMark/>
          </w:tcPr>
          <w:p w14:paraId="27B3D14D"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3871352A"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6A115CF4"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3727EE88" w14:textId="77777777" w:rsidR="003A7D85" w:rsidRPr="006E4EFA" w:rsidRDefault="003A7D85" w:rsidP="003A7D85">
            <w:pPr>
              <w:spacing w:after="0" w:line="240" w:lineRule="auto"/>
              <w:jc w:val="right"/>
              <w:rPr>
                <w:rFonts w:eastAsia="Times New Roman"/>
                <w:sz w:val="20"/>
                <w:lang w:val="en-AU" w:eastAsia="en-AU"/>
              </w:rPr>
            </w:pPr>
          </w:p>
        </w:tc>
      </w:tr>
      <w:tr w:rsidR="003A7D85" w:rsidRPr="006E4EFA" w14:paraId="40943FAA" w14:textId="77777777" w:rsidTr="003D1270">
        <w:trPr>
          <w:trHeight w:val="300"/>
        </w:trPr>
        <w:tc>
          <w:tcPr>
            <w:tcW w:w="1888" w:type="dxa"/>
            <w:tcBorders>
              <w:top w:val="nil"/>
              <w:left w:val="nil"/>
              <w:bottom w:val="nil"/>
              <w:right w:val="nil"/>
            </w:tcBorders>
            <w:shd w:val="clear" w:color="auto" w:fill="auto"/>
            <w:vAlign w:val="center"/>
            <w:hideMark/>
          </w:tcPr>
          <w:p w14:paraId="4084895A"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p>
        </w:tc>
        <w:tc>
          <w:tcPr>
            <w:tcW w:w="959" w:type="dxa"/>
            <w:tcBorders>
              <w:top w:val="nil"/>
              <w:left w:val="nil"/>
              <w:bottom w:val="nil"/>
              <w:right w:val="dotted" w:sz="4" w:space="0" w:color="auto"/>
            </w:tcBorders>
            <w:shd w:val="clear" w:color="auto" w:fill="auto"/>
            <w:vAlign w:val="center"/>
            <w:hideMark/>
          </w:tcPr>
          <w:p w14:paraId="3796151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120.8</w:t>
            </w:r>
          </w:p>
        </w:tc>
        <w:tc>
          <w:tcPr>
            <w:tcW w:w="1033" w:type="dxa"/>
            <w:tcBorders>
              <w:top w:val="nil"/>
              <w:left w:val="nil"/>
              <w:bottom w:val="nil"/>
              <w:right w:val="nil"/>
            </w:tcBorders>
            <w:shd w:val="clear" w:color="auto" w:fill="auto"/>
            <w:vAlign w:val="center"/>
            <w:hideMark/>
          </w:tcPr>
          <w:p w14:paraId="13B3F391"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2.61</w:t>
            </w:r>
            <w:r>
              <w:rPr>
                <w:rFonts w:ascii="Arial Narrow" w:eastAsia="Times New Roman" w:hAnsi="Arial Narrow"/>
                <w:color w:val="000000"/>
                <w:sz w:val="18"/>
                <w:szCs w:val="18"/>
                <w:vertAlign w:val="superscript"/>
                <w:lang w:val="en-AU" w:eastAsia="en-AU"/>
              </w:rPr>
              <w:t>(k</w:t>
            </w:r>
            <w:r w:rsidRPr="00FC6B93">
              <w:rPr>
                <w:rFonts w:ascii="Arial Narrow" w:eastAsia="Times New Roman" w:hAnsi="Arial Narrow"/>
                <w:color w:val="000000"/>
                <w:sz w:val="18"/>
                <w:szCs w:val="18"/>
                <w:vertAlign w:val="superscript"/>
                <w:lang w:val="en-AU" w:eastAsia="en-AU"/>
              </w:rPr>
              <w:t>)</w:t>
            </w:r>
          </w:p>
        </w:tc>
        <w:tc>
          <w:tcPr>
            <w:tcW w:w="900" w:type="dxa"/>
            <w:tcBorders>
              <w:top w:val="nil"/>
              <w:left w:val="nil"/>
              <w:bottom w:val="nil"/>
              <w:right w:val="nil"/>
            </w:tcBorders>
            <w:shd w:val="clear" w:color="auto" w:fill="auto"/>
            <w:vAlign w:val="center"/>
            <w:hideMark/>
          </w:tcPr>
          <w:p w14:paraId="7993BDD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3.17</w:t>
            </w:r>
          </w:p>
        </w:tc>
        <w:tc>
          <w:tcPr>
            <w:tcW w:w="866" w:type="dxa"/>
            <w:tcBorders>
              <w:top w:val="nil"/>
              <w:left w:val="nil"/>
              <w:bottom w:val="nil"/>
              <w:right w:val="dotted" w:sz="4" w:space="0" w:color="auto"/>
            </w:tcBorders>
            <w:shd w:val="clear" w:color="auto" w:fill="auto"/>
            <w:vAlign w:val="center"/>
            <w:hideMark/>
          </w:tcPr>
          <w:p w14:paraId="33E6DBD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3.78</w:t>
            </w:r>
          </w:p>
        </w:tc>
        <w:tc>
          <w:tcPr>
            <w:tcW w:w="651" w:type="dxa"/>
            <w:tcBorders>
              <w:top w:val="nil"/>
              <w:left w:val="nil"/>
              <w:bottom w:val="nil"/>
              <w:right w:val="nil"/>
            </w:tcBorders>
            <w:shd w:val="clear" w:color="auto" w:fill="auto"/>
            <w:vAlign w:val="center"/>
            <w:hideMark/>
          </w:tcPr>
          <w:p w14:paraId="3A8C8EF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161</w:t>
            </w:r>
          </w:p>
        </w:tc>
        <w:tc>
          <w:tcPr>
            <w:tcW w:w="651" w:type="dxa"/>
            <w:tcBorders>
              <w:top w:val="nil"/>
              <w:left w:val="nil"/>
              <w:bottom w:val="nil"/>
              <w:right w:val="nil"/>
            </w:tcBorders>
            <w:shd w:val="clear" w:color="auto" w:fill="auto"/>
            <w:vAlign w:val="center"/>
            <w:hideMark/>
          </w:tcPr>
          <w:p w14:paraId="3D5554A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321</w:t>
            </w:r>
          </w:p>
        </w:tc>
        <w:tc>
          <w:tcPr>
            <w:tcW w:w="852" w:type="dxa"/>
            <w:tcBorders>
              <w:top w:val="nil"/>
              <w:left w:val="nil"/>
              <w:bottom w:val="nil"/>
              <w:right w:val="nil"/>
            </w:tcBorders>
            <w:shd w:val="clear" w:color="auto" w:fill="auto"/>
            <w:vAlign w:val="center"/>
            <w:hideMark/>
          </w:tcPr>
          <w:p w14:paraId="0D9C4F20"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66</w:t>
            </w:r>
            <w:r w:rsidRPr="006E4EFA">
              <w:rPr>
                <w:rFonts w:ascii="Arial Narrow" w:eastAsia="Times New Roman" w:hAnsi="Arial Narrow"/>
                <w:color w:val="000000"/>
                <w:sz w:val="18"/>
                <w:szCs w:val="18"/>
                <w:lang w:val="en-AU" w:eastAsia="en-AU"/>
              </w:rPr>
              <w:t>5</w:t>
            </w:r>
          </w:p>
        </w:tc>
      </w:tr>
      <w:tr w:rsidR="003A7D85" w:rsidRPr="006E4EFA" w14:paraId="133FCD6C" w14:textId="77777777" w:rsidTr="003D1270">
        <w:trPr>
          <w:trHeight w:val="300"/>
        </w:trPr>
        <w:tc>
          <w:tcPr>
            <w:tcW w:w="1888" w:type="dxa"/>
            <w:tcBorders>
              <w:top w:val="nil"/>
              <w:left w:val="nil"/>
              <w:bottom w:val="nil"/>
              <w:right w:val="nil"/>
            </w:tcBorders>
            <w:shd w:val="clear" w:color="auto" w:fill="auto"/>
            <w:vAlign w:val="center"/>
            <w:hideMark/>
          </w:tcPr>
          <w:p w14:paraId="125B29B6"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p>
        </w:tc>
        <w:tc>
          <w:tcPr>
            <w:tcW w:w="959" w:type="dxa"/>
            <w:tcBorders>
              <w:top w:val="nil"/>
              <w:left w:val="nil"/>
              <w:bottom w:val="nil"/>
              <w:right w:val="dotted" w:sz="4" w:space="0" w:color="auto"/>
            </w:tcBorders>
            <w:shd w:val="clear" w:color="auto" w:fill="auto"/>
            <w:vAlign w:val="center"/>
            <w:hideMark/>
          </w:tcPr>
          <w:p w14:paraId="4E5BF37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120.8</w:t>
            </w:r>
          </w:p>
        </w:tc>
        <w:tc>
          <w:tcPr>
            <w:tcW w:w="1033" w:type="dxa"/>
            <w:tcBorders>
              <w:top w:val="nil"/>
              <w:left w:val="nil"/>
              <w:bottom w:val="nil"/>
              <w:right w:val="nil"/>
            </w:tcBorders>
            <w:shd w:val="clear" w:color="auto" w:fill="auto"/>
            <w:vAlign w:val="center"/>
            <w:hideMark/>
          </w:tcPr>
          <w:p w14:paraId="38993AC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3.17</w:t>
            </w:r>
          </w:p>
        </w:tc>
        <w:tc>
          <w:tcPr>
            <w:tcW w:w="900" w:type="dxa"/>
            <w:tcBorders>
              <w:top w:val="nil"/>
              <w:left w:val="nil"/>
              <w:bottom w:val="nil"/>
              <w:right w:val="nil"/>
            </w:tcBorders>
            <w:shd w:val="clear" w:color="auto" w:fill="auto"/>
            <w:vAlign w:val="center"/>
            <w:hideMark/>
          </w:tcPr>
          <w:p w14:paraId="6971F1B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5352BD2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651" w:type="dxa"/>
            <w:tcBorders>
              <w:top w:val="nil"/>
              <w:left w:val="nil"/>
              <w:bottom w:val="nil"/>
              <w:right w:val="nil"/>
            </w:tcBorders>
            <w:shd w:val="clear" w:color="auto" w:fill="auto"/>
            <w:vAlign w:val="center"/>
            <w:hideMark/>
          </w:tcPr>
          <w:p w14:paraId="282EE8B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hideMark/>
          </w:tcPr>
          <w:p w14:paraId="2AA3929F"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603CB02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755</w:t>
            </w:r>
          </w:p>
        </w:tc>
      </w:tr>
      <w:tr w:rsidR="003D1270" w:rsidRPr="006E4EFA" w14:paraId="6F04BB89" w14:textId="77777777" w:rsidTr="003D1270">
        <w:trPr>
          <w:trHeight w:val="300"/>
        </w:trPr>
        <w:tc>
          <w:tcPr>
            <w:tcW w:w="1888" w:type="dxa"/>
            <w:tcBorders>
              <w:top w:val="nil"/>
              <w:left w:val="nil"/>
              <w:bottom w:val="nil"/>
              <w:right w:val="nil"/>
            </w:tcBorders>
            <w:shd w:val="clear" w:color="auto" w:fill="auto"/>
            <w:vAlign w:val="center"/>
          </w:tcPr>
          <w:p w14:paraId="11B8739E" w14:textId="77777777" w:rsidR="003D1270" w:rsidRPr="006E4EFA" w:rsidRDefault="003D1270"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Sydney Water</w:t>
            </w:r>
          </w:p>
        </w:tc>
        <w:tc>
          <w:tcPr>
            <w:tcW w:w="959" w:type="dxa"/>
            <w:tcBorders>
              <w:top w:val="nil"/>
              <w:left w:val="nil"/>
              <w:bottom w:val="nil"/>
              <w:right w:val="dotted" w:sz="4" w:space="0" w:color="auto"/>
            </w:tcBorders>
            <w:shd w:val="clear" w:color="auto" w:fill="auto"/>
            <w:vAlign w:val="center"/>
          </w:tcPr>
          <w:p w14:paraId="6C381D88" w14:textId="77777777" w:rsidR="003D1270"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3FD1DFE5"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718726D6"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68E9C6FE"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6B83E3CD"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3DC70E08" w14:textId="77777777" w:rsidR="003D1270" w:rsidRPr="006E4EFA" w:rsidRDefault="003D1270"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tcPr>
          <w:p w14:paraId="18722BBD"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0FF83DD7" w14:textId="77777777" w:rsidTr="003D1270">
        <w:trPr>
          <w:trHeight w:val="300"/>
        </w:trPr>
        <w:tc>
          <w:tcPr>
            <w:tcW w:w="1888" w:type="dxa"/>
            <w:tcBorders>
              <w:top w:val="nil"/>
              <w:left w:val="nil"/>
              <w:bottom w:val="nil"/>
              <w:right w:val="nil"/>
            </w:tcBorders>
            <w:shd w:val="clear" w:color="auto" w:fill="auto"/>
            <w:vAlign w:val="center"/>
            <w:hideMark/>
          </w:tcPr>
          <w:p w14:paraId="239B7AB8"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residential</w:t>
            </w:r>
          </w:p>
        </w:tc>
        <w:tc>
          <w:tcPr>
            <w:tcW w:w="959" w:type="dxa"/>
            <w:tcBorders>
              <w:top w:val="nil"/>
              <w:left w:val="nil"/>
              <w:bottom w:val="nil"/>
              <w:right w:val="dotted" w:sz="4" w:space="0" w:color="auto"/>
            </w:tcBorders>
            <w:shd w:val="clear" w:color="auto" w:fill="auto"/>
            <w:vAlign w:val="center"/>
            <w:hideMark/>
          </w:tcPr>
          <w:p w14:paraId="1EBFB9B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90</w:t>
            </w:r>
          </w:p>
        </w:tc>
        <w:tc>
          <w:tcPr>
            <w:tcW w:w="1033" w:type="dxa"/>
            <w:tcBorders>
              <w:top w:val="nil"/>
              <w:left w:val="nil"/>
              <w:bottom w:val="nil"/>
              <w:right w:val="nil"/>
            </w:tcBorders>
            <w:shd w:val="clear" w:color="auto" w:fill="auto"/>
            <w:vAlign w:val="center"/>
            <w:hideMark/>
          </w:tcPr>
          <w:p w14:paraId="3C4559C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2.00</w:t>
            </w:r>
          </w:p>
        </w:tc>
        <w:tc>
          <w:tcPr>
            <w:tcW w:w="900" w:type="dxa"/>
            <w:tcBorders>
              <w:top w:val="nil"/>
              <w:left w:val="nil"/>
              <w:bottom w:val="nil"/>
              <w:right w:val="nil"/>
            </w:tcBorders>
            <w:shd w:val="clear" w:color="auto" w:fill="auto"/>
            <w:vAlign w:val="center"/>
            <w:hideMark/>
          </w:tcPr>
          <w:p w14:paraId="4B922A7E"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4174FFA3"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407FDE37"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047CC132"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410C4D2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490</w:t>
            </w:r>
          </w:p>
        </w:tc>
      </w:tr>
      <w:tr w:rsidR="003A7D85" w:rsidRPr="006E4EFA" w14:paraId="4D5EF0C7" w14:textId="77777777" w:rsidTr="003D1270">
        <w:trPr>
          <w:trHeight w:val="315"/>
        </w:trPr>
        <w:tc>
          <w:tcPr>
            <w:tcW w:w="1888" w:type="dxa"/>
            <w:tcBorders>
              <w:top w:val="nil"/>
              <w:left w:val="nil"/>
              <w:bottom w:val="nil"/>
              <w:right w:val="nil"/>
            </w:tcBorders>
            <w:shd w:val="clear" w:color="auto" w:fill="auto"/>
            <w:vAlign w:val="center"/>
            <w:hideMark/>
          </w:tcPr>
          <w:p w14:paraId="416919D4"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Pr>
                <w:rFonts w:ascii="Arial Narrow" w:eastAsia="Times New Roman" w:hAnsi="Arial Narrow"/>
                <w:color w:val="000000"/>
                <w:sz w:val="18"/>
                <w:szCs w:val="18"/>
                <w:vertAlign w:val="superscript"/>
                <w:lang w:val="en-AU" w:eastAsia="en-AU"/>
              </w:rPr>
              <w:t>(l</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7810A0B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90</w:t>
            </w:r>
          </w:p>
        </w:tc>
        <w:tc>
          <w:tcPr>
            <w:tcW w:w="1033" w:type="dxa"/>
            <w:tcBorders>
              <w:top w:val="nil"/>
              <w:left w:val="nil"/>
              <w:bottom w:val="nil"/>
              <w:right w:val="nil"/>
            </w:tcBorders>
            <w:shd w:val="clear" w:color="auto" w:fill="auto"/>
            <w:vAlign w:val="center"/>
            <w:hideMark/>
          </w:tcPr>
          <w:p w14:paraId="30F3AB3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2.00</w:t>
            </w:r>
          </w:p>
        </w:tc>
        <w:tc>
          <w:tcPr>
            <w:tcW w:w="900" w:type="dxa"/>
            <w:tcBorders>
              <w:top w:val="nil"/>
              <w:left w:val="nil"/>
              <w:bottom w:val="nil"/>
              <w:right w:val="nil"/>
            </w:tcBorders>
            <w:shd w:val="clear" w:color="auto" w:fill="auto"/>
            <w:vAlign w:val="center"/>
            <w:hideMark/>
          </w:tcPr>
          <w:p w14:paraId="0EFBF8C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7383D30A"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2344244A"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0830F5E4"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5955D87C"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490</w:t>
            </w:r>
          </w:p>
        </w:tc>
      </w:tr>
      <w:tr w:rsidR="003A7D85" w:rsidRPr="006E4EFA" w14:paraId="737AE8BF" w14:textId="77777777" w:rsidTr="003D1270">
        <w:trPr>
          <w:trHeight w:val="315"/>
        </w:trPr>
        <w:tc>
          <w:tcPr>
            <w:tcW w:w="1888" w:type="dxa"/>
            <w:tcBorders>
              <w:top w:val="nil"/>
              <w:left w:val="nil"/>
              <w:bottom w:val="nil"/>
              <w:right w:val="nil"/>
            </w:tcBorders>
            <w:shd w:val="clear" w:color="auto" w:fill="auto"/>
            <w:vAlign w:val="center"/>
            <w:hideMark/>
          </w:tcPr>
          <w:p w14:paraId="4E47D311"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business</w:t>
            </w:r>
            <w:r>
              <w:rPr>
                <w:rFonts w:ascii="Arial Narrow" w:eastAsia="Times New Roman" w:hAnsi="Arial Narrow"/>
                <w:color w:val="000000"/>
                <w:sz w:val="18"/>
                <w:szCs w:val="18"/>
                <w:vertAlign w:val="superscript"/>
                <w:lang w:val="en-AU" w:eastAsia="en-AU"/>
              </w:rPr>
              <w:t>(m</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347905AC"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80,955</w:t>
            </w:r>
          </w:p>
        </w:tc>
        <w:tc>
          <w:tcPr>
            <w:tcW w:w="1033" w:type="dxa"/>
            <w:tcBorders>
              <w:top w:val="nil"/>
              <w:left w:val="nil"/>
              <w:bottom w:val="nil"/>
              <w:right w:val="nil"/>
            </w:tcBorders>
            <w:shd w:val="clear" w:color="auto" w:fill="auto"/>
            <w:vAlign w:val="center"/>
            <w:hideMark/>
          </w:tcPr>
          <w:p w14:paraId="21DB70CD"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2.00</w:t>
            </w:r>
          </w:p>
        </w:tc>
        <w:tc>
          <w:tcPr>
            <w:tcW w:w="900" w:type="dxa"/>
            <w:tcBorders>
              <w:top w:val="nil"/>
              <w:left w:val="nil"/>
              <w:bottom w:val="nil"/>
              <w:right w:val="nil"/>
            </w:tcBorders>
            <w:shd w:val="clear" w:color="auto" w:fill="auto"/>
            <w:vAlign w:val="center"/>
            <w:hideMark/>
          </w:tcPr>
          <w:p w14:paraId="7A832FB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15CAE8C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w:t>
            </w:r>
          </w:p>
        </w:tc>
        <w:tc>
          <w:tcPr>
            <w:tcW w:w="651" w:type="dxa"/>
            <w:tcBorders>
              <w:top w:val="nil"/>
              <w:left w:val="nil"/>
              <w:bottom w:val="nil"/>
              <w:right w:val="nil"/>
            </w:tcBorders>
            <w:shd w:val="clear" w:color="auto" w:fill="auto"/>
            <w:vAlign w:val="center"/>
            <w:hideMark/>
          </w:tcPr>
          <w:p w14:paraId="245218F4"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651" w:type="dxa"/>
            <w:tcBorders>
              <w:top w:val="nil"/>
              <w:left w:val="nil"/>
              <w:bottom w:val="nil"/>
              <w:right w:val="nil"/>
            </w:tcBorders>
            <w:shd w:val="clear" w:color="auto" w:fill="auto"/>
            <w:vAlign w:val="center"/>
            <w:hideMark/>
          </w:tcPr>
          <w:p w14:paraId="7C94149D"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57E7D24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81,355</w:t>
            </w:r>
          </w:p>
        </w:tc>
      </w:tr>
      <w:tr w:rsidR="003D1270" w:rsidRPr="006E4EFA" w14:paraId="408F08E9" w14:textId="77777777" w:rsidTr="003D1270">
        <w:trPr>
          <w:trHeight w:val="315"/>
        </w:trPr>
        <w:tc>
          <w:tcPr>
            <w:tcW w:w="1888" w:type="dxa"/>
            <w:tcBorders>
              <w:top w:val="nil"/>
              <w:left w:val="nil"/>
              <w:bottom w:val="nil"/>
              <w:right w:val="nil"/>
            </w:tcBorders>
            <w:shd w:val="clear" w:color="auto" w:fill="auto"/>
            <w:vAlign w:val="center"/>
          </w:tcPr>
          <w:p w14:paraId="4D3FEA5C" w14:textId="77777777" w:rsidR="003D1270" w:rsidRDefault="003D1270" w:rsidP="008013DA">
            <w:pPr>
              <w:spacing w:after="0" w:line="240" w:lineRule="auto"/>
              <w:rPr>
                <w:rFonts w:ascii="Arial Narrow" w:eastAsia="Times New Roman" w:hAnsi="Arial Narrow"/>
                <w:color w:val="000000"/>
                <w:sz w:val="18"/>
                <w:szCs w:val="18"/>
                <w:lang w:val="en-AU" w:eastAsia="en-AU"/>
              </w:rPr>
            </w:pPr>
            <w:r>
              <w:rPr>
                <w:rFonts w:ascii="Arial Narrow" w:eastAsia="Times New Roman" w:hAnsi="Arial Narrow"/>
                <w:color w:val="000000"/>
                <w:sz w:val="18"/>
                <w:szCs w:val="18"/>
                <w:lang w:val="en-AU" w:eastAsia="en-AU"/>
              </w:rPr>
              <w:t>TasWater</w:t>
            </w:r>
          </w:p>
        </w:tc>
        <w:tc>
          <w:tcPr>
            <w:tcW w:w="959" w:type="dxa"/>
            <w:tcBorders>
              <w:top w:val="nil"/>
              <w:left w:val="nil"/>
              <w:bottom w:val="nil"/>
              <w:right w:val="dotted" w:sz="4" w:space="0" w:color="auto"/>
            </w:tcBorders>
            <w:shd w:val="clear" w:color="auto" w:fill="auto"/>
            <w:vAlign w:val="center"/>
          </w:tcPr>
          <w:p w14:paraId="280EB8BE"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1033" w:type="dxa"/>
            <w:tcBorders>
              <w:top w:val="nil"/>
              <w:left w:val="nil"/>
              <w:bottom w:val="nil"/>
              <w:right w:val="nil"/>
            </w:tcBorders>
            <w:shd w:val="clear" w:color="auto" w:fill="auto"/>
            <w:vAlign w:val="center"/>
          </w:tcPr>
          <w:p w14:paraId="57D22B63"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900" w:type="dxa"/>
            <w:tcBorders>
              <w:top w:val="nil"/>
              <w:left w:val="nil"/>
              <w:bottom w:val="nil"/>
              <w:right w:val="nil"/>
            </w:tcBorders>
            <w:shd w:val="clear" w:color="auto" w:fill="auto"/>
            <w:vAlign w:val="center"/>
          </w:tcPr>
          <w:p w14:paraId="34D7510D"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tcPr>
          <w:p w14:paraId="434D42A1"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0601EB57" w14:textId="77777777" w:rsidR="003D1270" w:rsidRPr="006E4EFA" w:rsidRDefault="003D1270"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tcPr>
          <w:p w14:paraId="12AE1BB6" w14:textId="77777777" w:rsidR="003D1270" w:rsidRPr="006E4EFA" w:rsidRDefault="003D1270"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tcPr>
          <w:p w14:paraId="3C69C3F3" w14:textId="77777777" w:rsidR="003D1270" w:rsidRPr="006E4EFA" w:rsidRDefault="003D1270" w:rsidP="003A7D85">
            <w:pPr>
              <w:spacing w:after="0" w:line="240" w:lineRule="auto"/>
              <w:jc w:val="right"/>
              <w:rPr>
                <w:rFonts w:ascii="Arial Narrow" w:eastAsia="Times New Roman" w:hAnsi="Arial Narrow"/>
                <w:color w:val="000000"/>
                <w:sz w:val="18"/>
                <w:szCs w:val="18"/>
                <w:lang w:val="en-AU" w:eastAsia="en-AU"/>
              </w:rPr>
            </w:pPr>
          </w:p>
        </w:tc>
      </w:tr>
      <w:tr w:rsidR="003A7D85" w:rsidRPr="006E4EFA" w14:paraId="513F4ACC" w14:textId="77777777" w:rsidTr="003D1270">
        <w:trPr>
          <w:trHeight w:val="315"/>
        </w:trPr>
        <w:tc>
          <w:tcPr>
            <w:tcW w:w="1888" w:type="dxa"/>
            <w:tcBorders>
              <w:top w:val="nil"/>
              <w:left w:val="nil"/>
              <w:bottom w:val="nil"/>
              <w:right w:val="nil"/>
            </w:tcBorders>
            <w:shd w:val="clear" w:color="auto" w:fill="auto"/>
            <w:vAlign w:val="center"/>
            <w:hideMark/>
          </w:tcPr>
          <w:p w14:paraId="4A559EFF" w14:textId="77777777" w:rsidR="003A7D85" w:rsidRPr="006E4EFA" w:rsidRDefault="003A7D85" w:rsidP="008013DA">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w:t>
            </w:r>
            <w:r>
              <w:rPr>
                <w:rFonts w:ascii="Arial Narrow" w:eastAsia="Times New Roman" w:hAnsi="Arial Narrow"/>
                <w:color w:val="000000"/>
                <w:sz w:val="18"/>
                <w:szCs w:val="18"/>
                <w:lang w:val="en-AU" w:eastAsia="en-AU"/>
              </w:rPr>
              <w:t xml:space="preserve"> </w:t>
            </w:r>
            <w:r w:rsidRPr="006E4EFA">
              <w:rPr>
                <w:rFonts w:ascii="Arial Narrow" w:eastAsia="Times New Roman" w:hAnsi="Arial Narrow"/>
                <w:color w:val="000000"/>
                <w:sz w:val="18"/>
                <w:szCs w:val="18"/>
                <w:lang w:val="en-AU" w:eastAsia="en-AU"/>
              </w:rPr>
              <w:t>res</w:t>
            </w:r>
            <w:r>
              <w:rPr>
                <w:rFonts w:ascii="Arial Narrow" w:eastAsia="Times New Roman" w:hAnsi="Arial Narrow"/>
                <w:color w:val="000000"/>
                <w:sz w:val="18"/>
                <w:szCs w:val="18"/>
                <w:lang w:val="en-AU" w:eastAsia="en-AU"/>
              </w:rPr>
              <w:t>idential</w:t>
            </w:r>
            <w:r w:rsidRPr="006E4EFA">
              <w:rPr>
                <w:rFonts w:ascii="Arial Narrow" w:eastAsia="Times New Roman" w:hAnsi="Arial Narrow"/>
                <w:color w:val="000000"/>
                <w:sz w:val="18"/>
                <w:szCs w:val="18"/>
                <w:lang w:val="en-AU" w:eastAsia="en-AU"/>
              </w:rPr>
              <w:t xml:space="preserve"> &amp; business</w:t>
            </w:r>
            <w:r>
              <w:rPr>
                <w:rFonts w:ascii="Arial Narrow" w:eastAsia="Times New Roman" w:hAnsi="Arial Narrow"/>
                <w:color w:val="000000"/>
                <w:sz w:val="18"/>
                <w:szCs w:val="18"/>
                <w:vertAlign w:val="superscript"/>
                <w:lang w:val="en-AU" w:eastAsia="en-AU"/>
              </w:rPr>
              <w:t>(n</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nil"/>
              <w:right w:val="dotted" w:sz="4" w:space="0" w:color="auto"/>
            </w:tcBorders>
            <w:shd w:val="clear" w:color="auto" w:fill="auto"/>
            <w:vAlign w:val="center"/>
            <w:hideMark/>
          </w:tcPr>
          <w:p w14:paraId="51C179FF"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329.48</w:t>
            </w:r>
          </w:p>
        </w:tc>
        <w:tc>
          <w:tcPr>
            <w:tcW w:w="1033" w:type="dxa"/>
            <w:tcBorders>
              <w:top w:val="nil"/>
              <w:left w:val="nil"/>
              <w:bottom w:val="nil"/>
              <w:right w:val="nil"/>
            </w:tcBorders>
            <w:shd w:val="clear" w:color="auto" w:fill="auto"/>
            <w:vAlign w:val="center"/>
            <w:hideMark/>
          </w:tcPr>
          <w:p w14:paraId="067211EB"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1.00</w:t>
            </w:r>
          </w:p>
        </w:tc>
        <w:tc>
          <w:tcPr>
            <w:tcW w:w="900" w:type="dxa"/>
            <w:tcBorders>
              <w:top w:val="nil"/>
              <w:left w:val="nil"/>
              <w:bottom w:val="nil"/>
              <w:right w:val="nil"/>
            </w:tcBorders>
            <w:shd w:val="clear" w:color="auto" w:fill="auto"/>
            <w:vAlign w:val="center"/>
            <w:hideMark/>
          </w:tcPr>
          <w:p w14:paraId="61261586"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p>
        </w:tc>
        <w:tc>
          <w:tcPr>
            <w:tcW w:w="866" w:type="dxa"/>
            <w:tcBorders>
              <w:top w:val="nil"/>
              <w:left w:val="nil"/>
              <w:bottom w:val="nil"/>
              <w:right w:val="dotted" w:sz="4" w:space="0" w:color="auto"/>
            </w:tcBorders>
            <w:shd w:val="clear" w:color="auto" w:fill="auto"/>
            <w:vAlign w:val="center"/>
            <w:hideMark/>
          </w:tcPr>
          <w:p w14:paraId="0D149584"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nil"/>
              <w:right w:val="nil"/>
            </w:tcBorders>
            <w:shd w:val="clear" w:color="auto" w:fill="auto"/>
            <w:vAlign w:val="center"/>
            <w:hideMark/>
          </w:tcPr>
          <w:p w14:paraId="69B8A8A4"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p>
        </w:tc>
        <w:tc>
          <w:tcPr>
            <w:tcW w:w="651" w:type="dxa"/>
            <w:tcBorders>
              <w:top w:val="nil"/>
              <w:left w:val="nil"/>
              <w:bottom w:val="nil"/>
              <w:right w:val="nil"/>
            </w:tcBorders>
            <w:shd w:val="clear" w:color="auto" w:fill="auto"/>
            <w:vAlign w:val="center"/>
            <w:hideMark/>
          </w:tcPr>
          <w:p w14:paraId="6C2A848D" w14:textId="77777777" w:rsidR="003A7D85" w:rsidRPr="006E4EFA" w:rsidRDefault="003A7D85" w:rsidP="003A7D85">
            <w:pPr>
              <w:spacing w:after="0" w:line="240" w:lineRule="auto"/>
              <w:jc w:val="right"/>
              <w:rPr>
                <w:rFonts w:eastAsia="Times New Roman"/>
                <w:sz w:val="20"/>
                <w:lang w:val="en-AU" w:eastAsia="en-AU"/>
              </w:rPr>
            </w:pPr>
          </w:p>
        </w:tc>
        <w:tc>
          <w:tcPr>
            <w:tcW w:w="852" w:type="dxa"/>
            <w:tcBorders>
              <w:top w:val="nil"/>
              <w:left w:val="nil"/>
              <w:bottom w:val="nil"/>
              <w:right w:val="nil"/>
            </w:tcBorders>
            <w:shd w:val="clear" w:color="auto" w:fill="auto"/>
            <w:vAlign w:val="center"/>
            <w:hideMark/>
          </w:tcPr>
          <w:p w14:paraId="362C016C"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529</w:t>
            </w:r>
          </w:p>
        </w:tc>
      </w:tr>
      <w:tr w:rsidR="003A7D85" w:rsidRPr="006E4EFA" w14:paraId="2E38B6FB" w14:textId="77777777" w:rsidTr="003D1270">
        <w:trPr>
          <w:trHeight w:val="330"/>
        </w:trPr>
        <w:tc>
          <w:tcPr>
            <w:tcW w:w="1888" w:type="dxa"/>
            <w:tcBorders>
              <w:top w:val="nil"/>
              <w:left w:val="nil"/>
              <w:bottom w:val="single" w:sz="12" w:space="0" w:color="1F497D"/>
              <w:right w:val="nil"/>
            </w:tcBorders>
            <w:shd w:val="clear" w:color="auto" w:fill="auto"/>
            <w:vAlign w:val="center"/>
            <w:hideMark/>
          </w:tcPr>
          <w:p w14:paraId="042567A7" w14:textId="77777777" w:rsidR="003A7D85" w:rsidRPr="006E4EFA" w:rsidRDefault="003A7D85" w:rsidP="003A7D85">
            <w:pPr>
              <w:spacing w:after="0" w:line="240" w:lineRule="auto"/>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 res</w:t>
            </w:r>
            <w:r>
              <w:rPr>
                <w:rFonts w:ascii="Arial Narrow" w:eastAsia="Times New Roman" w:hAnsi="Arial Narrow"/>
                <w:color w:val="000000"/>
                <w:sz w:val="18"/>
                <w:szCs w:val="18"/>
                <w:lang w:val="en-AU" w:eastAsia="en-AU"/>
              </w:rPr>
              <w:t>idential</w:t>
            </w:r>
            <w:r w:rsidRPr="006E4EFA">
              <w:rPr>
                <w:rFonts w:ascii="Arial Narrow" w:eastAsia="Times New Roman" w:hAnsi="Arial Narrow"/>
                <w:color w:val="000000"/>
                <w:sz w:val="18"/>
                <w:szCs w:val="18"/>
                <w:lang w:val="en-AU" w:eastAsia="en-AU"/>
              </w:rPr>
              <w:t xml:space="preserve"> &amp; business</w:t>
            </w:r>
            <w:r>
              <w:rPr>
                <w:rFonts w:ascii="Arial Narrow" w:eastAsia="Times New Roman" w:hAnsi="Arial Narrow"/>
                <w:color w:val="000000"/>
                <w:sz w:val="18"/>
                <w:szCs w:val="18"/>
                <w:vertAlign w:val="superscript"/>
                <w:lang w:val="en-AU" w:eastAsia="en-AU"/>
              </w:rPr>
              <w:t>(o</w:t>
            </w:r>
            <w:r w:rsidRPr="006E4EFA">
              <w:rPr>
                <w:rFonts w:ascii="Arial Narrow" w:eastAsia="Times New Roman" w:hAnsi="Arial Narrow"/>
                <w:color w:val="000000"/>
                <w:sz w:val="18"/>
                <w:szCs w:val="18"/>
                <w:vertAlign w:val="superscript"/>
                <w:lang w:val="en-AU" w:eastAsia="en-AU"/>
              </w:rPr>
              <w:t>)</w:t>
            </w:r>
          </w:p>
        </w:tc>
        <w:tc>
          <w:tcPr>
            <w:tcW w:w="959" w:type="dxa"/>
            <w:tcBorders>
              <w:top w:val="nil"/>
              <w:left w:val="nil"/>
              <w:bottom w:val="single" w:sz="12" w:space="0" w:color="1F497D"/>
              <w:right w:val="dotted" w:sz="4" w:space="0" w:color="auto"/>
            </w:tcBorders>
            <w:shd w:val="clear" w:color="auto" w:fill="auto"/>
            <w:vAlign w:val="center"/>
            <w:hideMark/>
          </w:tcPr>
          <w:p w14:paraId="2A062898"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51,481</w:t>
            </w:r>
          </w:p>
        </w:tc>
        <w:tc>
          <w:tcPr>
            <w:tcW w:w="1033" w:type="dxa"/>
            <w:tcBorders>
              <w:top w:val="nil"/>
              <w:left w:val="nil"/>
              <w:bottom w:val="single" w:sz="12" w:space="0" w:color="1F497D"/>
              <w:right w:val="nil"/>
            </w:tcBorders>
            <w:shd w:val="clear" w:color="auto" w:fill="auto"/>
            <w:vAlign w:val="center"/>
            <w:hideMark/>
          </w:tcPr>
          <w:p w14:paraId="4950082A"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1.00</w:t>
            </w:r>
          </w:p>
        </w:tc>
        <w:tc>
          <w:tcPr>
            <w:tcW w:w="900" w:type="dxa"/>
            <w:tcBorders>
              <w:top w:val="nil"/>
              <w:left w:val="nil"/>
              <w:bottom w:val="single" w:sz="12" w:space="0" w:color="1F497D"/>
              <w:right w:val="nil"/>
            </w:tcBorders>
            <w:shd w:val="clear" w:color="auto" w:fill="auto"/>
            <w:vAlign w:val="center"/>
            <w:hideMark/>
          </w:tcPr>
          <w:p w14:paraId="1E560EE6"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866" w:type="dxa"/>
            <w:tcBorders>
              <w:top w:val="nil"/>
              <w:left w:val="nil"/>
              <w:bottom w:val="single" w:sz="12" w:space="0" w:color="1F497D"/>
              <w:right w:val="dotted" w:sz="4" w:space="0" w:color="auto"/>
            </w:tcBorders>
            <w:shd w:val="clear" w:color="auto" w:fill="auto"/>
            <w:vAlign w:val="center"/>
            <w:hideMark/>
          </w:tcPr>
          <w:p w14:paraId="668646A6"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single" w:sz="12" w:space="0" w:color="1F497D"/>
              <w:right w:val="nil"/>
            </w:tcBorders>
            <w:shd w:val="clear" w:color="auto" w:fill="auto"/>
            <w:vAlign w:val="center"/>
            <w:hideMark/>
          </w:tcPr>
          <w:p w14:paraId="485137E1"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651" w:type="dxa"/>
            <w:tcBorders>
              <w:top w:val="nil"/>
              <w:left w:val="nil"/>
              <w:bottom w:val="single" w:sz="12" w:space="0" w:color="1F497D"/>
              <w:right w:val="nil"/>
            </w:tcBorders>
            <w:shd w:val="clear" w:color="auto" w:fill="auto"/>
            <w:vAlign w:val="center"/>
            <w:hideMark/>
          </w:tcPr>
          <w:p w14:paraId="6ED989F4" w14:textId="77777777" w:rsidR="003A7D85" w:rsidRPr="006E4EFA" w:rsidRDefault="003A7D85" w:rsidP="003A7D85">
            <w:pPr>
              <w:spacing w:after="0" w:line="240" w:lineRule="auto"/>
              <w:jc w:val="right"/>
              <w:rPr>
                <w:rFonts w:ascii="Arial Narrow" w:eastAsia="Times New Roman" w:hAnsi="Arial Narrow"/>
                <w:b/>
                <w:bCs/>
                <w:color w:val="000033"/>
                <w:sz w:val="18"/>
                <w:szCs w:val="18"/>
                <w:lang w:val="en-AU" w:eastAsia="en-AU"/>
              </w:rPr>
            </w:pPr>
            <w:r w:rsidRPr="006E4EFA">
              <w:rPr>
                <w:rFonts w:ascii="Arial Narrow" w:eastAsia="Times New Roman" w:hAnsi="Arial Narrow"/>
                <w:b/>
                <w:bCs/>
                <w:color w:val="000033"/>
                <w:sz w:val="18"/>
                <w:szCs w:val="18"/>
                <w:lang w:val="en-AU" w:eastAsia="en-AU"/>
              </w:rPr>
              <w:t> </w:t>
            </w:r>
          </w:p>
        </w:tc>
        <w:tc>
          <w:tcPr>
            <w:tcW w:w="852" w:type="dxa"/>
            <w:tcBorders>
              <w:top w:val="nil"/>
              <w:left w:val="nil"/>
              <w:bottom w:val="single" w:sz="12" w:space="0" w:color="1F497D"/>
              <w:right w:val="nil"/>
            </w:tcBorders>
            <w:shd w:val="clear" w:color="auto" w:fill="auto"/>
            <w:vAlign w:val="center"/>
            <w:hideMark/>
          </w:tcPr>
          <w:p w14:paraId="2A8E3FF7" w14:textId="77777777" w:rsidR="003A7D85" w:rsidRPr="006E4EFA" w:rsidRDefault="003A7D85" w:rsidP="003A7D85">
            <w:pPr>
              <w:spacing w:after="0" w:line="240" w:lineRule="auto"/>
              <w:jc w:val="right"/>
              <w:rPr>
                <w:rFonts w:ascii="Arial Narrow" w:eastAsia="Times New Roman" w:hAnsi="Arial Narrow"/>
                <w:color w:val="000000"/>
                <w:sz w:val="18"/>
                <w:szCs w:val="18"/>
                <w:lang w:val="en-AU" w:eastAsia="en-AU"/>
              </w:rPr>
            </w:pPr>
            <w:r w:rsidRPr="006E4EFA">
              <w:rPr>
                <w:rFonts w:ascii="Arial Narrow" w:eastAsia="Times New Roman" w:hAnsi="Arial Narrow"/>
                <w:color w:val="000000"/>
                <w:sz w:val="18"/>
                <w:szCs w:val="18"/>
                <w:lang w:val="en-AU" w:eastAsia="en-AU"/>
              </w:rPr>
              <w:t>51,681</w:t>
            </w:r>
          </w:p>
        </w:tc>
      </w:tr>
    </w:tbl>
    <w:p w14:paraId="50D08344" w14:textId="77777777" w:rsidR="003A7D85" w:rsidRDefault="003A7D85" w:rsidP="003A7D85">
      <w:pPr>
        <w:pStyle w:val="TableNotesHanging"/>
        <w:keepLines w:val="0"/>
      </w:pPr>
      <w:r>
        <w:t>(a) Prices from 1 July 2016 to 31 December 2016.</w:t>
      </w:r>
    </w:p>
    <w:p w14:paraId="6A489780" w14:textId="77777777" w:rsidR="003A7D85" w:rsidRDefault="003A7D85" w:rsidP="003A7D85">
      <w:pPr>
        <w:pStyle w:val="TableNotesHanging"/>
        <w:keepLines w:val="0"/>
      </w:pPr>
      <w:r>
        <w:t>(b)</w:t>
      </w:r>
      <w:r w:rsidRPr="008A0348">
        <w:t xml:space="preserve"> </w:t>
      </w:r>
      <w:r>
        <w:t>One 20 mm connection.</w:t>
      </w:r>
    </w:p>
    <w:p w14:paraId="7DE8F47F" w14:textId="77777777" w:rsidR="003A7D85" w:rsidRDefault="003A7D85" w:rsidP="003A7D85">
      <w:pPr>
        <w:pStyle w:val="TableNotesHanging"/>
        <w:keepLines w:val="0"/>
      </w:pPr>
      <w:r>
        <w:t>(c)</w:t>
      </w:r>
      <w:r w:rsidRPr="008A0348">
        <w:t xml:space="preserve"> </w:t>
      </w:r>
      <w:r>
        <w:t>One 350 mm connection.</w:t>
      </w:r>
    </w:p>
    <w:p w14:paraId="6CF894A9" w14:textId="77777777" w:rsidR="003A7D85" w:rsidRDefault="003A7D85" w:rsidP="003A7D85">
      <w:pPr>
        <w:pStyle w:val="TableNotesHanging"/>
        <w:keepLines w:val="0"/>
      </w:pPr>
      <w:r>
        <w:t>(d) Depending on zone, quality and usage.</w:t>
      </w:r>
    </w:p>
    <w:p w14:paraId="176C0039" w14:textId="77777777" w:rsidR="003A7D85" w:rsidRDefault="003A7D85" w:rsidP="003A7D85">
      <w:pPr>
        <w:pStyle w:val="TableNotesHanging"/>
        <w:keepLines w:val="0"/>
        <w:ind w:left="0" w:firstLine="0"/>
      </w:pPr>
      <w:r>
        <w:t>(e)</w:t>
      </w:r>
      <w:r w:rsidRPr="008A0348">
        <w:t xml:space="preserve"> </w:t>
      </w:r>
      <w:r>
        <w:t xml:space="preserve">Tier rates calculated on a </w:t>
      </w:r>
      <w:r w:rsidR="000F09DA">
        <w:t>daily</w:t>
      </w:r>
      <w:r w:rsidR="009F7D9C">
        <w:t xml:space="preserve"> </w:t>
      </w:r>
      <w:r>
        <w:t>pro-rata basis and billed each quarter, so that Tier 2 can apply when annual consumption is less than 200</w:t>
      </w:r>
      <w:r w:rsidR="002E2C55">
        <w:t> </w:t>
      </w:r>
      <w:r>
        <w:t>kL per annum.</w:t>
      </w:r>
    </w:p>
    <w:p w14:paraId="255142AE" w14:textId="77777777" w:rsidR="003A7D85" w:rsidRDefault="003A7D85" w:rsidP="003A7D85">
      <w:pPr>
        <w:pStyle w:val="TableNotesHanging"/>
        <w:keepLines w:val="0"/>
        <w:ind w:left="0" w:firstLine="0"/>
      </w:pPr>
      <w:r>
        <w:lastRenderedPageBreak/>
        <w:t>(f)</w:t>
      </w:r>
      <w:r w:rsidRPr="008A0348">
        <w:t xml:space="preserve"> </w:t>
      </w:r>
      <w:r>
        <w:t>A daily residential supply charge of $0.8029 for one connection up to 25</w:t>
      </w:r>
      <w:r w:rsidR="003D1270">
        <w:t xml:space="preserve"> </w:t>
      </w:r>
      <w:r>
        <w:t>mm.</w:t>
      </w:r>
    </w:p>
    <w:p w14:paraId="3977DAFD" w14:textId="77777777" w:rsidR="003A7D85" w:rsidRDefault="003A7D85" w:rsidP="003A7D85">
      <w:pPr>
        <w:pStyle w:val="TableNotesHanging"/>
        <w:keepLines w:val="0"/>
        <w:ind w:left="0" w:firstLine="0"/>
      </w:pPr>
      <w:r>
        <w:t>(g)</w:t>
      </w:r>
      <w:r w:rsidRPr="008A0348">
        <w:t xml:space="preserve"> </w:t>
      </w:r>
      <w:r>
        <w:t>A daily commercial supply charge of $28.9016 for one connection between 101</w:t>
      </w:r>
      <w:r w:rsidR="003D1270">
        <w:t xml:space="preserve"> </w:t>
      </w:r>
      <w:r>
        <w:t>mm and 150</w:t>
      </w:r>
      <w:r w:rsidR="003D1270">
        <w:t xml:space="preserve"> </w:t>
      </w:r>
      <w:r>
        <w:t>mm.</w:t>
      </w:r>
    </w:p>
    <w:p w14:paraId="4618E437" w14:textId="77777777" w:rsidR="003A7D85" w:rsidRDefault="003A7D85" w:rsidP="003A7D85">
      <w:pPr>
        <w:pStyle w:val="TableNotesHanging"/>
        <w:keepLines w:val="0"/>
        <w:ind w:left="0" w:firstLine="0"/>
      </w:pPr>
      <w:r>
        <w:t>(h)</w:t>
      </w:r>
      <w:r w:rsidRPr="008A0348">
        <w:t xml:space="preserve"> </w:t>
      </w:r>
      <w:r>
        <w:t>Tier rates billed on a quarterly basis.</w:t>
      </w:r>
    </w:p>
    <w:p w14:paraId="43F7F6AF" w14:textId="77777777" w:rsidR="0042340F" w:rsidRDefault="0042340F" w:rsidP="0042340F">
      <w:pPr>
        <w:pStyle w:val="TableNotesHanging"/>
        <w:keepLines w:val="0"/>
        <w:ind w:left="0" w:firstLine="0"/>
      </w:pPr>
      <w:r>
        <w:t xml:space="preserve">(i) Water supply charge for business customers </w:t>
      </w:r>
      <w:proofErr w:type="gramStart"/>
      <w:r>
        <w:t>is based</w:t>
      </w:r>
      <w:proofErr w:type="gramEnd"/>
      <w:r>
        <w:t xml:space="preserve"> on</w:t>
      </w:r>
      <w:r w:rsidRPr="0029159C">
        <w:t xml:space="preserve"> property value with a minimum charge of $71.60 per quarter.</w:t>
      </w:r>
    </w:p>
    <w:p w14:paraId="1ABF7636" w14:textId="77777777" w:rsidR="003A7D85" w:rsidRDefault="0042340F" w:rsidP="0042340F">
      <w:pPr>
        <w:pStyle w:val="TableNotesHanging"/>
        <w:keepLines w:val="0"/>
        <w:ind w:left="0" w:firstLine="0"/>
      </w:pPr>
      <w:r>
        <w:t xml:space="preserve"> </w:t>
      </w:r>
      <w:r w:rsidR="003A7D85">
        <w:t>(j) Tier rates billed on a quarterly basis.</w:t>
      </w:r>
    </w:p>
    <w:p w14:paraId="3E26B8E7" w14:textId="77777777" w:rsidR="003A7D85" w:rsidRDefault="0042340F" w:rsidP="003A7D85">
      <w:pPr>
        <w:pStyle w:val="TableNotesHanging"/>
        <w:keepLines w:val="0"/>
        <w:ind w:left="0" w:firstLine="0"/>
      </w:pPr>
      <w:r w:rsidDel="0042340F">
        <w:t xml:space="preserve"> </w:t>
      </w:r>
      <w:r w:rsidR="003A7D85">
        <w:t>(k)</w:t>
      </w:r>
      <w:r w:rsidR="003A7D85" w:rsidRPr="00DA3B5D">
        <w:t xml:space="preserve"> </w:t>
      </w:r>
      <w:r w:rsidR="003A7D85">
        <w:t xml:space="preserve">Tier rates calculated on a </w:t>
      </w:r>
      <w:r w:rsidR="000F09DA">
        <w:t xml:space="preserve">daily </w:t>
      </w:r>
      <w:r w:rsidR="003A7D85">
        <w:t>pro-rata basis.</w:t>
      </w:r>
    </w:p>
    <w:p w14:paraId="6E90541A" w14:textId="77777777" w:rsidR="003A7D85" w:rsidRDefault="003A7D85" w:rsidP="003A7D85">
      <w:pPr>
        <w:pStyle w:val="TableNotesHanging"/>
        <w:keepLines w:val="0"/>
        <w:ind w:left="0" w:firstLine="0"/>
      </w:pPr>
      <w:r>
        <w:t>(l) 20 mm connection.</w:t>
      </w:r>
    </w:p>
    <w:p w14:paraId="31F74FA6" w14:textId="77777777" w:rsidR="003A7D85" w:rsidRDefault="003A7D85" w:rsidP="003A7D85">
      <w:pPr>
        <w:pStyle w:val="TableNotesHanging"/>
        <w:keepLines w:val="0"/>
        <w:ind w:left="0" w:firstLine="0"/>
      </w:pPr>
      <w:r>
        <w:t>(m) One 600 mm connection.</w:t>
      </w:r>
    </w:p>
    <w:p w14:paraId="77B763D9" w14:textId="77777777" w:rsidR="003A7D85" w:rsidRDefault="003A7D85" w:rsidP="003A7D85">
      <w:pPr>
        <w:pStyle w:val="TableNotesHanging"/>
        <w:keepLines w:val="0"/>
        <w:ind w:left="0" w:firstLine="0"/>
      </w:pPr>
      <w:r>
        <w:t>(n)</w:t>
      </w:r>
      <w:r w:rsidRPr="00E322B0">
        <w:t xml:space="preserve"> </w:t>
      </w:r>
      <w:r>
        <w:t>20 mm connection.</w:t>
      </w:r>
    </w:p>
    <w:p w14:paraId="517E8626" w14:textId="77777777" w:rsidR="003A7D85" w:rsidRDefault="003A7D85" w:rsidP="003A7D85">
      <w:pPr>
        <w:pStyle w:val="TableNotesHanging"/>
        <w:keepLines w:val="0"/>
        <w:ind w:left="0" w:firstLine="0"/>
      </w:pPr>
      <w:r>
        <w:t>(o)</w:t>
      </w:r>
      <w:r w:rsidRPr="00DA3B5D">
        <w:t xml:space="preserve"> </w:t>
      </w:r>
      <w:r>
        <w:t>One 250 mm connection.</w:t>
      </w:r>
    </w:p>
    <w:p w14:paraId="7DED45A1" w14:textId="77777777" w:rsidR="00980AB5" w:rsidRDefault="003A7D85">
      <w:pPr>
        <w:pStyle w:val="TableNotesHangingLast"/>
        <w:keepLines w:val="0"/>
        <w:spacing w:after="0"/>
        <w:ind w:left="0" w:firstLine="0"/>
      </w:pPr>
      <w:r>
        <w:t>Note:</w:t>
      </w:r>
      <w:r w:rsidR="00F466DB">
        <w:t xml:space="preserve"> </w:t>
      </w:r>
      <w:r>
        <w:t xml:space="preserve">This table only contains a sample of the </w:t>
      </w:r>
      <w:r w:rsidR="003D1270">
        <w:t xml:space="preserve">water </w:t>
      </w:r>
      <w:r>
        <w:t xml:space="preserve">supply charges by connection size for Sydney Water and TasWater. For the full lists, see </w:t>
      </w:r>
      <w:hyperlink r:id="rId70" w:history="1">
        <w:r w:rsidRPr="008A0348">
          <w:t>www.sydneywater.com.au/SW/accounts-billing/understanding-your-bill/our-prices/index.htm</w:t>
        </w:r>
      </w:hyperlink>
      <w:r>
        <w:t xml:space="preserve"> and </w:t>
      </w:r>
      <w:r w:rsidRPr="005D4C2D">
        <w:t>www.taswater.com.au/Your-Account/Water-and-Sewerage-Charges</w:t>
      </w:r>
      <w:r>
        <w:t>.</w:t>
      </w:r>
    </w:p>
    <w:p w14:paraId="12952BED" w14:textId="77777777" w:rsidR="00980AB5" w:rsidRDefault="003A7D85">
      <w:pPr>
        <w:pStyle w:val="TableNotesHangingLast"/>
        <w:keepLines w:val="0"/>
        <w:spacing w:after="0"/>
        <w:ind w:left="0" w:firstLine="0"/>
      </w:pPr>
      <w:r>
        <w:t>Source:</w:t>
      </w:r>
      <w:r w:rsidR="00F466DB">
        <w:t xml:space="preserve"> </w:t>
      </w:r>
      <w:r w:rsidR="00E62F0C">
        <w:fldChar w:fldCharType="begin"/>
      </w:r>
      <w:r>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rsidR="00E62F0C">
        <w:fldChar w:fldCharType="separate"/>
      </w:r>
      <w:hyperlink w:anchor="_ENREF_6" w:tooltip="City West Water, 2016 #742" w:history="1">
        <w:r>
          <w:rPr>
            <w:noProof/>
          </w:rPr>
          <w:t>City West Water (2016</w:t>
        </w:r>
      </w:hyperlink>
      <w:r>
        <w:rPr>
          <w:noProof/>
        </w:rPr>
        <w:t>)</w:t>
      </w:r>
      <w:r w:rsidR="00E62F0C">
        <w:fldChar w:fldCharType="end"/>
      </w:r>
      <w:r>
        <w:t xml:space="preserve">; </w:t>
      </w:r>
      <w:hyperlink w:anchor="_ENREF_15" w:tooltip="Hunter Water, 2016 #748" w:history="1">
        <w:r>
          <w:rPr>
            <w:noProof/>
          </w:rPr>
          <w:t>Hunter Water (2016a</w:t>
        </w:r>
      </w:hyperlink>
      <w:r>
        <w:rPr>
          <w:noProof/>
        </w:rPr>
        <w:t xml:space="preserve">); </w:t>
      </w:r>
      <w:hyperlink w:anchor="_ENREF_16" w:tooltip="Hunter Water, 2016 #749" w:history="1">
        <w:r>
          <w:rPr>
            <w:noProof/>
          </w:rPr>
          <w:t>Hunter Water (2016b</w:t>
        </w:r>
      </w:hyperlink>
      <w:r>
        <w:rPr>
          <w:noProof/>
        </w:rPr>
        <w:t xml:space="preserve">); </w:t>
      </w:r>
      <w:r>
        <w:t xml:space="preserve">Icon Water (2016e); PowerWater (2016); Queensland Urban Utilities (2017a); Queensland Urban Utilities (2017b); </w:t>
      </w:r>
      <w:r w:rsidR="00E62F0C">
        <w:fldChar w:fldCharType="begin"/>
      </w:r>
      <w:r>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rsidR="00E62F0C">
        <w:fldChar w:fldCharType="separate"/>
      </w:r>
      <w:hyperlink w:anchor="_ENREF_34" w:tooltip="SA Water, 2016 #751" w:history="1">
        <w:r>
          <w:rPr>
            <w:noProof/>
          </w:rPr>
          <w:t>SA Water (2016</w:t>
        </w:r>
      </w:hyperlink>
      <w:r>
        <w:rPr>
          <w:noProof/>
        </w:rPr>
        <w:t>)</w:t>
      </w:r>
      <w:r w:rsidR="00E62F0C">
        <w:fldChar w:fldCharType="end"/>
      </w:r>
      <w:r>
        <w:t xml:space="preserve">; South East Water (2016); </w:t>
      </w:r>
      <w:r w:rsidR="00E62F0C">
        <w:fldChar w:fldCharType="begin"/>
      </w:r>
      <w:r>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rsidR="00E62F0C">
        <w:fldChar w:fldCharType="separate"/>
      </w:r>
      <w:hyperlink w:anchor="_ENREF_37" w:tooltip="Sydney Water, 2016 #745" w:history="1">
        <w:r>
          <w:rPr>
            <w:noProof/>
          </w:rPr>
          <w:t>Sydney Water (2016b</w:t>
        </w:r>
      </w:hyperlink>
      <w:r>
        <w:rPr>
          <w:noProof/>
        </w:rPr>
        <w:t>)</w:t>
      </w:r>
      <w:r w:rsidR="00E62F0C">
        <w:fldChar w:fldCharType="end"/>
      </w:r>
      <w:r>
        <w:t xml:space="preserve">; </w:t>
      </w:r>
      <w:r w:rsidR="00E62F0C">
        <w:fldChar w:fldCharType="begin"/>
      </w:r>
      <w:r>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rsidR="00E62F0C">
        <w:fldChar w:fldCharType="separate"/>
      </w:r>
      <w:hyperlink w:anchor="_ENREF_36" w:tooltip="Sydney Water, 2016 #746" w:history="1">
        <w:r>
          <w:rPr>
            <w:noProof/>
          </w:rPr>
          <w:t>Sydney Water (2016a</w:t>
        </w:r>
      </w:hyperlink>
      <w:r>
        <w:rPr>
          <w:noProof/>
        </w:rPr>
        <w:t>)</w:t>
      </w:r>
      <w:r w:rsidR="00E62F0C">
        <w:fldChar w:fldCharType="end"/>
      </w:r>
      <w:r>
        <w:t xml:space="preserve">; and </w:t>
      </w:r>
      <w:r w:rsidR="00E62F0C">
        <w:fldChar w:fldCharType="begin"/>
      </w:r>
      <w:r>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rsidR="00E62F0C">
        <w:fldChar w:fldCharType="separate"/>
      </w:r>
      <w:hyperlink w:anchor="_ENREF_38" w:tooltip="TasWater, 2015 #594" w:history="1">
        <w:r>
          <w:rPr>
            <w:noProof/>
          </w:rPr>
          <w:t>TasWater (2015</w:t>
        </w:r>
      </w:hyperlink>
      <w:r>
        <w:rPr>
          <w:noProof/>
        </w:rPr>
        <w:t>)</w:t>
      </w:r>
      <w:r w:rsidR="00E62F0C">
        <w:fldChar w:fldCharType="end"/>
      </w:r>
      <w:r>
        <w:t>.</w:t>
      </w:r>
    </w:p>
    <w:p w14:paraId="7FC2CF14" w14:textId="77777777" w:rsidR="003A7D85" w:rsidRDefault="003A7D85" w:rsidP="003A7D85">
      <w:pPr>
        <w:pStyle w:val="TableNotesHangingLast"/>
        <w:keepLines w:val="0"/>
        <w:sectPr w:rsidR="003A7D85" w:rsidSect="003A7D85">
          <w:headerReference w:type="even" r:id="rId71"/>
          <w:endnotePr>
            <w:numFmt w:val="decimal"/>
          </w:endnotePr>
          <w:type w:val="continuous"/>
          <w:pgSz w:w="11907" w:h="16840" w:code="9"/>
          <w:pgMar w:top="2268" w:right="2098" w:bottom="1701" w:left="2098" w:header="578" w:footer="578" w:gutter="0"/>
          <w:cols w:space="720"/>
          <w:docGrid w:linePitch="299"/>
        </w:sectPr>
      </w:pPr>
    </w:p>
    <w:p w14:paraId="6F8F2401" w14:textId="77777777" w:rsidR="008E6581" w:rsidRDefault="008E6581" w:rsidP="008E6581">
      <w:pPr>
        <w:pStyle w:val="HeadingAppendix1"/>
        <w:numPr>
          <w:ilvl w:val="0"/>
          <w:numId w:val="5"/>
        </w:numPr>
        <w:ind w:left="2693"/>
      </w:pPr>
      <w:bookmarkStart w:id="331" w:name="_Toc476754024"/>
      <w:bookmarkStart w:id="332" w:name="_Ref477268465"/>
      <w:bookmarkStart w:id="333" w:name="_Ref477268473"/>
      <w:bookmarkStart w:id="334" w:name="_Ref477269252"/>
      <w:bookmarkStart w:id="335" w:name="_Ref477269299"/>
      <w:bookmarkStart w:id="336" w:name="_Ref477269307"/>
      <w:bookmarkStart w:id="337" w:name="_Toc478465500"/>
      <w:r w:rsidRPr="002D51C4">
        <w:lastRenderedPageBreak/>
        <w:t>Short</w:t>
      </w:r>
      <w:r w:rsidR="00367CDC">
        <w:t>-</w:t>
      </w:r>
      <w:r w:rsidRPr="002D51C4">
        <w:t>run marginal cost or long</w:t>
      </w:r>
      <w:r w:rsidR="00367CDC">
        <w:t>-</w:t>
      </w:r>
      <w:r w:rsidRPr="002D51C4">
        <w:t>run marginal cost as the marginal usage charge</w:t>
      </w:r>
      <w:bookmarkEnd w:id="331"/>
      <w:bookmarkEnd w:id="332"/>
      <w:bookmarkEnd w:id="333"/>
      <w:bookmarkEnd w:id="334"/>
      <w:bookmarkEnd w:id="335"/>
      <w:bookmarkEnd w:id="336"/>
      <w:bookmarkEnd w:id="337"/>
    </w:p>
    <w:p w14:paraId="61653060" w14:textId="77777777" w:rsidR="008E6581" w:rsidRDefault="008E6581" w:rsidP="008E6581">
      <w:pPr>
        <w:pStyle w:val="HeadingAppendix1"/>
        <w:numPr>
          <w:ilvl w:val="0"/>
          <w:numId w:val="0"/>
        </w:numPr>
        <w:ind w:left="720" w:hanging="720"/>
        <w:sectPr w:rsidR="008E6581" w:rsidSect="003A7D85">
          <w:headerReference w:type="default" r:id="rId72"/>
          <w:endnotePr>
            <w:numFmt w:val="decimal"/>
          </w:endnotePr>
          <w:type w:val="oddPage"/>
          <w:pgSz w:w="11907" w:h="16840" w:code="9"/>
          <w:pgMar w:top="2268" w:right="2098" w:bottom="1701" w:left="2098" w:header="578" w:footer="578" w:gutter="0"/>
          <w:cols w:space="720"/>
          <w:docGrid w:linePitch="299"/>
        </w:sectPr>
      </w:pPr>
    </w:p>
    <w:p w14:paraId="01FDB004" w14:textId="77777777" w:rsidR="008E6581" w:rsidRDefault="008E6581" w:rsidP="008E6581">
      <w:r>
        <w:t xml:space="preserve">This appendix discusses the issue of whether </w:t>
      </w:r>
      <w:r w:rsidR="004210DF">
        <w:t xml:space="preserve">the </w:t>
      </w:r>
      <w:r>
        <w:t>short</w:t>
      </w:r>
      <w:r w:rsidR="00367CDC">
        <w:t>-</w:t>
      </w:r>
      <w:r>
        <w:t>run marginal cost or long</w:t>
      </w:r>
      <w:r w:rsidR="00367CDC">
        <w:t>-</w:t>
      </w:r>
      <w:r>
        <w:t xml:space="preserve">run marginal cost </w:t>
      </w:r>
      <w:proofErr w:type="gramStart"/>
      <w:r>
        <w:t>should be used</w:t>
      </w:r>
      <w:proofErr w:type="gramEnd"/>
      <w:r>
        <w:t xml:space="preserve"> as the marginal usage charge in a two</w:t>
      </w:r>
      <w:r w:rsidR="003C6665">
        <w:t>-</w:t>
      </w:r>
      <w:r>
        <w:t xml:space="preserve">part tariff. </w:t>
      </w:r>
    </w:p>
    <w:p w14:paraId="7C563475" w14:textId="77777777" w:rsidR="008E6581" w:rsidRDefault="008E6581" w:rsidP="008E6581">
      <w:r>
        <w:t xml:space="preserve">The Commission concluded in the </w:t>
      </w:r>
      <w:r w:rsidR="003C6665">
        <w:t>d</w:t>
      </w:r>
      <w:r>
        <w:t xml:space="preserve">raft </w:t>
      </w:r>
      <w:r w:rsidR="003C6665">
        <w:t>r</w:t>
      </w:r>
      <w:r>
        <w:t>eport that, in principle, short</w:t>
      </w:r>
      <w:r w:rsidR="00367CDC">
        <w:t>-</w:t>
      </w:r>
      <w:r>
        <w:t>run marginal cost pricing is the efficient basis for pricing but that, in practice, a long</w:t>
      </w:r>
      <w:r w:rsidR="00367CDC">
        <w:t>-</w:t>
      </w:r>
      <w:r>
        <w:t>run measure is preferred.</w:t>
      </w:r>
      <w:r>
        <w:rPr>
          <w:rStyle w:val="FootnoteReference"/>
        </w:rPr>
        <w:footnoteReference w:id="147"/>
      </w:r>
      <w:r w:rsidR="008013DA">
        <w:t xml:space="preserve"> </w:t>
      </w:r>
    </w:p>
    <w:p w14:paraId="122776C1" w14:textId="77777777" w:rsidR="008E6581" w:rsidRPr="00F51424" w:rsidRDefault="008E6581" w:rsidP="008E6581">
      <w:r w:rsidRPr="00F51424">
        <w:t>The application of economic efficiency principles provides strong support for the use of a comprehensive measure of short</w:t>
      </w:r>
      <w:r w:rsidR="003C6665">
        <w:t>-</w:t>
      </w:r>
      <w:r w:rsidRPr="00F51424">
        <w:t>run marginal cost as the optimal cost concept for setting usage prices</w:t>
      </w:r>
      <w:r>
        <w:t>,</w:t>
      </w:r>
      <w:r w:rsidRPr="00F51424">
        <w:t xml:space="preserve"> to the extent that it measures the additional cost to society triggered by the relevant incremental decision or action.</w:t>
      </w:r>
      <w:r w:rsidR="008013DA">
        <w:t xml:space="preserve"> </w:t>
      </w:r>
      <w:r w:rsidRPr="00F51424">
        <w:t xml:space="preserve">Fixed costs are not included in </w:t>
      </w:r>
      <w:r>
        <w:t xml:space="preserve">such </w:t>
      </w:r>
      <w:r w:rsidRPr="00F51424">
        <w:t>marginal costs and are not sensitive to the marginal output decision.</w:t>
      </w:r>
      <w:r w:rsidR="008013DA">
        <w:t xml:space="preserve"> </w:t>
      </w:r>
      <w:r w:rsidRPr="00F51424">
        <w:t>They need to be financed if the firm is to stay in operation in the long term</w:t>
      </w:r>
      <w:r w:rsidR="003C6665">
        <w:t>,</w:t>
      </w:r>
      <w:r w:rsidRPr="00F51424">
        <w:t xml:space="preserve"> but in terms of overall community </w:t>
      </w:r>
      <w:proofErr w:type="gramStart"/>
      <w:r w:rsidRPr="00F51424">
        <w:t>welfare</w:t>
      </w:r>
      <w:proofErr w:type="gramEnd"/>
      <w:r w:rsidRPr="00F51424">
        <w:t xml:space="preserve"> they are not relevant </w:t>
      </w:r>
      <w:r w:rsidR="003C6665">
        <w:t>to</w:t>
      </w:r>
      <w:r w:rsidRPr="00F51424">
        <w:t xml:space="preserve"> defining the optimal level of usage</w:t>
      </w:r>
      <w:r>
        <w:t xml:space="preserve"> at a point in time</w:t>
      </w:r>
      <w:r w:rsidRPr="00F51424">
        <w:t>.</w:t>
      </w:r>
    </w:p>
    <w:p w14:paraId="0F03731A" w14:textId="77777777" w:rsidR="008E6581" w:rsidRPr="00F51424" w:rsidRDefault="008E6581" w:rsidP="008E6581">
      <w:r>
        <w:t>However, the short</w:t>
      </w:r>
      <w:r w:rsidR="003C6665">
        <w:t>-</w:t>
      </w:r>
      <w:r>
        <w:t>run marginal cost concept is often misunderstood and interpreted narrowly.</w:t>
      </w:r>
      <w:r w:rsidR="008013DA">
        <w:t xml:space="preserve"> </w:t>
      </w:r>
      <w:r w:rsidRPr="00F51424">
        <w:t>The components of a comprehensive measure of short</w:t>
      </w:r>
      <w:r w:rsidR="003C6665">
        <w:t>-</w:t>
      </w:r>
      <w:r w:rsidRPr="00F51424">
        <w:t xml:space="preserve">run marginal cost </w:t>
      </w:r>
      <w:proofErr w:type="gramStart"/>
      <w:r w:rsidRPr="00F51424">
        <w:t>were explained</w:t>
      </w:r>
      <w:proofErr w:type="gramEnd"/>
      <w:r w:rsidRPr="00F51424">
        <w:t xml:space="preserve"> in Chapter 4.</w:t>
      </w:r>
      <w:r w:rsidR="008013DA">
        <w:t xml:space="preserve"> </w:t>
      </w:r>
      <w:r w:rsidRPr="00F51424">
        <w:t xml:space="preserve">They include a component that reflects the value of </w:t>
      </w:r>
      <w:proofErr w:type="gramStart"/>
      <w:r w:rsidRPr="00F51424">
        <w:t>water which depends on the supply</w:t>
      </w:r>
      <w:r w:rsidR="003C6665">
        <w:t xml:space="preserve"> and </w:t>
      </w:r>
      <w:r w:rsidRPr="00F51424">
        <w:t>demand situation</w:t>
      </w:r>
      <w:proofErr w:type="gramEnd"/>
      <w:r w:rsidRPr="00F51424">
        <w:t xml:space="preserve"> </w:t>
      </w:r>
      <w:r>
        <w:t>and any external costs imposed by additional consumption not reflected in prices</w:t>
      </w:r>
      <w:r w:rsidRPr="00F51424">
        <w:t>.</w:t>
      </w:r>
      <w:r w:rsidR="008013DA">
        <w:t xml:space="preserve"> </w:t>
      </w:r>
      <w:r w:rsidR="003C6665">
        <w:t>T</w:t>
      </w:r>
      <w:r>
        <w:t xml:space="preserve">he comprehensive definition of marginal cost </w:t>
      </w:r>
      <w:proofErr w:type="gramStart"/>
      <w:r>
        <w:t>is known</w:t>
      </w:r>
      <w:proofErr w:type="gramEnd"/>
      <w:r>
        <w:t xml:space="preserve"> as </w:t>
      </w:r>
      <w:r w:rsidR="00DC674F">
        <w:t>‘</w:t>
      </w:r>
      <w:r>
        <w:t>marginal social cost</w:t>
      </w:r>
      <w:r w:rsidR="00DC674F">
        <w:t>’</w:t>
      </w:r>
      <w:r>
        <w:t xml:space="preserve"> to reflect that it takes account of all of the costs imposed on society from additional usage of a service or product.</w:t>
      </w:r>
    </w:p>
    <w:p w14:paraId="12636DA3" w14:textId="77777777" w:rsidR="008E6581" w:rsidRPr="00A338B4" w:rsidRDefault="008E6581" w:rsidP="008E6581">
      <w:r w:rsidRPr="00A338B4">
        <w:t>Whe</w:t>
      </w:r>
      <w:r w:rsidR="004210DF">
        <w:t>n</w:t>
      </w:r>
      <w:r w:rsidRPr="00A338B4">
        <w:t xml:space="preserve"> a resource such as water is sufficiently abundant that everyone </w:t>
      </w:r>
      <w:r w:rsidR="003C6665">
        <w:t>who</w:t>
      </w:r>
      <w:r w:rsidR="003C6665" w:rsidRPr="00A338B4">
        <w:t xml:space="preserve"> </w:t>
      </w:r>
      <w:r w:rsidRPr="00A338B4">
        <w:t>uses it can do so without impacting on another person</w:t>
      </w:r>
      <w:r w:rsidR="00DC674F">
        <w:t>’</w:t>
      </w:r>
      <w:r w:rsidRPr="00A338B4">
        <w:t xml:space="preserve">s ability to use the water they value, then </w:t>
      </w:r>
      <w:proofErr w:type="gramStart"/>
      <w:r w:rsidRPr="00A338B4">
        <w:t>its</w:t>
      </w:r>
      <w:proofErr w:type="gramEnd"/>
      <w:r w:rsidRPr="00A338B4">
        <w:t xml:space="preserve"> implicit and market price would be zero.</w:t>
      </w:r>
      <w:r w:rsidR="008013DA">
        <w:t xml:space="preserve"> </w:t>
      </w:r>
      <w:r w:rsidRPr="00A338B4">
        <w:t>However, once individual consumption reduces the scope for consumption by others, the resource will have a value.</w:t>
      </w:r>
      <w:r w:rsidR="008013DA">
        <w:t xml:space="preserve"> </w:t>
      </w:r>
      <w:r w:rsidRPr="00A338B4">
        <w:t>In cases where there is an effective market for water, a market price will be set that reflects the value of water</w:t>
      </w:r>
      <w:r w:rsidR="003C6665">
        <w:t>;</w:t>
      </w:r>
      <w:r w:rsidRPr="00A338B4">
        <w:t xml:space="preserve"> however, in other cases an administered price can be determined consistent with an approximate </w:t>
      </w:r>
      <w:proofErr w:type="gramStart"/>
      <w:r w:rsidRPr="00A338B4">
        <w:t>market clearing</w:t>
      </w:r>
      <w:proofErr w:type="gramEnd"/>
      <w:r w:rsidRPr="00A338B4">
        <w:t xml:space="preserve"> price rep</w:t>
      </w:r>
      <w:r>
        <w:t>resenting the value of water.</w:t>
      </w:r>
      <w:r w:rsidR="008013DA">
        <w:t xml:space="preserve"> </w:t>
      </w:r>
      <w:r w:rsidRPr="00A338B4">
        <w:t xml:space="preserve">The value of water </w:t>
      </w:r>
      <w:proofErr w:type="gramStart"/>
      <w:r w:rsidRPr="00A338B4">
        <w:t>should be based</w:t>
      </w:r>
      <w:proofErr w:type="gramEnd"/>
      <w:r w:rsidRPr="00A338B4">
        <w:t xml:space="preserve"> on the opportunity cost of using the water</w:t>
      </w:r>
      <w:r w:rsidR="003C6665">
        <w:t>,</w:t>
      </w:r>
      <w:r w:rsidRPr="00A338B4">
        <w:t xml:space="preserve"> which means it reflects the value of not providing it to the marginal user when water is scarce.</w:t>
      </w:r>
      <w:r w:rsidR="008013DA">
        <w:t xml:space="preserve"> </w:t>
      </w:r>
      <w:r w:rsidRPr="00A338B4">
        <w:t>The short</w:t>
      </w:r>
      <w:r w:rsidR="003C6665">
        <w:t>-</w:t>
      </w:r>
      <w:r w:rsidRPr="00A338B4">
        <w:t xml:space="preserve">run concept </w:t>
      </w:r>
      <w:proofErr w:type="gramStart"/>
      <w:r w:rsidRPr="00A338B4">
        <w:t xml:space="preserve">should </w:t>
      </w:r>
      <w:r>
        <w:t xml:space="preserve">also </w:t>
      </w:r>
      <w:r w:rsidRPr="00A338B4">
        <w:t>not be interpreted</w:t>
      </w:r>
      <w:proofErr w:type="gramEnd"/>
      <w:r w:rsidRPr="00A338B4">
        <w:t xml:space="preserve"> as ignoring the intertemporal </w:t>
      </w:r>
      <w:r w:rsidRPr="00A338B4">
        <w:lastRenderedPageBreak/>
        <w:t>value of water</w:t>
      </w:r>
      <w:r w:rsidR="003C6665">
        <w:t>,</w:t>
      </w:r>
      <w:r w:rsidRPr="00A338B4">
        <w:t xml:space="preserve"> as </w:t>
      </w:r>
      <w:r w:rsidR="004210DF">
        <w:t xml:space="preserve">the </w:t>
      </w:r>
      <w:r>
        <w:t>short</w:t>
      </w:r>
      <w:r w:rsidR="003C6665">
        <w:t>-</w:t>
      </w:r>
      <w:r>
        <w:t>run marginal cost</w:t>
      </w:r>
      <w:r w:rsidRPr="00A338B4">
        <w:t xml:space="preserve"> should be comprehensively defined to reflect the expected discounted value of future costs caused by using water today. </w:t>
      </w:r>
    </w:p>
    <w:p w14:paraId="0B71BABE" w14:textId="77777777" w:rsidR="008E6581" w:rsidRDefault="008E6581" w:rsidP="008E6581">
      <w:pPr>
        <w:spacing w:before="240"/>
      </w:pPr>
      <w:r>
        <w:t>Thus</w:t>
      </w:r>
      <w:r w:rsidR="003C6665">
        <w:t>,</w:t>
      </w:r>
      <w:r>
        <w:t xml:space="preserve"> ideally</w:t>
      </w:r>
      <w:r w:rsidR="003C6665">
        <w:t>,</w:t>
      </w:r>
      <w:r>
        <w:t xml:space="preserve"> the usage component of a two</w:t>
      </w:r>
      <w:r w:rsidR="003C6665">
        <w:t>-</w:t>
      </w:r>
      <w:r>
        <w:t>part tariff should reflect the cost imposed both currently and in the future from using water today.</w:t>
      </w:r>
      <w:r w:rsidR="008013DA">
        <w:t xml:space="preserve"> </w:t>
      </w:r>
      <w:r>
        <w:t>When there is a substantial supply of water, this scarcity cost is likely to be very low</w:t>
      </w:r>
      <w:r w:rsidR="00D36312">
        <w:t>,</w:t>
      </w:r>
      <w:r>
        <w:t xml:space="preserve"> but </w:t>
      </w:r>
      <w:r w:rsidR="00D36312">
        <w:t xml:space="preserve">it </w:t>
      </w:r>
      <w:r>
        <w:t>will increase materially in times of drought.</w:t>
      </w:r>
      <w:r w:rsidR="008013DA">
        <w:t xml:space="preserve"> </w:t>
      </w:r>
      <w:r>
        <w:t xml:space="preserve">The tariff structure and arrangements for changing the tariff structure should allow for some flexibility in changing the usage charge over different regulatory periods. </w:t>
      </w:r>
    </w:p>
    <w:p w14:paraId="2515CB2A" w14:textId="7E25A730" w:rsidR="008E6581" w:rsidRDefault="008E6581" w:rsidP="008E6581">
      <w:pPr>
        <w:spacing w:before="240"/>
      </w:pPr>
      <w:r>
        <w:t>The approach of adjusting the usage charge to reflect the scarcity value of water has often been described as s</w:t>
      </w:r>
      <w:r w:rsidRPr="007873E5">
        <w:t>carcity</w:t>
      </w:r>
      <w:r>
        <w:t xml:space="preserve"> </w:t>
      </w:r>
      <w:proofErr w:type="gramStart"/>
      <w:r>
        <w:t>pricing or drought</w:t>
      </w:r>
      <w:proofErr w:type="gramEnd"/>
      <w:r>
        <w:t xml:space="preserve"> or dynamic pricing.</w:t>
      </w:r>
      <w:r w:rsidR="008013DA">
        <w:t xml:space="preserve"> </w:t>
      </w:r>
      <w:r>
        <w:t xml:space="preserve">It is </w:t>
      </w:r>
      <w:r w:rsidRPr="007873E5">
        <w:t xml:space="preserve">a more efficient </w:t>
      </w:r>
      <w:r>
        <w:t xml:space="preserve">way to use price </w:t>
      </w:r>
      <w:r w:rsidRPr="007873E5">
        <w:t>to manage demand during times of water scarcity.</w:t>
      </w:r>
      <w:r w:rsidR="008013DA">
        <w:t xml:space="preserve"> </w:t>
      </w:r>
      <w:r>
        <w:t>Scarcity pricing, or more precisely administered scarcity pricing (as opposed to market-based pricing), involves a water utility adjusting the water usage price in inv</w:t>
      </w:r>
      <w:r w:rsidRPr="00D36312">
        <w:t>erse</w:t>
      </w:r>
      <w:r w:rsidR="00171A18">
        <w:t xml:space="preserve"> proportion</w:t>
      </w:r>
      <w:r w:rsidRPr="00D36312">
        <w:t xml:space="preserve"> to</w:t>
      </w:r>
      <w:r>
        <w:t xml:space="preserve"> a measure of water scarcity, such as dam levels</w:t>
      </w:r>
      <w:r w:rsidR="00171A18">
        <w:t>, in accordance with regulatory arrangements</w:t>
      </w:r>
      <w:r>
        <w:t>.</w:t>
      </w:r>
      <w:r w:rsidR="008013DA">
        <w:t xml:space="preserve"> </w:t>
      </w:r>
      <w:r w:rsidRPr="00F30C59">
        <w:t>In effect, scarcity pricing involves pricing at the short</w:t>
      </w:r>
      <w:r w:rsidR="00BE6F2D">
        <w:t>-</w:t>
      </w:r>
      <w:r w:rsidRPr="00F30C59">
        <w:t>run marginal cost</w:t>
      </w:r>
      <w:r>
        <w:t xml:space="preserve"> of the resource.</w:t>
      </w:r>
      <w:r w:rsidR="008013DA">
        <w:t xml:space="preserve"> </w:t>
      </w:r>
      <w:r>
        <w:t>The National Water Commission define</w:t>
      </w:r>
      <w:r w:rsidR="00BE6F2D">
        <w:t>d</w:t>
      </w:r>
      <w:r>
        <w:t xml:space="preserve"> scarcity pricing as follows:</w:t>
      </w:r>
    </w:p>
    <w:p w14:paraId="501FD051" w14:textId="77777777" w:rsidR="008E6581" w:rsidRDefault="008E6581" w:rsidP="008E6581">
      <w:pPr>
        <w:pStyle w:val="ColorfulGrid-Accent110"/>
      </w:pPr>
      <w:r w:rsidRPr="007E32A6">
        <w:t>A scarcity-based pricing approach is one that seeks to set urban water prices to reflect the scarcity value expected during the relevant period such that available supply would be rationed on the basis of the willingness to pay its scarcity value (rather than through water use restrictions).</w:t>
      </w:r>
      <w:r>
        <w:rPr>
          <w:rStyle w:val="FootnoteReference"/>
        </w:rPr>
        <w:footnoteReference w:id="148"/>
      </w:r>
    </w:p>
    <w:p w14:paraId="6F8786E5" w14:textId="77777777" w:rsidR="008E6581" w:rsidRDefault="008E6581" w:rsidP="008E6581">
      <w:r>
        <w:t>In addition to sending signals about the value of the water resource itself, scarcity pricing has the added benefit of sending a signal that the next supply augmentation may cause a sharp increase in price.</w:t>
      </w:r>
      <w:r w:rsidR="008013DA">
        <w:t xml:space="preserve"> </w:t>
      </w:r>
      <w:r>
        <w:t xml:space="preserve">Scarcity pricing </w:t>
      </w:r>
      <w:proofErr w:type="gramStart"/>
      <w:r>
        <w:t>can be implemented</w:t>
      </w:r>
      <w:proofErr w:type="gramEnd"/>
      <w:r>
        <w:t xml:space="preserve"> in a way that avoids frequent increases by being based on an average </w:t>
      </w:r>
      <w:r w:rsidR="00BE6F2D">
        <w:t>over</w:t>
      </w:r>
      <w:r>
        <w:t xml:space="preserve"> several years of data.</w:t>
      </w:r>
    </w:p>
    <w:p w14:paraId="3D4EE65E" w14:textId="77777777" w:rsidR="008E6581" w:rsidRDefault="008E6581" w:rsidP="008E6581">
      <w:r>
        <w:rPr>
          <w:noProof/>
        </w:rPr>
        <w:t>Grafton and Ward (2010)</w:t>
      </w:r>
      <w:r w:rsidRPr="000C04B3">
        <w:t>, using data</w:t>
      </w:r>
      <w:r>
        <w:t xml:space="preserve"> relating to </w:t>
      </w:r>
      <w:r w:rsidRPr="000C04B3">
        <w:t>Sydney, show</w:t>
      </w:r>
      <w:r w:rsidR="00BE6F2D">
        <w:t>ed</w:t>
      </w:r>
      <w:r w:rsidRPr="000C04B3">
        <w:t xml:space="preserve"> that water </w:t>
      </w:r>
      <w:r>
        <w:t xml:space="preserve">usage </w:t>
      </w:r>
      <w:r w:rsidRPr="000C04B3">
        <w:t>pricing</w:t>
      </w:r>
      <w:r>
        <w:t xml:space="preserve"> that does not reflect scarcity values</w:t>
      </w:r>
      <w:r w:rsidRPr="000C04B3">
        <w:t xml:space="preserve"> generates large welfare losses in excess of the annual average</w:t>
      </w:r>
      <w:r>
        <w:t xml:space="preserve"> </w:t>
      </w:r>
      <w:r w:rsidRPr="000C04B3">
        <w:t>household water bill</w:t>
      </w:r>
      <w:r>
        <w:t>.</w:t>
      </w:r>
      <w:r w:rsidR="008013DA">
        <w:t xml:space="preserve"> </w:t>
      </w:r>
      <w:r>
        <w:t>They attribute</w:t>
      </w:r>
      <w:r w:rsidR="00D36312">
        <w:t>d</w:t>
      </w:r>
      <w:r>
        <w:t xml:space="preserve"> these losses to </w:t>
      </w:r>
      <w:r w:rsidRPr="000C04B3">
        <w:t>water restrictions</w:t>
      </w:r>
      <w:r>
        <w:t xml:space="preserve"> and </w:t>
      </w:r>
      <w:r w:rsidRPr="000C04B3">
        <w:t>premature supply augmentation</w:t>
      </w:r>
      <w:r>
        <w:t>.</w:t>
      </w:r>
      <w:r w:rsidR="008013DA">
        <w:t xml:space="preserve"> </w:t>
      </w:r>
      <w:r w:rsidR="00BE6F2D">
        <w:t>They</w:t>
      </w:r>
      <w:r>
        <w:t xml:space="preserve"> argue</w:t>
      </w:r>
      <w:r w:rsidR="00D36312">
        <w:t>d</w:t>
      </w:r>
      <w:r>
        <w:t xml:space="preserve"> that these losses </w:t>
      </w:r>
      <w:r w:rsidR="00DC674F">
        <w:t>‘</w:t>
      </w:r>
      <w:r w:rsidRPr="000C04B3">
        <w:t>could be avoided if dynamically</w:t>
      </w:r>
      <w:r>
        <w:t xml:space="preserve"> </w:t>
      </w:r>
      <w:r w:rsidRPr="000C04B3">
        <w:t xml:space="preserve">efficient </w:t>
      </w:r>
      <w:r>
        <w:t>usage</w:t>
      </w:r>
      <w:r w:rsidRPr="000C04B3">
        <w:t xml:space="preserve"> pricing were to be adopted by price regulators or water utilities</w:t>
      </w:r>
      <w:r>
        <w:t xml:space="preserve"> </w:t>
      </w:r>
      <w:r w:rsidRPr="000C04B3">
        <w:t>in response to variability in water availability</w:t>
      </w:r>
      <w:r w:rsidR="00BE6F2D">
        <w:t>’</w:t>
      </w:r>
      <w:r w:rsidRPr="000C04B3">
        <w:t>.</w:t>
      </w:r>
      <w:r>
        <w:rPr>
          <w:rStyle w:val="FootnoteReference"/>
        </w:rPr>
        <w:footnoteReference w:id="149"/>
      </w:r>
    </w:p>
    <w:p w14:paraId="16E882A3" w14:textId="77777777" w:rsidR="008E6581" w:rsidRDefault="008E6581" w:rsidP="008E6581">
      <w:r>
        <w:t xml:space="preserve">The Commission </w:t>
      </w:r>
      <w:r w:rsidR="000A7A68">
        <w:t xml:space="preserve">considers </w:t>
      </w:r>
      <w:r>
        <w:t xml:space="preserve">that it is reasonable to conclude that, in times of drought, the usage charge </w:t>
      </w:r>
      <w:proofErr w:type="gramStart"/>
      <w:r>
        <w:t>should be increased</w:t>
      </w:r>
      <w:proofErr w:type="gramEnd"/>
      <w:r>
        <w:t xml:space="preserve"> in conjunction with the use of water restrictions to effectively manage environmental flows.</w:t>
      </w:r>
    </w:p>
    <w:p w14:paraId="70E85C90" w14:textId="77777777" w:rsidR="008E6581" w:rsidRDefault="008E6581" w:rsidP="008E6581">
      <w:r>
        <w:t>There also needs to be flexibility to increase or decrease the marginal usage charge but in a way that avoids abrupt changes and complements other policy mechanisms, in particular permanent water conservation measures and temporary restrictions.</w:t>
      </w:r>
      <w:r w:rsidR="008013DA">
        <w:t xml:space="preserve"> </w:t>
      </w:r>
      <w:r>
        <w:t xml:space="preserve">In this </w:t>
      </w:r>
      <w:proofErr w:type="gramStart"/>
      <w:r>
        <w:t>respect</w:t>
      </w:r>
      <w:proofErr w:type="gramEnd"/>
      <w:r>
        <w:t xml:space="preserve"> it is noted that</w:t>
      </w:r>
      <w:r w:rsidRPr="009E479E">
        <w:t xml:space="preserve">, </w:t>
      </w:r>
      <w:r>
        <w:t xml:space="preserve">due to the low price responsiveness of demand for ACT </w:t>
      </w:r>
      <w:r>
        <w:lastRenderedPageBreak/>
        <w:t xml:space="preserve">residential water consumption, </w:t>
      </w:r>
      <w:r w:rsidRPr="009E479E">
        <w:t xml:space="preserve">any drought pricing arrangements would </w:t>
      </w:r>
      <w:r>
        <w:t xml:space="preserve">likely </w:t>
      </w:r>
      <w:r w:rsidRPr="009E479E">
        <w:t>need to be applied in conjunction with quantitative restrictions in order to meet the required reduction</w:t>
      </w:r>
      <w:r w:rsidR="00D36312">
        <w:t xml:space="preserve"> in demand</w:t>
      </w:r>
      <w:r w:rsidRPr="009E479E">
        <w:t>.</w:t>
      </w:r>
    </w:p>
    <w:p w14:paraId="1D33E6BE" w14:textId="77777777" w:rsidR="008E6581" w:rsidRPr="00F51424" w:rsidRDefault="008E6581" w:rsidP="008E6581">
      <w:r>
        <w:t>However, i</w:t>
      </w:r>
      <w:r w:rsidRPr="00F51424">
        <w:t>t is difficult to establish a market value for water</w:t>
      </w:r>
      <w:r>
        <w:t xml:space="preserve"> (or implement administrative arrangements that achieve the same result)</w:t>
      </w:r>
      <w:r w:rsidRPr="00F51424">
        <w:t xml:space="preserve"> and include it in a measure of the cost of usage.</w:t>
      </w:r>
      <w:r w:rsidR="008013DA">
        <w:t xml:space="preserve"> </w:t>
      </w:r>
      <w:r>
        <w:t>So i</w:t>
      </w:r>
      <w:r w:rsidRPr="00F51424">
        <w:t>n setting water usage charges with a marginal cost component, regulators in Australia have tended to use long</w:t>
      </w:r>
      <w:r w:rsidR="00BE6F2D">
        <w:t>-</w:t>
      </w:r>
      <w:r w:rsidRPr="00F51424">
        <w:t>run marginal cost</w:t>
      </w:r>
      <w:r w:rsidR="00D36312">
        <w:t>s</w:t>
      </w:r>
      <w:r w:rsidRPr="00F51424">
        <w:t xml:space="preserve"> rather than short</w:t>
      </w:r>
      <w:r w:rsidR="00BE6F2D">
        <w:t>-</w:t>
      </w:r>
      <w:r w:rsidRPr="00F51424">
        <w:t>run marginal cost</w:t>
      </w:r>
      <w:r w:rsidR="00D36312">
        <w:t>s</w:t>
      </w:r>
      <w:r w:rsidRPr="00F51424">
        <w:t>.</w:t>
      </w:r>
      <w:r w:rsidRPr="00F51424">
        <w:rPr>
          <w:vertAlign w:val="superscript"/>
        </w:rPr>
        <w:footnoteReference w:id="150"/>
      </w:r>
      <w:r w:rsidRPr="00F51424">
        <w:rPr>
          <w:vertAlign w:val="superscript"/>
        </w:rPr>
        <w:t xml:space="preserve"> </w:t>
      </w:r>
    </w:p>
    <w:p w14:paraId="6B27C630" w14:textId="77777777" w:rsidR="008E6581" w:rsidRPr="00F51424" w:rsidRDefault="008E6581" w:rsidP="008E6581">
      <w:r w:rsidRPr="00F51424">
        <w:t xml:space="preserve">The main rationale for using </w:t>
      </w:r>
      <w:r w:rsidR="00D36312">
        <w:t xml:space="preserve">the </w:t>
      </w:r>
      <w:r>
        <w:t>long</w:t>
      </w:r>
      <w:r w:rsidR="00BE6F2D">
        <w:t>-</w:t>
      </w:r>
      <w:r>
        <w:t>run marginal co</w:t>
      </w:r>
      <w:r w:rsidRPr="00D36312">
        <w:t>st as th</w:t>
      </w:r>
      <w:r w:rsidRPr="00F51424">
        <w:t xml:space="preserve">e </w:t>
      </w:r>
      <w:r w:rsidR="00D36312">
        <w:t xml:space="preserve">charge for the </w:t>
      </w:r>
      <w:r w:rsidR="00BE6F2D">
        <w:t xml:space="preserve">water </w:t>
      </w:r>
      <w:r>
        <w:t>usage</w:t>
      </w:r>
      <w:r w:rsidRPr="00F51424">
        <w:t xml:space="preserve"> component has been to provide a signal about the cost of future supply augmentation and to avoid the potential high variability of using a measure of short</w:t>
      </w:r>
      <w:r w:rsidR="00BE6F2D">
        <w:t>-</w:t>
      </w:r>
      <w:r w:rsidRPr="00F51424">
        <w:t>run marginal cost that recognises capacity supply constraints and the value of water.</w:t>
      </w:r>
      <w:r w:rsidR="008013DA">
        <w:t xml:space="preserve"> </w:t>
      </w:r>
      <w:r>
        <w:t xml:space="preserve">The </w:t>
      </w:r>
      <w:r w:rsidR="00BE6F2D">
        <w:t>use</w:t>
      </w:r>
      <w:r w:rsidR="008764CF">
        <w:t xml:space="preserve"> of</w:t>
      </w:r>
      <w:r>
        <w:t xml:space="preserve"> a component to reflect the marginal cost of future supply augmentation expressed in the dollars of today recognises that the use of water over the near to medium term reduces the availability of water in the future. </w:t>
      </w:r>
    </w:p>
    <w:p w14:paraId="6FEAFDFF" w14:textId="77777777" w:rsidR="008E6581" w:rsidRDefault="008E6581" w:rsidP="008E6581">
      <w:r>
        <w:t xml:space="preserve">The Commission sees merit in </w:t>
      </w:r>
      <w:r w:rsidR="00BE6F2D">
        <w:t xml:space="preserve">using </w:t>
      </w:r>
      <w:r>
        <w:t xml:space="preserve">a long-run measure as a starting point for the marginal usage price for several reasons. First, it is difficult to establish an appropriate comprehensive measure of </w:t>
      </w:r>
      <w:r w:rsidR="008764CF">
        <w:t xml:space="preserve">the </w:t>
      </w:r>
      <w:r>
        <w:t>short</w:t>
      </w:r>
      <w:r w:rsidR="00BE6F2D">
        <w:t>-</w:t>
      </w:r>
      <w:r>
        <w:t>run marginal cost.</w:t>
      </w:r>
      <w:r w:rsidR="008013DA">
        <w:t xml:space="preserve"> </w:t>
      </w:r>
      <w:r>
        <w:t xml:space="preserve">Second, there may be considerable variation in </w:t>
      </w:r>
      <w:r w:rsidR="008764CF">
        <w:t xml:space="preserve">the </w:t>
      </w:r>
      <w:r>
        <w:t>short</w:t>
      </w:r>
      <w:r w:rsidR="00BE6F2D">
        <w:t>-</w:t>
      </w:r>
      <w:r>
        <w:t xml:space="preserve">run marginal </w:t>
      </w:r>
      <w:proofErr w:type="gramStart"/>
      <w:r w:rsidRPr="008764CF">
        <w:t>cost which</w:t>
      </w:r>
      <w:proofErr w:type="gramEnd"/>
      <w:r w:rsidRPr="008764CF">
        <w:t xml:space="preserve"> would</w:t>
      </w:r>
      <w:r>
        <w:t xml:space="preserve"> require some smoothing in any case to avoid frequent changes in the tariff structure.</w:t>
      </w:r>
      <w:r w:rsidR="008013DA">
        <w:t xml:space="preserve"> </w:t>
      </w:r>
      <w:r>
        <w:t>Third, the gap between the current tariff structure and one based on marginal cost pricing is substantial, and likely to require a long transition period.</w:t>
      </w:r>
      <w:r w:rsidR="008013DA">
        <w:t xml:space="preserve"> </w:t>
      </w:r>
      <w:r>
        <w:t xml:space="preserve">In these circumstances, aiming to transition the usage price to </w:t>
      </w:r>
      <w:proofErr w:type="gramStart"/>
      <w:r>
        <w:t>be based</w:t>
      </w:r>
      <w:proofErr w:type="gramEnd"/>
      <w:r>
        <w:t xml:space="preserve"> on a long-run marginal cost estimate is a more realistic goal.</w:t>
      </w:r>
      <w:r w:rsidR="008013DA">
        <w:t xml:space="preserve"> </w:t>
      </w:r>
    </w:p>
    <w:p w14:paraId="251F0278" w14:textId="77777777" w:rsidR="008E6581" w:rsidRDefault="008E6581" w:rsidP="008E6581">
      <w:proofErr w:type="gramStart"/>
      <w:r>
        <w:t>Provided equity issues can be effectively addressed, the Commission considers that a tariff structure that is more cost</w:t>
      </w:r>
      <w:r w:rsidR="008A7B3D">
        <w:t>-</w:t>
      </w:r>
      <w:r>
        <w:t>reflective will enhance community welfare as it would encourage consumers to use water in a way that better reflects the costs to society of using the water supply infrastructure and the water resource itself while providing better assurance of the efficient recovery of the cost of supply.</w:t>
      </w:r>
      <w:proofErr w:type="gramEnd"/>
      <w:r>
        <w:t xml:space="preserve"> </w:t>
      </w:r>
    </w:p>
    <w:p w14:paraId="31AE7F8D" w14:textId="77777777" w:rsidR="008E6581" w:rsidRDefault="008E6581" w:rsidP="008E6581">
      <w:pPr>
        <w:sectPr w:rsidR="008E6581" w:rsidSect="008E6581">
          <w:headerReference w:type="even" r:id="rId73"/>
          <w:headerReference w:type="default" r:id="rId74"/>
          <w:endnotePr>
            <w:numFmt w:val="decimal"/>
          </w:endnotePr>
          <w:type w:val="continuous"/>
          <w:pgSz w:w="11907" w:h="16840" w:code="9"/>
          <w:pgMar w:top="2268" w:right="2098" w:bottom="1701" w:left="2098" w:header="578" w:footer="578" w:gutter="0"/>
          <w:cols w:space="720"/>
          <w:docGrid w:linePitch="299"/>
        </w:sectPr>
      </w:pPr>
      <w:r>
        <w:t>However, in order to balance concerns about the sharing of costs and the community</w:t>
      </w:r>
      <w:r w:rsidR="00DC674F">
        <w:t>’</w:t>
      </w:r>
      <w:r>
        <w:t>s preferences for a strong conservation signal, the starting point for a marginal usage price will most likely need to be considerably higher than the Commission</w:t>
      </w:r>
      <w:r w:rsidR="00DC674F">
        <w:t>’</w:t>
      </w:r>
      <w:r>
        <w:t>s estimates of long</w:t>
      </w:r>
      <w:r w:rsidR="008A7B3D">
        <w:t>-</w:t>
      </w:r>
      <w:r>
        <w:t>run marginal costs.</w:t>
      </w:r>
      <w:r w:rsidR="008013DA">
        <w:t xml:space="preserve"> </w:t>
      </w:r>
      <w:r>
        <w:t xml:space="preserve">In addition, as noted, adjustment of the marginal usage price would need to </w:t>
      </w:r>
      <w:proofErr w:type="gramStart"/>
      <w:r>
        <w:t xml:space="preserve">be </w:t>
      </w:r>
      <w:r w:rsidR="00367CDC">
        <w:t>done</w:t>
      </w:r>
      <w:proofErr w:type="gramEnd"/>
      <w:r w:rsidR="00367CDC">
        <w:t xml:space="preserve"> </w:t>
      </w:r>
      <w:r>
        <w:t>gradual</w:t>
      </w:r>
      <w:r w:rsidR="00367CDC">
        <w:t>ly</w:t>
      </w:r>
      <w:r>
        <w:t xml:space="preserve"> over a long timeframe in order to effectively balance economic, environmental and social objectives.</w:t>
      </w:r>
    </w:p>
    <w:p w14:paraId="0E60026B" w14:textId="77777777" w:rsidR="008E6581" w:rsidRDefault="008E6581" w:rsidP="008E6581">
      <w:pPr>
        <w:pStyle w:val="Heading1a"/>
        <w:sectPr w:rsidR="008E6581" w:rsidSect="008E6581">
          <w:headerReference w:type="default" r:id="rId75"/>
          <w:endnotePr>
            <w:numFmt w:val="decimal"/>
          </w:endnotePr>
          <w:type w:val="oddPage"/>
          <w:pgSz w:w="11907" w:h="16840" w:code="9"/>
          <w:pgMar w:top="2268" w:right="2098" w:bottom="1701" w:left="2098" w:header="578" w:footer="578" w:gutter="0"/>
          <w:cols w:space="720"/>
          <w:docGrid w:linePitch="299"/>
        </w:sectPr>
      </w:pPr>
      <w:bookmarkStart w:id="338" w:name="_Toc476754025"/>
      <w:bookmarkStart w:id="339" w:name="_Toc478465501"/>
      <w:r w:rsidRPr="002E2FD3">
        <w:lastRenderedPageBreak/>
        <w:t>Abbreviations and acronyms</w:t>
      </w:r>
      <w:bookmarkEnd w:id="338"/>
      <w:bookmarkEnd w:id="339"/>
    </w:p>
    <w:tbl>
      <w:tblPr>
        <w:tblW w:w="7796" w:type="dxa"/>
        <w:shd w:val="clear" w:color="auto" w:fill="FFFFFF"/>
        <w:tblLayout w:type="fixed"/>
        <w:tblLook w:val="01E0" w:firstRow="1" w:lastRow="1" w:firstColumn="1" w:lastColumn="1" w:noHBand="0" w:noVBand="0"/>
      </w:tblPr>
      <w:tblGrid>
        <w:gridCol w:w="2268"/>
        <w:gridCol w:w="5528"/>
      </w:tblGrid>
      <w:tr w:rsidR="008E6581" w14:paraId="7BBAB717" w14:textId="77777777" w:rsidTr="003D1470">
        <w:trPr>
          <w:trHeight w:val="284"/>
        </w:trPr>
        <w:tc>
          <w:tcPr>
            <w:tcW w:w="2268" w:type="dxa"/>
            <w:shd w:val="clear" w:color="auto" w:fill="FFFFFF"/>
          </w:tcPr>
          <w:p w14:paraId="14496D35" w14:textId="77777777" w:rsidR="008E6581" w:rsidRDefault="008E6581" w:rsidP="003D1470">
            <w:r>
              <w:t>ACT</w:t>
            </w:r>
          </w:p>
        </w:tc>
        <w:tc>
          <w:tcPr>
            <w:tcW w:w="5528" w:type="dxa"/>
            <w:shd w:val="clear" w:color="auto" w:fill="FFFFFF"/>
          </w:tcPr>
          <w:p w14:paraId="5FEF55C8" w14:textId="77777777" w:rsidR="008E6581" w:rsidRDefault="008E6581" w:rsidP="003D1470">
            <w:r>
              <w:t>Australian Capital Territory</w:t>
            </w:r>
          </w:p>
        </w:tc>
      </w:tr>
      <w:tr w:rsidR="008E6581" w14:paraId="210FBE8F" w14:textId="77777777" w:rsidTr="003D1470">
        <w:trPr>
          <w:trHeight w:val="284"/>
        </w:trPr>
        <w:tc>
          <w:tcPr>
            <w:tcW w:w="2268" w:type="dxa"/>
            <w:shd w:val="clear" w:color="auto" w:fill="FFFFFF"/>
          </w:tcPr>
          <w:p w14:paraId="450EDA9A" w14:textId="77777777" w:rsidR="008E6581" w:rsidRDefault="008E6581" w:rsidP="003D1470">
            <w:r>
              <w:t>ACAT</w:t>
            </w:r>
          </w:p>
        </w:tc>
        <w:tc>
          <w:tcPr>
            <w:tcW w:w="5528" w:type="dxa"/>
            <w:shd w:val="clear" w:color="auto" w:fill="FFFFFF"/>
          </w:tcPr>
          <w:p w14:paraId="65E5197D" w14:textId="77777777" w:rsidR="008E6581" w:rsidRDefault="008E6581" w:rsidP="003D1470">
            <w:r>
              <w:t>ACT Civil and Administrative Tribunal</w:t>
            </w:r>
          </w:p>
        </w:tc>
      </w:tr>
      <w:tr w:rsidR="008E6581" w14:paraId="090675CE" w14:textId="77777777" w:rsidTr="003D1470">
        <w:trPr>
          <w:trHeight w:val="284"/>
        </w:trPr>
        <w:tc>
          <w:tcPr>
            <w:tcW w:w="2268" w:type="dxa"/>
            <w:shd w:val="clear" w:color="auto" w:fill="FFFFFF"/>
          </w:tcPr>
          <w:p w14:paraId="740E27DF" w14:textId="77777777" w:rsidR="008E6581" w:rsidRDefault="008E6581" w:rsidP="003D1470">
            <w:r>
              <w:t>AIC</w:t>
            </w:r>
          </w:p>
        </w:tc>
        <w:tc>
          <w:tcPr>
            <w:tcW w:w="5528" w:type="dxa"/>
            <w:shd w:val="clear" w:color="auto" w:fill="FFFFFF"/>
          </w:tcPr>
          <w:p w14:paraId="5E1C917E" w14:textId="77777777" w:rsidR="008E6581" w:rsidRDefault="00D4103B" w:rsidP="003D1470">
            <w:r>
              <w:t>a</w:t>
            </w:r>
            <w:r w:rsidR="008E6581">
              <w:t>verage incremental cost</w:t>
            </w:r>
          </w:p>
        </w:tc>
      </w:tr>
      <w:tr w:rsidR="008E6581" w:rsidRPr="005B6158" w14:paraId="5EE6125A" w14:textId="77777777" w:rsidTr="003D1470">
        <w:trPr>
          <w:trHeight w:val="284"/>
        </w:trPr>
        <w:tc>
          <w:tcPr>
            <w:tcW w:w="2268" w:type="dxa"/>
            <w:shd w:val="clear" w:color="auto" w:fill="FFFFFF"/>
          </w:tcPr>
          <w:p w14:paraId="57E209F2" w14:textId="77777777" w:rsidR="008E6581" w:rsidRPr="005B6158" w:rsidRDefault="008E6581" w:rsidP="003D1470">
            <w:r w:rsidRPr="007976E2">
              <w:t>Commission</w:t>
            </w:r>
          </w:p>
        </w:tc>
        <w:tc>
          <w:tcPr>
            <w:tcW w:w="5528" w:type="dxa"/>
            <w:shd w:val="clear" w:color="auto" w:fill="FFFFFF"/>
          </w:tcPr>
          <w:p w14:paraId="15A465E7" w14:textId="77777777" w:rsidR="008E6581" w:rsidRPr="005B6158" w:rsidRDefault="008E6581" w:rsidP="003D1470">
            <w:r w:rsidRPr="007976E2">
              <w:t>Independent Competition and Regulatory Commission</w:t>
            </w:r>
          </w:p>
        </w:tc>
      </w:tr>
      <w:tr w:rsidR="008E6581" w:rsidRPr="007976E2" w14:paraId="5647EAC3" w14:textId="77777777" w:rsidTr="003D1470">
        <w:trPr>
          <w:trHeight w:val="284"/>
        </w:trPr>
        <w:tc>
          <w:tcPr>
            <w:tcW w:w="2268" w:type="dxa"/>
            <w:shd w:val="clear" w:color="auto" w:fill="FFFFFF"/>
          </w:tcPr>
          <w:p w14:paraId="3B5AF2D1" w14:textId="77777777" w:rsidR="008E6581" w:rsidRPr="007976E2" w:rsidRDefault="00F52DAB" w:rsidP="003D1470">
            <w:r>
              <w:t>G</w:t>
            </w:r>
            <w:r w:rsidR="008E6581">
              <w:t>L</w:t>
            </w:r>
          </w:p>
        </w:tc>
        <w:tc>
          <w:tcPr>
            <w:tcW w:w="5528" w:type="dxa"/>
            <w:shd w:val="clear" w:color="auto" w:fill="FFFFFF"/>
          </w:tcPr>
          <w:p w14:paraId="2B2219E3" w14:textId="77777777" w:rsidR="008E6581" w:rsidRPr="007976E2" w:rsidRDefault="008E6581" w:rsidP="003D1470">
            <w:r>
              <w:t>gigalitre (one thousand megalitres)</w:t>
            </w:r>
          </w:p>
        </w:tc>
      </w:tr>
      <w:tr w:rsidR="008E6581" w:rsidRPr="005B6158" w14:paraId="74F83501" w14:textId="77777777" w:rsidTr="003D1470">
        <w:trPr>
          <w:trHeight w:val="284"/>
        </w:trPr>
        <w:tc>
          <w:tcPr>
            <w:tcW w:w="2268" w:type="dxa"/>
            <w:shd w:val="clear" w:color="auto" w:fill="FFFFFF"/>
          </w:tcPr>
          <w:p w14:paraId="200617C1" w14:textId="77777777" w:rsidR="008E6581" w:rsidRPr="005B6158" w:rsidRDefault="008E6581" w:rsidP="003D1470">
            <w:r w:rsidRPr="007976E2">
              <w:t>ICRC</w:t>
            </w:r>
          </w:p>
        </w:tc>
        <w:tc>
          <w:tcPr>
            <w:tcW w:w="5528" w:type="dxa"/>
            <w:shd w:val="clear" w:color="auto" w:fill="FFFFFF"/>
          </w:tcPr>
          <w:p w14:paraId="24CA0395" w14:textId="77777777" w:rsidR="008E6581" w:rsidRPr="005B6158" w:rsidRDefault="008E6581" w:rsidP="003D1470">
            <w:r w:rsidRPr="007976E2">
              <w:t>Independent Competition and Regulatory Commission</w:t>
            </w:r>
          </w:p>
        </w:tc>
      </w:tr>
      <w:tr w:rsidR="008E6581" w:rsidRPr="005B6158" w14:paraId="4ED47933" w14:textId="77777777" w:rsidTr="003D1470">
        <w:trPr>
          <w:trHeight w:val="284"/>
        </w:trPr>
        <w:tc>
          <w:tcPr>
            <w:tcW w:w="2268" w:type="dxa"/>
            <w:shd w:val="clear" w:color="auto" w:fill="FFFFFF"/>
          </w:tcPr>
          <w:p w14:paraId="71166B4F" w14:textId="77777777" w:rsidR="008E6581" w:rsidRPr="005B6158" w:rsidRDefault="008E6581" w:rsidP="003D1470">
            <w:r w:rsidRPr="007976E2">
              <w:t>ICRC Act</w:t>
            </w:r>
          </w:p>
        </w:tc>
        <w:tc>
          <w:tcPr>
            <w:tcW w:w="5528" w:type="dxa"/>
            <w:shd w:val="clear" w:color="auto" w:fill="FFFFFF"/>
          </w:tcPr>
          <w:p w14:paraId="041FB0F6" w14:textId="77777777" w:rsidR="008E6581" w:rsidRPr="005B6158" w:rsidRDefault="008E6581" w:rsidP="003D1470">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8E6581" w:rsidRPr="005B6158" w14:paraId="669C8B22" w14:textId="77777777" w:rsidTr="003D1470">
        <w:trPr>
          <w:trHeight w:val="284"/>
        </w:trPr>
        <w:tc>
          <w:tcPr>
            <w:tcW w:w="2268" w:type="dxa"/>
            <w:shd w:val="clear" w:color="auto" w:fill="FFFFFF"/>
          </w:tcPr>
          <w:p w14:paraId="483A7D55" w14:textId="77777777" w:rsidR="008E6581" w:rsidRPr="005B6158" w:rsidRDefault="008E6581" w:rsidP="003D1470">
            <w:r>
              <w:t>kL</w:t>
            </w:r>
          </w:p>
        </w:tc>
        <w:tc>
          <w:tcPr>
            <w:tcW w:w="5528" w:type="dxa"/>
            <w:shd w:val="clear" w:color="auto" w:fill="FFFFFF"/>
          </w:tcPr>
          <w:p w14:paraId="06E6FDA0" w14:textId="77777777" w:rsidR="008E6581" w:rsidRPr="005B6158" w:rsidRDefault="008E6581" w:rsidP="003D1470">
            <w:r>
              <w:t>kilolitre (one thousand litres)</w:t>
            </w:r>
          </w:p>
        </w:tc>
      </w:tr>
      <w:tr w:rsidR="008E6581" w14:paraId="0D368D97" w14:textId="77777777" w:rsidTr="003D1470">
        <w:trPr>
          <w:trHeight w:val="284"/>
        </w:trPr>
        <w:tc>
          <w:tcPr>
            <w:tcW w:w="2268" w:type="dxa"/>
            <w:shd w:val="clear" w:color="auto" w:fill="FFFFFF"/>
          </w:tcPr>
          <w:p w14:paraId="1E929768" w14:textId="77777777" w:rsidR="008E6581" w:rsidRDefault="008E6581" w:rsidP="003D1470">
            <w:r>
              <w:t>MIC</w:t>
            </w:r>
          </w:p>
        </w:tc>
        <w:tc>
          <w:tcPr>
            <w:tcW w:w="5528" w:type="dxa"/>
            <w:shd w:val="clear" w:color="auto" w:fill="FFFFFF"/>
          </w:tcPr>
          <w:p w14:paraId="78C73483" w14:textId="77777777" w:rsidR="008E6581" w:rsidRDefault="008E6581" w:rsidP="003D1470">
            <w:r>
              <w:t>marginal incremental cost</w:t>
            </w:r>
          </w:p>
        </w:tc>
      </w:tr>
      <w:tr w:rsidR="008E6581" w14:paraId="405C6F8B" w14:textId="77777777" w:rsidTr="003D1470">
        <w:trPr>
          <w:trHeight w:val="284"/>
        </w:trPr>
        <w:tc>
          <w:tcPr>
            <w:tcW w:w="2268" w:type="dxa"/>
            <w:shd w:val="clear" w:color="auto" w:fill="FFFFFF"/>
          </w:tcPr>
          <w:p w14:paraId="00E2810C" w14:textId="77777777" w:rsidR="008E6581" w:rsidRDefault="008E6581" w:rsidP="003D1470">
            <w:r>
              <w:t>mm</w:t>
            </w:r>
          </w:p>
        </w:tc>
        <w:tc>
          <w:tcPr>
            <w:tcW w:w="5528" w:type="dxa"/>
            <w:shd w:val="clear" w:color="auto" w:fill="FFFFFF"/>
          </w:tcPr>
          <w:p w14:paraId="0C7D5CC3" w14:textId="77777777" w:rsidR="008E6581" w:rsidRDefault="008E6581" w:rsidP="003D1470">
            <w:r>
              <w:t>millimetre</w:t>
            </w:r>
          </w:p>
        </w:tc>
      </w:tr>
      <w:tr w:rsidR="008E6581" w:rsidRPr="002466F6" w14:paraId="715D6A52" w14:textId="77777777" w:rsidTr="003D1470">
        <w:trPr>
          <w:trHeight w:val="284"/>
        </w:trPr>
        <w:tc>
          <w:tcPr>
            <w:tcW w:w="2268" w:type="dxa"/>
            <w:shd w:val="clear" w:color="auto" w:fill="FFFFFF"/>
          </w:tcPr>
          <w:p w14:paraId="35301082" w14:textId="77777777" w:rsidR="008E6581" w:rsidRPr="002466F6" w:rsidRDefault="008E6581" w:rsidP="003D1470">
            <w:r>
              <w:t>TMC</w:t>
            </w:r>
          </w:p>
        </w:tc>
        <w:tc>
          <w:tcPr>
            <w:tcW w:w="5528" w:type="dxa"/>
            <w:shd w:val="clear" w:color="auto" w:fill="FFFFFF"/>
          </w:tcPr>
          <w:p w14:paraId="0FF627B1" w14:textId="77777777" w:rsidR="008E6581" w:rsidRPr="002466F6" w:rsidRDefault="00DC674F" w:rsidP="003D1470">
            <w:r>
              <w:t>‘</w:t>
            </w:r>
            <w:r w:rsidR="00D4103B">
              <w:t>t</w:t>
            </w:r>
            <w:r w:rsidR="008E6581">
              <w:t>extbook</w:t>
            </w:r>
            <w:r>
              <w:t>’</w:t>
            </w:r>
            <w:r w:rsidR="008E6581">
              <w:t xml:space="preserve"> marginal cost</w:t>
            </w:r>
          </w:p>
        </w:tc>
      </w:tr>
    </w:tbl>
    <w:p w14:paraId="27C4AE66" w14:textId="77777777" w:rsidR="008E6581" w:rsidRDefault="008E6581" w:rsidP="008E6581">
      <w:pPr>
        <w:sectPr w:rsidR="008E6581" w:rsidSect="008E6581">
          <w:endnotePr>
            <w:numFmt w:val="decimal"/>
          </w:endnotePr>
          <w:type w:val="continuous"/>
          <w:pgSz w:w="11907" w:h="16840" w:code="9"/>
          <w:pgMar w:top="2268" w:right="2098" w:bottom="1701" w:left="2098" w:header="578" w:footer="578" w:gutter="0"/>
          <w:cols w:space="720"/>
          <w:docGrid w:linePitch="299"/>
        </w:sectPr>
      </w:pPr>
    </w:p>
    <w:p w14:paraId="3F633408" w14:textId="77777777" w:rsidR="008E6581" w:rsidRDefault="008E6581" w:rsidP="008E6581">
      <w:pPr>
        <w:pStyle w:val="Heading1a"/>
        <w:sectPr w:rsidR="008E6581" w:rsidSect="008E6581">
          <w:headerReference w:type="even" r:id="rId76"/>
          <w:headerReference w:type="default" r:id="rId77"/>
          <w:endnotePr>
            <w:numFmt w:val="decimal"/>
          </w:endnotePr>
          <w:type w:val="oddPage"/>
          <w:pgSz w:w="11907" w:h="16840" w:code="9"/>
          <w:pgMar w:top="2268" w:right="2098" w:bottom="1701" w:left="2098" w:header="578" w:footer="578" w:gutter="0"/>
          <w:cols w:space="720"/>
          <w:docGrid w:linePitch="299"/>
        </w:sectPr>
      </w:pPr>
      <w:bookmarkStart w:id="340" w:name="_Toc476754026"/>
      <w:bookmarkStart w:id="341" w:name="_Toc478465502"/>
      <w:r w:rsidRPr="002E2FD3">
        <w:lastRenderedPageBreak/>
        <w:t>References</w:t>
      </w:r>
      <w:bookmarkEnd w:id="340"/>
      <w:bookmarkEnd w:id="341"/>
    </w:p>
    <w:p w14:paraId="5BCFDA7D" w14:textId="77777777" w:rsidR="00980AB5" w:rsidRDefault="00980AB5">
      <w:pPr>
        <w:pStyle w:val="References"/>
        <w:ind w:left="0" w:firstLine="0"/>
      </w:pPr>
    </w:p>
    <w:p w14:paraId="4FFDE778" w14:textId="77777777" w:rsidR="008E6581" w:rsidRDefault="008E6581" w:rsidP="008E6581">
      <w:pPr>
        <w:pStyle w:val="References"/>
      </w:pPr>
      <w:r>
        <w:t xml:space="preserve">ABS 2014. </w:t>
      </w:r>
      <w:r w:rsidR="00E62F0C" w:rsidRPr="00E62F0C">
        <w:rPr>
          <w:rStyle w:val="Italic"/>
        </w:rPr>
        <w:t xml:space="preserve">Australian </w:t>
      </w:r>
      <w:r w:rsidR="008A3F7E">
        <w:rPr>
          <w:rStyle w:val="Italic"/>
        </w:rPr>
        <w:t>d</w:t>
      </w:r>
      <w:r w:rsidR="00E62F0C" w:rsidRPr="00E62F0C">
        <w:rPr>
          <w:rStyle w:val="Italic"/>
        </w:rPr>
        <w:t xml:space="preserve">emographic </w:t>
      </w:r>
      <w:r w:rsidR="008A3F7E">
        <w:rPr>
          <w:rStyle w:val="Italic"/>
        </w:rPr>
        <w:t>s</w:t>
      </w:r>
      <w:r w:rsidR="00E62F0C" w:rsidRPr="00E62F0C">
        <w:rPr>
          <w:rStyle w:val="Italic"/>
        </w:rPr>
        <w:t>tatistics, December 2014</w:t>
      </w:r>
      <w:r>
        <w:t xml:space="preserve">. Cat. </w:t>
      </w:r>
      <w:proofErr w:type="gramStart"/>
      <w:r>
        <w:t>no</w:t>
      </w:r>
      <w:proofErr w:type="gramEnd"/>
      <w:r>
        <w:t>. 3101.0. Canberra: Australian Bureau of Statistics.</w:t>
      </w:r>
    </w:p>
    <w:p w14:paraId="5AA5BC4F" w14:textId="77777777" w:rsidR="008E6581" w:rsidRDefault="008E6581" w:rsidP="008E6581">
      <w:pPr>
        <w:pStyle w:val="References"/>
      </w:pPr>
      <w:r w:rsidRPr="00A2488A">
        <w:t>ACAT 2016</w:t>
      </w:r>
      <w:r>
        <w:t>a</w:t>
      </w:r>
      <w:r w:rsidRPr="00A2488A">
        <w:t xml:space="preserve">. </w:t>
      </w:r>
      <w:r w:rsidR="008A7B3D">
        <w:t>‘</w:t>
      </w:r>
      <w:r w:rsidRPr="00A2488A">
        <w:t xml:space="preserve">Submission </w:t>
      </w:r>
      <w:r w:rsidR="008A3F7E">
        <w:t>n</w:t>
      </w:r>
      <w:r w:rsidRPr="00A2488A">
        <w:t>o</w:t>
      </w:r>
      <w:r w:rsidR="008A7B3D">
        <w:t>.</w:t>
      </w:r>
      <w:r w:rsidRPr="00A2488A">
        <w:t xml:space="preserve"> 4 to the Tariff Review</w:t>
      </w:r>
      <w:r>
        <w:t xml:space="preserve"> 2016</w:t>
      </w:r>
      <w:r w:rsidR="008A7B3D">
        <w:t>’.</w:t>
      </w:r>
      <w:r w:rsidRPr="00A2488A">
        <w:t xml:space="preserve"> Canberra</w:t>
      </w:r>
      <w:r w:rsidR="008A7B3D">
        <w:t>: ACT Civil and Administrative Tribunal</w:t>
      </w:r>
      <w:r w:rsidRPr="00A2488A">
        <w:t>.</w:t>
      </w:r>
    </w:p>
    <w:p w14:paraId="23361B1C" w14:textId="77777777" w:rsidR="008E6581" w:rsidRDefault="008E6581" w:rsidP="008E6581">
      <w:pPr>
        <w:pStyle w:val="References"/>
      </w:pPr>
      <w:r>
        <w:t xml:space="preserve">ACAT 2016b. </w:t>
      </w:r>
      <w:r w:rsidR="008A7B3D">
        <w:t>‘</w:t>
      </w:r>
      <w:r>
        <w:t xml:space="preserve">Submission </w:t>
      </w:r>
      <w:r w:rsidR="008A3F7E">
        <w:t>n</w:t>
      </w:r>
      <w:r>
        <w:t>o</w:t>
      </w:r>
      <w:r w:rsidR="008A7B3D">
        <w:t>.</w:t>
      </w:r>
      <w:r>
        <w:t xml:space="preserve"> 19 to the Tariff Review 2016</w:t>
      </w:r>
      <w:r w:rsidR="008A7B3D">
        <w:t>’.</w:t>
      </w:r>
      <w:r>
        <w:t xml:space="preserve"> Canberra</w:t>
      </w:r>
      <w:r w:rsidR="008A7B3D">
        <w:t>:</w:t>
      </w:r>
      <w:r w:rsidR="008A7B3D" w:rsidRPr="008A7B3D">
        <w:t xml:space="preserve"> </w:t>
      </w:r>
      <w:r w:rsidR="008A7B3D">
        <w:t>ACT Civil and Administrative Tribunal</w:t>
      </w:r>
      <w:r>
        <w:t>.</w:t>
      </w:r>
    </w:p>
    <w:p w14:paraId="6DBAD70A" w14:textId="77777777" w:rsidR="008E6581" w:rsidRPr="00A2488A" w:rsidRDefault="008E6581" w:rsidP="008E6581">
      <w:pPr>
        <w:pStyle w:val="References"/>
      </w:pPr>
      <w:r>
        <w:t xml:space="preserve">ACT 2016. </w:t>
      </w:r>
      <w:r w:rsidR="00E62F0C" w:rsidRPr="00E62F0C">
        <w:rPr>
          <w:rStyle w:val="Italic"/>
        </w:rPr>
        <w:t xml:space="preserve">Licence to </w:t>
      </w:r>
      <w:r w:rsidR="008A3F7E">
        <w:rPr>
          <w:rStyle w:val="Italic"/>
        </w:rPr>
        <w:t>t</w:t>
      </w:r>
      <w:r w:rsidR="00E62F0C" w:rsidRPr="00E62F0C">
        <w:rPr>
          <w:rStyle w:val="Italic"/>
        </w:rPr>
        <w:t xml:space="preserve">ake </w:t>
      </w:r>
      <w:r w:rsidR="008A3F7E">
        <w:rPr>
          <w:rStyle w:val="Italic"/>
        </w:rPr>
        <w:t>w</w:t>
      </w:r>
      <w:r w:rsidR="00E62F0C" w:rsidRPr="00E62F0C">
        <w:rPr>
          <w:rStyle w:val="Italic"/>
        </w:rPr>
        <w:t xml:space="preserve">ater </w:t>
      </w:r>
      <w:r w:rsidR="008A3F7E">
        <w:rPr>
          <w:rStyle w:val="Italic"/>
        </w:rPr>
        <w:t>u</w:t>
      </w:r>
      <w:r w:rsidR="00E62F0C" w:rsidRPr="00E62F0C">
        <w:rPr>
          <w:rStyle w:val="Italic"/>
        </w:rPr>
        <w:t xml:space="preserve">nder the </w:t>
      </w:r>
      <w:r>
        <w:t xml:space="preserve">Water Resources Act 2007, </w:t>
      </w:r>
      <w:r w:rsidR="008A3F7E">
        <w:t>l</w:t>
      </w:r>
      <w:r>
        <w:t xml:space="preserve">icence </w:t>
      </w:r>
      <w:r w:rsidR="008A3F7E">
        <w:t>n</w:t>
      </w:r>
      <w:r>
        <w:t>o. WU67.</w:t>
      </w:r>
    </w:p>
    <w:p w14:paraId="33D87A9E" w14:textId="77777777" w:rsidR="008E6581" w:rsidRDefault="008E6581" w:rsidP="008E6581">
      <w:pPr>
        <w:pStyle w:val="References"/>
      </w:pPr>
      <w:bookmarkStart w:id="342" w:name="_ENREF_3"/>
      <w:r w:rsidRPr="00A2488A">
        <w:t>ACT Government 2014</w:t>
      </w:r>
      <w:r>
        <w:t>a</w:t>
      </w:r>
      <w:r w:rsidRPr="00A2488A">
        <w:t xml:space="preserve">. </w:t>
      </w:r>
      <w:r w:rsidR="00E62F0C" w:rsidRPr="00E62F0C">
        <w:rPr>
          <w:rStyle w:val="Italic"/>
        </w:rPr>
        <w:t xml:space="preserve">ACT Water Strategy 2014–44: Striking the </w:t>
      </w:r>
      <w:r w:rsidR="008A3F7E">
        <w:rPr>
          <w:rStyle w:val="Italic"/>
        </w:rPr>
        <w:t>b</w:t>
      </w:r>
      <w:r w:rsidR="00E62F0C" w:rsidRPr="00E62F0C">
        <w:rPr>
          <w:rStyle w:val="Italic"/>
        </w:rPr>
        <w:t>alance</w:t>
      </w:r>
      <w:r w:rsidR="008A7B3D">
        <w:t>.</w:t>
      </w:r>
      <w:r>
        <w:t xml:space="preserve"> </w:t>
      </w:r>
      <w:r w:rsidRPr="00A2488A">
        <w:t>Canberra: Environment and Planning Directorate</w:t>
      </w:r>
      <w:r w:rsidR="008A7B3D">
        <w:t>,</w:t>
      </w:r>
      <w:r>
        <w:t xml:space="preserve"> ACT Government.</w:t>
      </w:r>
    </w:p>
    <w:p w14:paraId="12E4CD1A" w14:textId="77777777" w:rsidR="008E6581" w:rsidRDefault="008E6581" w:rsidP="008E6581">
      <w:pPr>
        <w:pStyle w:val="References"/>
      </w:pPr>
      <w:r w:rsidRPr="00A2488A">
        <w:t>ACT Government 2014</w:t>
      </w:r>
      <w:r>
        <w:t>b</w:t>
      </w:r>
      <w:r w:rsidRPr="00A2488A">
        <w:t xml:space="preserve">. </w:t>
      </w:r>
      <w:r w:rsidR="00E62F0C" w:rsidRPr="00E62F0C">
        <w:rPr>
          <w:rStyle w:val="Italic"/>
        </w:rPr>
        <w:t xml:space="preserve">ACT </w:t>
      </w:r>
      <w:r w:rsidR="008A3F7E">
        <w:rPr>
          <w:rStyle w:val="Italic"/>
        </w:rPr>
        <w:t>w</w:t>
      </w:r>
      <w:r w:rsidR="00E62F0C" w:rsidRPr="00E62F0C">
        <w:rPr>
          <w:rStyle w:val="Italic"/>
        </w:rPr>
        <w:t xml:space="preserve">ater </w:t>
      </w:r>
      <w:r w:rsidR="008A3F7E">
        <w:rPr>
          <w:rStyle w:val="Italic"/>
        </w:rPr>
        <w:t>a</w:t>
      </w:r>
      <w:r w:rsidR="00E62F0C" w:rsidRPr="00E62F0C">
        <w:rPr>
          <w:rStyle w:val="Italic"/>
        </w:rPr>
        <w:t xml:space="preserve">bstraction </w:t>
      </w:r>
      <w:r w:rsidR="008A3F7E">
        <w:rPr>
          <w:rStyle w:val="Italic"/>
        </w:rPr>
        <w:t>c</w:t>
      </w:r>
      <w:r w:rsidR="00E62F0C" w:rsidRPr="00E62F0C">
        <w:rPr>
          <w:rStyle w:val="Italic"/>
        </w:rPr>
        <w:t>harge (WAC)</w:t>
      </w:r>
      <w:r w:rsidR="008A7B3D">
        <w:t>.</w:t>
      </w:r>
      <w:r w:rsidRPr="00A2488A">
        <w:t xml:space="preserve"> Canberra: Environment and Planning Directorate</w:t>
      </w:r>
      <w:r w:rsidR="008042E7">
        <w:t>,</w:t>
      </w:r>
      <w:bookmarkEnd w:id="342"/>
      <w:r>
        <w:t xml:space="preserve"> ACT Government.</w:t>
      </w:r>
    </w:p>
    <w:p w14:paraId="6E9D1FC8" w14:textId="77777777" w:rsidR="008E6581" w:rsidRDefault="008E6581" w:rsidP="008E6581">
      <w:pPr>
        <w:pStyle w:val="References"/>
      </w:pPr>
      <w:r>
        <w:t xml:space="preserve">ACT Government 2014c. </w:t>
      </w:r>
      <w:r w:rsidR="00E62F0C" w:rsidRPr="00E62F0C">
        <w:rPr>
          <w:rStyle w:val="Italic"/>
        </w:rPr>
        <w:t xml:space="preserve">ACT </w:t>
      </w:r>
      <w:r w:rsidR="008A3F7E">
        <w:rPr>
          <w:rStyle w:val="Italic"/>
        </w:rPr>
        <w:t>p</w:t>
      </w:r>
      <w:r w:rsidR="00E62F0C" w:rsidRPr="00E62F0C">
        <w:rPr>
          <w:rStyle w:val="Italic"/>
        </w:rPr>
        <w:t xml:space="preserve">opulation </w:t>
      </w:r>
      <w:r w:rsidR="008A3F7E">
        <w:rPr>
          <w:rStyle w:val="Italic"/>
        </w:rPr>
        <w:t>p</w:t>
      </w:r>
      <w:r w:rsidR="00E62F0C" w:rsidRPr="00E62F0C">
        <w:rPr>
          <w:rStyle w:val="Italic"/>
        </w:rPr>
        <w:t>rojections 2013</w:t>
      </w:r>
      <w:r>
        <w:t>. Canberra: ACT Treasury</w:t>
      </w:r>
      <w:r w:rsidR="008042E7">
        <w:t>.</w:t>
      </w:r>
    </w:p>
    <w:p w14:paraId="1CD9247C" w14:textId="77777777" w:rsidR="008E6581" w:rsidRDefault="008E6581" w:rsidP="008E6581">
      <w:pPr>
        <w:pStyle w:val="References"/>
      </w:pPr>
      <w:r w:rsidRPr="00A2488A">
        <w:t>ACT Government</w:t>
      </w:r>
      <w:r w:rsidR="008013DA">
        <w:t xml:space="preserve"> </w:t>
      </w:r>
      <w:r w:rsidRPr="00A2488A">
        <w:t>201</w:t>
      </w:r>
      <w:r>
        <w:t>6</w:t>
      </w:r>
      <w:r w:rsidRPr="00A2488A">
        <w:t>.</w:t>
      </w:r>
      <w:r w:rsidRPr="00D70FFF">
        <w:t xml:space="preserve"> </w:t>
      </w:r>
      <w:r w:rsidR="008A7B3D">
        <w:t>‘</w:t>
      </w:r>
      <w:r w:rsidRPr="00A2488A">
        <w:t xml:space="preserve">Submission </w:t>
      </w:r>
      <w:r w:rsidR="008A3F7E">
        <w:t>n</w:t>
      </w:r>
      <w:r w:rsidRPr="00A2488A">
        <w:t>o</w:t>
      </w:r>
      <w:r w:rsidR="008042E7">
        <w:t>.</w:t>
      </w:r>
      <w:r w:rsidRPr="00A2488A">
        <w:t xml:space="preserve"> </w:t>
      </w:r>
      <w:r>
        <w:t>13</w:t>
      </w:r>
      <w:r w:rsidRPr="00A2488A">
        <w:t xml:space="preserve"> to the Tariff Review</w:t>
      </w:r>
      <w:r w:rsidR="008042E7">
        <w:t> </w:t>
      </w:r>
      <w:r w:rsidRPr="00A2488A">
        <w:t>2016</w:t>
      </w:r>
      <w:r w:rsidR="008A7B3D">
        <w:t>’</w:t>
      </w:r>
      <w:r w:rsidR="008042E7">
        <w:t>.</w:t>
      </w:r>
      <w:r w:rsidRPr="00A2488A">
        <w:t xml:space="preserve"> Canberra</w:t>
      </w:r>
      <w:r w:rsidR="008042E7">
        <w:t>: ACT Government</w:t>
      </w:r>
      <w:r w:rsidRPr="00A2488A">
        <w:t xml:space="preserve">. </w:t>
      </w:r>
    </w:p>
    <w:p w14:paraId="51596105" w14:textId="77777777" w:rsidR="008E6581" w:rsidRPr="00A2488A" w:rsidRDefault="008E6581" w:rsidP="008E6581">
      <w:pPr>
        <w:pStyle w:val="References"/>
      </w:pPr>
      <w:bookmarkStart w:id="343" w:name="_ENREF_4"/>
      <w:r w:rsidRPr="00A2488A">
        <w:t xml:space="preserve">ACT Legislative Assembly 2016. </w:t>
      </w:r>
      <w:r w:rsidR="008A7B3D" w:rsidRPr="000B4A76">
        <w:t>‘</w:t>
      </w:r>
      <w:r w:rsidRPr="000B4A76">
        <w:t>Select Committee on Estimates 2016-2017: Transcript of evidence, Canberra, Tuesday 21 June 2016</w:t>
      </w:r>
      <w:r w:rsidR="00E0097C">
        <w:t>’.</w:t>
      </w:r>
      <w:r w:rsidRPr="00A2488A">
        <w:t xml:space="preserve"> Canberra</w:t>
      </w:r>
      <w:r w:rsidR="008042E7">
        <w:t>:</w:t>
      </w:r>
      <w:r w:rsidR="008042E7" w:rsidRPr="008042E7">
        <w:t xml:space="preserve"> </w:t>
      </w:r>
      <w:r w:rsidR="008042E7" w:rsidRPr="00A2488A">
        <w:t>ACT Legislative Assembly</w:t>
      </w:r>
      <w:r w:rsidRPr="00A2488A">
        <w:t>.</w:t>
      </w:r>
      <w:bookmarkEnd w:id="343"/>
    </w:p>
    <w:p w14:paraId="6CEBCA97" w14:textId="77777777" w:rsidR="008E6581" w:rsidRPr="00A2488A" w:rsidRDefault="008E6581" w:rsidP="008E6581">
      <w:pPr>
        <w:pStyle w:val="References"/>
      </w:pPr>
      <w:r>
        <w:t xml:space="preserve">Canberra Business Chamber 2016. </w:t>
      </w:r>
      <w:r w:rsidR="008A7B3D">
        <w:t>‘</w:t>
      </w:r>
      <w:r>
        <w:t xml:space="preserve">Submission </w:t>
      </w:r>
      <w:r w:rsidR="008A3F7E">
        <w:t>n</w:t>
      </w:r>
      <w:r>
        <w:t>o</w:t>
      </w:r>
      <w:r w:rsidR="008042E7">
        <w:t>.</w:t>
      </w:r>
      <w:r>
        <w:t xml:space="preserve"> 20 to the Tariff Review 2016</w:t>
      </w:r>
      <w:r w:rsidR="008A7B3D">
        <w:t>’</w:t>
      </w:r>
      <w:r w:rsidR="008042E7">
        <w:t xml:space="preserve">. </w:t>
      </w:r>
      <w:r>
        <w:t>Canberra</w:t>
      </w:r>
      <w:r w:rsidR="008042E7">
        <w:t>:</w:t>
      </w:r>
      <w:r w:rsidR="008042E7" w:rsidRPr="008042E7">
        <w:t xml:space="preserve"> </w:t>
      </w:r>
      <w:r w:rsidR="008042E7">
        <w:t>Canberra Business Chamber</w:t>
      </w:r>
    </w:p>
    <w:p w14:paraId="2CC7F187" w14:textId="77777777" w:rsidR="008E6581" w:rsidRPr="00A2488A" w:rsidRDefault="008E6581" w:rsidP="008E6581">
      <w:pPr>
        <w:pStyle w:val="References"/>
      </w:pPr>
      <w:bookmarkStart w:id="344" w:name="_ENREF_6"/>
      <w:r w:rsidRPr="00A2488A">
        <w:t xml:space="preserve">City West Water 2016. </w:t>
      </w:r>
      <w:r w:rsidR="00E62F0C" w:rsidRPr="00E62F0C">
        <w:rPr>
          <w:rStyle w:val="Italic"/>
        </w:rPr>
        <w:t xml:space="preserve">Pricing </w:t>
      </w:r>
      <w:r w:rsidR="008A3F7E">
        <w:rPr>
          <w:rStyle w:val="Italic"/>
        </w:rPr>
        <w:t>h</w:t>
      </w:r>
      <w:r w:rsidR="00E62F0C" w:rsidRPr="00E62F0C">
        <w:rPr>
          <w:rStyle w:val="Italic"/>
        </w:rPr>
        <w:t>andbook 2016–17</w:t>
      </w:r>
      <w:r w:rsidR="008042E7">
        <w:t>.</w:t>
      </w:r>
      <w:r w:rsidRPr="00A2488A">
        <w:t xml:space="preserve"> Melbourne</w:t>
      </w:r>
      <w:bookmarkEnd w:id="344"/>
      <w:r w:rsidR="008042E7">
        <w:t>:</w:t>
      </w:r>
      <w:r w:rsidR="008042E7" w:rsidRPr="008042E7">
        <w:t xml:space="preserve"> </w:t>
      </w:r>
      <w:r w:rsidR="008042E7" w:rsidRPr="00A2488A">
        <w:t>City West Water</w:t>
      </w:r>
      <w:r w:rsidR="008042E7">
        <w:t>.</w:t>
      </w:r>
    </w:p>
    <w:p w14:paraId="0D898676" w14:textId="77777777" w:rsidR="008E6581" w:rsidRPr="00A2488A" w:rsidRDefault="008E6581" w:rsidP="008E6581">
      <w:pPr>
        <w:pStyle w:val="References"/>
      </w:pPr>
      <w:bookmarkStart w:id="345" w:name="_ENREF_7"/>
      <w:r w:rsidRPr="00A2488A">
        <w:t xml:space="preserve">ClubsACT 2016. </w:t>
      </w:r>
      <w:r w:rsidR="008A7B3D">
        <w:t>‘</w:t>
      </w:r>
      <w:r w:rsidRPr="00A2488A">
        <w:t xml:space="preserve">Submission </w:t>
      </w:r>
      <w:r w:rsidR="008A3F7E">
        <w:t>n</w:t>
      </w:r>
      <w:r w:rsidRPr="00A2488A">
        <w:t>o</w:t>
      </w:r>
      <w:r w:rsidR="008042E7">
        <w:t>.</w:t>
      </w:r>
      <w:r w:rsidRPr="00A2488A">
        <w:t xml:space="preserve"> 5 to the Tariff Review 2016</w:t>
      </w:r>
      <w:r w:rsidR="008A7B3D">
        <w:t>’</w:t>
      </w:r>
      <w:r w:rsidR="008042E7">
        <w:t>.</w:t>
      </w:r>
      <w:r w:rsidRPr="00A2488A">
        <w:t xml:space="preserve"> Canberra</w:t>
      </w:r>
      <w:r w:rsidR="008042E7">
        <w:t>:</w:t>
      </w:r>
      <w:r w:rsidR="008042E7" w:rsidRPr="008042E7">
        <w:t xml:space="preserve"> </w:t>
      </w:r>
      <w:r w:rsidR="008042E7" w:rsidRPr="00A2488A">
        <w:t>ClubsACT</w:t>
      </w:r>
      <w:r w:rsidRPr="00A2488A">
        <w:t>.</w:t>
      </w:r>
      <w:bookmarkEnd w:id="345"/>
    </w:p>
    <w:p w14:paraId="6FF81C1B" w14:textId="77777777" w:rsidR="008E6581" w:rsidRPr="00A2488A" w:rsidRDefault="008E6581" w:rsidP="008E6581">
      <w:pPr>
        <w:pStyle w:val="References"/>
      </w:pPr>
      <w:bookmarkStart w:id="346" w:name="_ENREF_8"/>
      <w:r w:rsidRPr="00A2488A">
        <w:t xml:space="preserve">COAG 2004. </w:t>
      </w:r>
      <w:r w:rsidR="00E62F0C" w:rsidRPr="00E62F0C">
        <w:rPr>
          <w:rStyle w:val="Italic"/>
        </w:rPr>
        <w:t>Intergovernmental Agreement on a National Water Initiative</w:t>
      </w:r>
      <w:r w:rsidR="008042E7">
        <w:t>.</w:t>
      </w:r>
      <w:r w:rsidRPr="00A2488A">
        <w:t xml:space="preserve"> Canberra: Council of Australian Governments.</w:t>
      </w:r>
      <w:bookmarkEnd w:id="346"/>
    </w:p>
    <w:p w14:paraId="1C5B1D57" w14:textId="77777777" w:rsidR="008E6581" w:rsidRDefault="008E6581" w:rsidP="008E6581">
      <w:pPr>
        <w:pStyle w:val="References"/>
      </w:pPr>
      <w:bookmarkStart w:id="347" w:name="_ENREF_10"/>
      <w:r w:rsidRPr="00A2488A">
        <w:t xml:space="preserve">Denham, D 2016. </w:t>
      </w:r>
      <w:r w:rsidR="008A7B3D">
        <w:t>‘</w:t>
      </w:r>
      <w:r w:rsidRPr="00A2488A">
        <w:t xml:space="preserve">Submission </w:t>
      </w:r>
      <w:r w:rsidR="000B4A76">
        <w:t>n</w:t>
      </w:r>
      <w:r w:rsidRPr="00A2488A">
        <w:t>o</w:t>
      </w:r>
      <w:r w:rsidR="008042E7">
        <w:t>.</w:t>
      </w:r>
      <w:r w:rsidRPr="00A2488A">
        <w:t xml:space="preserve"> 7 to the Tariff Review</w:t>
      </w:r>
      <w:r>
        <w:t xml:space="preserve"> 2016</w:t>
      </w:r>
      <w:r w:rsidR="008A7B3D">
        <w:t>’</w:t>
      </w:r>
      <w:r w:rsidR="008042E7">
        <w:t>.</w:t>
      </w:r>
      <w:r w:rsidRPr="00A2488A">
        <w:t xml:space="preserve"> Canberra.</w:t>
      </w:r>
      <w:bookmarkEnd w:id="347"/>
    </w:p>
    <w:p w14:paraId="6E814AE0" w14:textId="77777777" w:rsidR="008E6581" w:rsidRDefault="008E6581" w:rsidP="008E6581">
      <w:pPr>
        <w:pStyle w:val="References"/>
      </w:pPr>
      <w:r>
        <w:t>Dwyer, T 2016.</w:t>
      </w:r>
      <w:r w:rsidRPr="00A2488A">
        <w:t xml:space="preserve"> </w:t>
      </w:r>
      <w:r w:rsidR="008A7B3D">
        <w:t>‘</w:t>
      </w:r>
      <w:r w:rsidRPr="00A2488A">
        <w:t xml:space="preserve">Submission </w:t>
      </w:r>
      <w:r w:rsidR="000B4A76">
        <w:t>n</w:t>
      </w:r>
      <w:r w:rsidRPr="00A2488A">
        <w:t>o</w:t>
      </w:r>
      <w:r w:rsidR="008042E7">
        <w:t>.</w:t>
      </w:r>
      <w:r w:rsidRPr="00A2488A">
        <w:t xml:space="preserve"> </w:t>
      </w:r>
      <w:r>
        <w:t>12</w:t>
      </w:r>
      <w:r w:rsidRPr="00A2488A">
        <w:t xml:space="preserve"> to the Tariff Review</w:t>
      </w:r>
      <w:r>
        <w:t xml:space="preserve"> 2016</w:t>
      </w:r>
      <w:r w:rsidR="008A7B3D">
        <w:t>’</w:t>
      </w:r>
      <w:r w:rsidR="008042E7">
        <w:t>.</w:t>
      </w:r>
      <w:r w:rsidRPr="00A2488A">
        <w:t xml:space="preserve"> Canberra.</w:t>
      </w:r>
    </w:p>
    <w:p w14:paraId="71225D05" w14:textId="77777777" w:rsidR="008E6581" w:rsidRPr="00A2488A" w:rsidRDefault="008E6581" w:rsidP="008E6581">
      <w:pPr>
        <w:pStyle w:val="References"/>
      </w:pPr>
      <w:r>
        <w:t>Falconer, IR</w:t>
      </w:r>
      <w:r w:rsidR="008013DA">
        <w:t xml:space="preserve"> </w:t>
      </w:r>
      <w:r>
        <w:t>2016.</w:t>
      </w:r>
      <w:r w:rsidR="008042E7">
        <w:t xml:space="preserve"> ‘</w:t>
      </w:r>
      <w:r>
        <w:t xml:space="preserve">Submission </w:t>
      </w:r>
      <w:r w:rsidR="000B4A76">
        <w:t>n</w:t>
      </w:r>
      <w:r>
        <w:t>o</w:t>
      </w:r>
      <w:r w:rsidR="008042E7">
        <w:t>.</w:t>
      </w:r>
      <w:r>
        <w:t xml:space="preserve"> 18 to the Tariff Review 2016</w:t>
      </w:r>
      <w:r w:rsidR="008A7B3D">
        <w:t>’</w:t>
      </w:r>
      <w:r w:rsidR="008042E7">
        <w:t>.</w:t>
      </w:r>
      <w:r>
        <w:t xml:space="preserve"> Canberra.</w:t>
      </w:r>
    </w:p>
    <w:p w14:paraId="4E578D84" w14:textId="77777777" w:rsidR="008E6581" w:rsidRPr="00A2488A" w:rsidRDefault="008E6581" w:rsidP="008E6581">
      <w:pPr>
        <w:pStyle w:val="References"/>
      </w:pPr>
      <w:bookmarkStart w:id="348" w:name="_ENREF_11"/>
      <w:r w:rsidRPr="00A2488A">
        <w:lastRenderedPageBreak/>
        <w:t xml:space="preserve">Federal Golf Club 2016. </w:t>
      </w:r>
      <w:r w:rsidR="008A7B3D">
        <w:t>‘</w:t>
      </w:r>
      <w:r w:rsidRPr="00A2488A">
        <w:t>Submission no</w:t>
      </w:r>
      <w:r w:rsidR="008042E7">
        <w:t>.</w:t>
      </w:r>
      <w:r w:rsidRPr="00A2488A">
        <w:t xml:space="preserve"> 8 to the Tariff Review</w:t>
      </w:r>
      <w:r>
        <w:t xml:space="preserve"> 2016</w:t>
      </w:r>
      <w:r w:rsidR="008A7B3D">
        <w:t>’</w:t>
      </w:r>
      <w:r w:rsidR="008042E7">
        <w:t>.</w:t>
      </w:r>
      <w:r w:rsidRPr="00A2488A">
        <w:t xml:space="preserve"> Canberra</w:t>
      </w:r>
      <w:r w:rsidR="00E35C12">
        <w:t>:</w:t>
      </w:r>
      <w:r w:rsidR="00E35C12" w:rsidRPr="00E35C12">
        <w:t xml:space="preserve"> </w:t>
      </w:r>
      <w:r w:rsidR="00E35C12" w:rsidRPr="00A2488A">
        <w:t>Federal Golf Club</w:t>
      </w:r>
      <w:r w:rsidRPr="00A2488A">
        <w:t>.</w:t>
      </w:r>
      <w:bookmarkEnd w:id="348"/>
    </w:p>
    <w:p w14:paraId="0FDCCECF" w14:textId="77777777" w:rsidR="008E6581" w:rsidRPr="00A2488A" w:rsidRDefault="008E6581" w:rsidP="008E6581">
      <w:pPr>
        <w:pStyle w:val="References"/>
      </w:pPr>
      <w:bookmarkStart w:id="349" w:name="_ENREF_13"/>
      <w:r w:rsidRPr="00A2488A">
        <w:t xml:space="preserve">Grafton, RQ and Ward, M 2010. </w:t>
      </w:r>
      <w:r w:rsidR="00E62F0C" w:rsidRPr="00E62F0C">
        <w:rPr>
          <w:rStyle w:val="Italic"/>
        </w:rPr>
        <w:t xml:space="preserve">Dynamically </w:t>
      </w:r>
      <w:r w:rsidR="000B4A76">
        <w:rPr>
          <w:rStyle w:val="Italic"/>
        </w:rPr>
        <w:t>e</w:t>
      </w:r>
      <w:r w:rsidR="00E62F0C" w:rsidRPr="00E62F0C">
        <w:rPr>
          <w:rStyle w:val="Italic"/>
        </w:rPr>
        <w:t xml:space="preserve">fficient </w:t>
      </w:r>
      <w:r w:rsidR="000B4A76">
        <w:rPr>
          <w:rStyle w:val="Italic"/>
        </w:rPr>
        <w:t>u</w:t>
      </w:r>
      <w:r w:rsidR="00E62F0C" w:rsidRPr="00E62F0C">
        <w:rPr>
          <w:rStyle w:val="Italic"/>
        </w:rPr>
        <w:t xml:space="preserve">rban </w:t>
      </w:r>
      <w:r w:rsidR="000B4A76">
        <w:rPr>
          <w:rStyle w:val="Italic"/>
        </w:rPr>
        <w:t>w</w:t>
      </w:r>
      <w:r w:rsidR="00E62F0C" w:rsidRPr="00E62F0C">
        <w:rPr>
          <w:rStyle w:val="Italic"/>
        </w:rPr>
        <w:t xml:space="preserve">ater </w:t>
      </w:r>
      <w:r w:rsidR="000B4A76">
        <w:rPr>
          <w:rStyle w:val="Italic"/>
        </w:rPr>
        <w:t>p</w:t>
      </w:r>
      <w:r w:rsidR="00E62F0C" w:rsidRPr="00E62F0C">
        <w:rPr>
          <w:rStyle w:val="Italic"/>
        </w:rPr>
        <w:t>olicy</w:t>
      </w:r>
      <w:r w:rsidR="008042E7">
        <w:t>.</w:t>
      </w:r>
      <w:r w:rsidRPr="00A2488A">
        <w:t xml:space="preserve"> Canberra: Centre for Water Economics, Environment and Policy, Australian National University.</w:t>
      </w:r>
      <w:bookmarkEnd w:id="349"/>
    </w:p>
    <w:p w14:paraId="24F6841D" w14:textId="77777777" w:rsidR="008E6581" w:rsidRPr="00A2488A" w:rsidRDefault="008E6581" w:rsidP="008E6581">
      <w:pPr>
        <w:pStyle w:val="References"/>
      </w:pPr>
      <w:r>
        <w:t xml:space="preserve">Hulbert, S., 2016. </w:t>
      </w:r>
      <w:r w:rsidR="008A7B3D">
        <w:t>‘</w:t>
      </w:r>
      <w:r w:rsidRPr="00A2488A">
        <w:t xml:space="preserve">Submission </w:t>
      </w:r>
      <w:r w:rsidR="000B4A76">
        <w:t>n</w:t>
      </w:r>
      <w:r w:rsidRPr="00A2488A">
        <w:t>o</w:t>
      </w:r>
      <w:r w:rsidR="008042E7">
        <w:t>.</w:t>
      </w:r>
      <w:r w:rsidRPr="00A2488A">
        <w:t xml:space="preserve"> </w:t>
      </w:r>
      <w:r>
        <w:t>11</w:t>
      </w:r>
      <w:r w:rsidRPr="00A2488A">
        <w:t xml:space="preserve"> to the Tariff Review 2016</w:t>
      </w:r>
      <w:r w:rsidR="00E0097C">
        <w:t>’.</w:t>
      </w:r>
      <w:r w:rsidRPr="00A2488A">
        <w:t xml:space="preserve"> Canberra.</w:t>
      </w:r>
    </w:p>
    <w:p w14:paraId="203706C2" w14:textId="77777777" w:rsidR="008E6581" w:rsidRPr="00A2488A" w:rsidRDefault="008E6581" w:rsidP="008E6581">
      <w:pPr>
        <w:pStyle w:val="References"/>
      </w:pPr>
      <w:bookmarkStart w:id="350" w:name="_ENREF_15"/>
      <w:r w:rsidRPr="00A2488A">
        <w:t xml:space="preserve">Hunter Water 2016a. </w:t>
      </w:r>
      <w:r w:rsidR="00E62F0C" w:rsidRPr="00E62F0C">
        <w:rPr>
          <w:rStyle w:val="Italic"/>
        </w:rPr>
        <w:t>Customer charges 2016–17</w:t>
      </w:r>
      <w:r w:rsidR="008042E7">
        <w:t>.</w:t>
      </w:r>
      <w:r w:rsidRPr="00A2488A">
        <w:t xml:space="preserve"> Newcastle: Hunter Water.</w:t>
      </w:r>
      <w:bookmarkEnd w:id="350"/>
    </w:p>
    <w:p w14:paraId="7A0AF91E" w14:textId="77777777" w:rsidR="008E6581" w:rsidRDefault="008E6581" w:rsidP="008E6581">
      <w:pPr>
        <w:pStyle w:val="References"/>
      </w:pPr>
      <w:bookmarkStart w:id="351" w:name="_ENREF_16"/>
      <w:r w:rsidRPr="00A2488A">
        <w:t xml:space="preserve">Hunter Water 2016b. </w:t>
      </w:r>
      <w:r w:rsidR="00E62F0C" w:rsidRPr="00E62F0C">
        <w:rPr>
          <w:rStyle w:val="Italic"/>
        </w:rPr>
        <w:t>Non-residential pricing and charges 2016–17</w:t>
      </w:r>
      <w:r w:rsidR="008042E7">
        <w:t>.</w:t>
      </w:r>
      <w:r w:rsidRPr="00A2488A">
        <w:t xml:space="preserve"> Newcastle: Hunter Water.</w:t>
      </w:r>
      <w:bookmarkEnd w:id="351"/>
    </w:p>
    <w:p w14:paraId="12040064" w14:textId="77777777" w:rsidR="008E6581" w:rsidRPr="00A2488A" w:rsidRDefault="008E6581" w:rsidP="008E6581">
      <w:pPr>
        <w:pStyle w:val="References"/>
      </w:pPr>
      <w:bookmarkStart w:id="352" w:name="_ENREF_17"/>
      <w:r w:rsidRPr="00A2488A">
        <w:t xml:space="preserve">Icon Water 2016a. </w:t>
      </w:r>
      <w:r w:rsidR="00E62F0C" w:rsidRPr="00E62F0C">
        <w:rPr>
          <w:rStyle w:val="Italic"/>
        </w:rPr>
        <w:t>Cotter Dam now full!</w:t>
      </w:r>
      <w:r w:rsidR="00575678">
        <w:t xml:space="preserve"> </w:t>
      </w:r>
      <w:r w:rsidRPr="00A2488A">
        <w:t>Canberra: Icon Water.</w:t>
      </w:r>
      <w:bookmarkEnd w:id="352"/>
    </w:p>
    <w:p w14:paraId="3E8FC5FC" w14:textId="77777777" w:rsidR="008E6581" w:rsidRPr="00A2488A" w:rsidRDefault="008E6581" w:rsidP="008E6581">
      <w:pPr>
        <w:pStyle w:val="References"/>
      </w:pPr>
      <w:bookmarkStart w:id="353" w:name="_ENREF_18"/>
      <w:r w:rsidRPr="00A2488A">
        <w:t xml:space="preserve">Icon Water 2016b. </w:t>
      </w:r>
      <w:r w:rsidR="008A7B3D">
        <w:t>‘</w:t>
      </w:r>
      <w:r w:rsidRPr="00A2488A">
        <w:t xml:space="preserve">Submission </w:t>
      </w:r>
      <w:r w:rsidR="000B4A76">
        <w:t>n</w:t>
      </w:r>
      <w:r w:rsidRPr="00A2488A">
        <w:t>o</w:t>
      </w:r>
      <w:r w:rsidR="00575678">
        <w:t>.</w:t>
      </w:r>
      <w:r w:rsidRPr="00A2488A">
        <w:t xml:space="preserve"> 1 to the Tariff Review 2016</w:t>
      </w:r>
      <w:r w:rsidR="00E0097C">
        <w:t>’.</w:t>
      </w:r>
      <w:r w:rsidRPr="00A2488A">
        <w:t xml:space="preserve"> Canberra: Icon Water.</w:t>
      </w:r>
      <w:bookmarkEnd w:id="353"/>
    </w:p>
    <w:p w14:paraId="2CAB1D3B" w14:textId="77777777" w:rsidR="008E6581" w:rsidRDefault="008E6581" w:rsidP="008E6581">
      <w:pPr>
        <w:pStyle w:val="References"/>
      </w:pPr>
      <w:bookmarkStart w:id="354" w:name="_ENREF_19"/>
      <w:r w:rsidRPr="00A2488A">
        <w:t xml:space="preserve">Icon Water 2016c. </w:t>
      </w:r>
      <w:r w:rsidR="008A7B3D">
        <w:t>‘</w:t>
      </w:r>
      <w:r w:rsidRPr="00A2488A">
        <w:t xml:space="preserve">Submission </w:t>
      </w:r>
      <w:r w:rsidR="000B4A76">
        <w:t>n</w:t>
      </w:r>
      <w:r w:rsidRPr="00A2488A">
        <w:t>o</w:t>
      </w:r>
      <w:r w:rsidR="00575678">
        <w:t>.</w:t>
      </w:r>
      <w:r w:rsidRPr="00A2488A">
        <w:t xml:space="preserve"> 9 to the Tariff Review 2016</w:t>
      </w:r>
      <w:r w:rsidR="00E0097C">
        <w:t>’.</w:t>
      </w:r>
      <w:r w:rsidRPr="00A2488A">
        <w:t xml:space="preserve"> Canberra</w:t>
      </w:r>
      <w:r w:rsidR="00E35C12">
        <w:t>:</w:t>
      </w:r>
      <w:r w:rsidR="00E35C12" w:rsidRPr="00E35C12">
        <w:t xml:space="preserve"> </w:t>
      </w:r>
      <w:r w:rsidR="00E35C12" w:rsidRPr="00A2488A">
        <w:t>Icon Water</w:t>
      </w:r>
      <w:r w:rsidRPr="00A2488A">
        <w:t>.</w:t>
      </w:r>
      <w:bookmarkEnd w:id="354"/>
    </w:p>
    <w:p w14:paraId="3B8D1B41" w14:textId="77777777" w:rsidR="008E6581" w:rsidRDefault="008E6581" w:rsidP="008E6581">
      <w:pPr>
        <w:pStyle w:val="References"/>
      </w:pPr>
      <w:r>
        <w:t xml:space="preserve">Icon Water 2016d. </w:t>
      </w:r>
      <w:r w:rsidR="008A7B3D">
        <w:t>‘</w:t>
      </w:r>
      <w:r w:rsidRPr="00A2488A">
        <w:t xml:space="preserve">Submission </w:t>
      </w:r>
      <w:r w:rsidR="000B4A76">
        <w:t>n</w:t>
      </w:r>
      <w:r w:rsidRPr="00A2488A">
        <w:t>o</w:t>
      </w:r>
      <w:r w:rsidR="00575678">
        <w:t>.</w:t>
      </w:r>
      <w:r w:rsidRPr="00A2488A">
        <w:t xml:space="preserve"> </w:t>
      </w:r>
      <w:r>
        <w:t>14</w:t>
      </w:r>
      <w:r w:rsidRPr="00A2488A">
        <w:t xml:space="preserve"> to the Tariff Review 2016</w:t>
      </w:r>
      <w:r w:rsidR="00E0097C">
        <w:t>’.</w:t>
      </w:r>
      <w:r w:rsidRPr="00A2488A">
        <w:t xml:space="preserve"> Canberra</w:t>
      </w:r>
      <w:r w:rsidR="00E35C12">
        <w:t xml:space="preserve">: </w:t>
      </w:r>
      <w:r w:rsidR="00E35C12" w:rsidRPr="00A2488A">
        <w:t>Icon Water</w:t>
      </w:r>
      <w:r w:rsidRPr="00A2488A">
        <w:t>.</w:t>
      </w:r>
    </w:p>
    <w:p w14:paraId="2F5B56A5" w14:textId="77777777" w:rsidR="008E6581" w:rsidRPr="00A2488A" w:rsidRDefault="008E6581" w:rsidP="008E6581">
      <w:pPr>
        <w:pStyle w:val="References"/>
      </w:pPr>
      <w:r>
        <w:t xml:space="preserve">Icon Water 2016e. </w:t>
      </w:r>
      <w:r w:rsidR="00E62F0C" w:rsidRPr="00E62F0C">
        <w:rPr>
          <w:rStyle w:val="Italic"/>
        </w:rPr>
        <w:t>Water and sewerage supply and consumption charges</w:t>
      </w:r>
      <w:r>
        <w:t>. Canberra: Icon Water.</w:t>
      </w:r>
    </w:p>
    <w:p w14:paraId="5E17BD19" w14:textId="77777777" w:rsidR="008E6581" w:rsidRPr="00A2488A" w:rsidRDefault="008E6581" w:rsidP="008E6581">
      <w:pPr>
        <w:pStyle w:val="References"/>
      </w:pPr>
      <w:bookmarkStart w:id="355" w:name="_ENREF_20"/>
      <w:r w:rsidRPr="00A2488A">
        <w:t xml:space="preserve">ICRC 2013a. </w:t>
      </w:r>
      <w:r w:rsidR="00E62F0C" w:rsidRPr="00E62F0C">
        <w:rPr>
          <w:rStyle w:val="Italic"/>
        </w:rPr>
        <w:t xml:space="preserve">Final </w:t>
      </w:r>
      <w:r w:rsidR="000B4A76">
        <w:rPr>
          <w:rStyle w:val="Italic"/>
        </w:rPr>
        <w:t>r</w:t>
      </w:r>
      <w:r w:rsidR="00E62F0C" w:rsidRPr="00E62F0C">
        <w:rPr>
          <w:rStyle w:val="Italic"/>
        </w:rPr>
        <w:t xml:space="preserve">eport: Regulated </w:t>
      </w:r>
      <w:r w:rsidR="000B4A76">
        <w:rPr>
          <w:rStyle w:val="Italic"/>
        </w:rPr>
        <w:t>w</w:t>
      </w:r>
      <w:r w:rsidR="00E62F0C" w:rsidRPr="00E62F0C">
        <w:rPr>
          <w:rStyle w:val="Italic"/>
        </w:rPr>
        <w:t xml:space="preserve">ater and </w:t>
      </w:r>
      <w:r w:rsidR="000B4A76">
        <w:rPr>
          <w:rStyle w:val="Italic"/>
        </w:rPr>
        <w:t>s</w:t>
      </w:r>
      <w:r w:rsidR="00E62F0C" w:rsidRPr="00E62F0C">
        <w:rPr>
          <w:rStyle w:val="Italic"/>
        </w:rPr>
        <w:t xml:space="preserve">ewerage </w:t>
      </w:r>
      <w:r w:rsidR="000B4A76">
        <w:rPr>
          <w:rStyle w:val="Italic"/>
        </w:rPr>
        <w:t>s</w:t>
      </w:r>
      <w:r w:rsidR="00E62F0C" w:rsidRPr="00E62F0C">
        <w:rPr>
          <w:rStyle w:val="Italic"/>
        </w:rPr>
        <w:t>ervices 1 July 2013 to 30</w:t>
      </w:r>
      <w:r w:rsidR="000B4A76">
        <w:rPr>
          <w:rStyle w:val="Italic"/>
        </w:rPr>
        <w:t> </w:t>
      </w:r>
      <w:r w:rsidR="00E62F0C" w:rsidRPr="00E62F0C">
        <w:rPr>
          <w:rStyle w:val="Italic"/>
        </w:rPr>
        <w:t>June 2019</w:t>
      </w:r>
      <w:r w:rsidR="00E0097C">
        <w:t>.</w:t>
      </w:r>
      <w:r w:rsidRPr="00A2488A">
        <w:t xml:space="preserve"> Canberra: ICRC.</w:t>
      </w:r>
      <w:bookmarkEnd w:id="355"/>
    </w:p>
    <w:p w14:paraId="4FBE5B05" w14:textId="77777777" w:rsidR="008E6581" w:rsidRPr="00A2488A" w:rsidRDefault="008E6581" w:rsidP="008E6581">
      <w:pPr>
        <w:pStyle w:val="References"/>
      </w:pPr>
      <w:bookmarkStart w:id="356" w:name="_ENREF_21"/>
      <w:r w:rsidRPr="00A2488A">
        <w:t xml:space="preserve">ICRC 2013b. </w:t>
      </w:r>
      <w:r w:rsidR="00E62F0C" w:rsidRPr="00E62F0C">
        <w:rPr>
          <w:rStyle w:val="Italic"/>
        </w:rPr>
        <w:t xml:space="preserve">Price </w:t>
      </w:r>
      <w:r w:rsidR="000B4A76">
        <w:rPr>
          <w:rStyle w:val="Italic"/>
        </w:rPr>
        <w:t>d</w:t>
      </w:r>
      <w:r w:rsidR="00E62F0C" w:rsidRPr="00E62F0C">
        <w:rPr>
          <w:rStyle w:val="Italic"/>
        </w:rPr>
        <w:t>irection</w:t>
      </w:r>
      <w:r w:rsidR="000B4A76">
        <w:rPr>
          <w:rStyle w:val="Italic"/>
        </w:rPr>
        <w:t>:</w:t>
      </w:r>
      <w:r w:rsidR="00E62F0C" w:rsidRPr="00E62F0C">
        <w:rPr>
          <w:rStyle w:val="Italic"/>
        </w:rPr>
        <w:t xml:space="preserve"> Regulated </w:t>
      </w:r>
      <w:r w:rsidR="000B4A76">
        <w:rPr>
          <w:rStyle w:val="Italic"/>
        </w:rPr>
        <w:t>w</w:t>
      </w:r>
      <w:r w:rsidR="00E62F0C" w:rsidRPr="00E62F0C">
        <w:rPr>
          <w:rStyle w:val="Italic"/>
        </w:rPr>
        <w:t xml:space="preserve">ater and </w:t>
      </w:r>
      <w:r w:rsidR="000B4A76">
        <w:rPr>
          <w:rStyle w:val="Italic"/>
        </w:rPr>
        <w:t>s</w:t>
      </w:r>
      <w:r w:rsidR="00E62F0C" w:rsidRPr="00E62F0C">
        <w:rPr>
          <w:rStyle w:val="Italic"/>
        </w:rPr>
        <w:t xml:space="preserve">ewerage </w:t>
      </w:r>
      <w:r w:rsidR="000B4A76">
        <w:rPr>
          <w:rStyle w:val="Italic"/>
        </w:rPr>
        <w:t>s</w:t>
      </w:r>
      <w:r w:rsidR="00E62F0C" w:rsidRPr="00E62F0C">
        <w:rPr>
          <w:rStyle w:val="Italic"/>
        </w:rPr>
        <w:t>ervices 1 July 2013 to 30 June 2019</w:t>
      </w:r>
      <w:r w:rsidR="00E0097C">
        <w:t>.</w:t>
      </w:r>
      <w:r w:rsidRPr="00A2488A">
        <w:t xml:space="preserve"> Canberra: </w:t>
      </w:r>
      <w:r w:rsidR="00E35C12" w:rsidRPr="00A2488A">
        <w:t>Independent Competition and Regulatory Commission</w:t>
      </w:r>
      <w:r w:rsidRPr="00A2488A">
        <w:t>.</w:t>
      </w:r>
      <w:bookmarkEnd w:id="356"/>
    </w:p>
    <w:p w14:paraId="54B6C115" w14:textId="77777777" w:rsidR="008E6581" w:rsidRPr="00A2488A" w:rsidRDefault="008E6581" w:rsidP="008E6581">
      <w:pPr>
        <w:pStyle w:val="References"/>
      </w:pPr>
      <w:bookmarkStart w:id="357" w:name="_ENREF_22"/>
      <w:r w:rsidRPr="00A2488A">
        <w:t xml:space="preserve">ICRC 2015a. </w:t>
      </w:r>
      <w:r w:rsidR="00E62F0C" w:rsidRPr="00E62F0C">
        <w:rPr>
          <w:rStyle w:val="Italic"/>
        </w:rPr>
        <w:t xml:space="preserve">Issues </w:t>
      </w:r>
      <w:r w:rsidR="000B4A76">
        <w:rPr>
          <w:rStyle w:val="Italic"/>
        </w:rPr>
        <w:t>p</w:t>
      </w:r>
      <w:r w:rsidR="00E62F0C" w:rsidRPr="00E62F0C">
        <w:rPr>
          <w:rStyle w:val="Italic"/>
        </w:rPr>
        <w:t xml:space="preserve">aper: Tariff Review 2016 – Regulated </w:t>
      </w:r>
      <w:r w:rsidR="000B4A76">
        <w:rPr>
          <w:rStyle w:val="Italic"/>
        </w:rPr>
        <w:t>w</w:t>
      </w:r>
      <w:r w:rsidR="00E62F0C" w:rsidRPr="00E62F0C">
        <w:rPr>
          <w:rStyle w:val="Italic"/>
        </w:rPr>
        <w:t xml:space="preserve">ater and </w:t>
      </w:r>
      <w:r w:rsidR="000B4A76">
        <w:rPr>
          <w:rStyle w:val="Italic"/>
        </w:rPr>
        <w:t>s</w:t>
      </w:r>
      <w:r w:rsidR="00E62F0C" w:rsidRPr="00E62F0C">
        <w:rPr>
          <w:rStyle w:val="Italic"/>
        </w:rPr>
        <w:t xml:space="preserve">ewerage </w:t>
      </w:r>
      <w:r w:rsidR="000B4A76">
        <w:rPr>
          <w:rStyle w:val="Italic"/>
        </w:rPr>
        <w:t>s</w:t>
      </w:r>
      <w:r w:rsidR="00E62F0C" w:rsidRPr="00E62F0C">
        <w:rPr>
          <w:rStyle w:val="Italic"/>
        </w:rPr>
        <w:t>ervices</w:t>
      </w:r>
      <w:r w:rsidR="00E0097C">
        <w:t>.</w:t>
      </w:r>
      <w:r w:rsidRPr="00A2488A">
        <w:t xml:space="preserve"> Canberra: </w:t>
      </w:r>
      <w:r w:rsidR="00E35C12" w:rsidRPr="00A2488A">
        <w:t>Independent Competition and Regulatory Commission</w:t>
      </w:r>
      <w:r w:rsidRPr="00A2488A">
        <w:t>.</w:t>
      </w:r>
      <w:bookmarkEnd w:id="357"/>
    </w:p>
    <w:p w14:paraId="021A1C8C" w14:textId="77777777" w:rsidR="008E6581" w:rsidRPr="00A2488A" w:rsidRDefault="008E6581" w:rsidP="008E6581">
      <w:pPr>
        <w:pStyle w:val="References"/>
      </w:pPr>
      <w:bookmarkStart w:id="358" w:name="_ENREF_23"/>
      <w:r w:rsidRPr="00A2488A">
        <w:t xml:space="preserve">ICRC 2015b. </w:t>
      </w:r>
      <w:r w:rsidR="00E62F0C" w:rsidRPr="00E62F0C">
        <w:rPr>
          <w:rStyle w:val="Italic"/>
        </w:rPr>
        <w:t xml:space="preserve">Water </w:t>
      </w:r>
      <w:r w:rsidR="000B4A76">
        <w:rPr>
          <w:rStyle w:val="Italic"/>
        </w:rPr>
        <w:t>d</w:t>
      </w:r>
      <w:r w:rsidR="00E62F0C" w:rsidRPr="00E62F0C">
        <w:rPr>
          <w:rStyle w:val="Italic"/>
        </w:rPr>
        <w:t xml:space="preserve">emand </w:t>
      </w:r>
      <w:r w:rsidR="000B4A76">
        <w:rPr>
          <w:rStyle w:val="Italic"/>
        </w:rPr>
        <w:t>f</w:t>
      </w:r>
      <w:r w:rsidR="00E62F0C" w:rsidRPr="00E62F0C">
        <w:rPr>
          <w:rStyle w:val="Italic"/>
        </w:rPr>
        <w:t xml:space="preserve">orecasting </w:t>
      </w:r>
      <w:r w:rsidR="000B4A76">
        <w:rPr>
          <w:rStyle w:val="Italic"/>
        </w:rPr>
        <w:t>f</w:t>
      </w:r>
      <w:r w:rsidR="00E62F0C" w:rsidRPr="00E62F0C">
        <w:rPr>
          <w:rStyle w:val="Italic"/>
        </w:rPr>
        <w:t xml:space="preserve">inal </w:t>
      </w:r>
      <w:r w:rsidR="000B4A76">
        <w:rPr>
          <w:rStyle w:val="Italic"/>
        </w:rPr>
        <w:t>t</w:t>
      </w:r>
      <w:r w:rsidR="00E62F0C" w:rsidRPr="00E62F0C">
        <w:rPr>
          <w:rStyle w:val="Italic"/>
        </w:rPr>
        <w:t xml:space="preserve">echnical </w:t>
      </w:r>
      <w:r w:rsidR="000B4A76">
        <w:rPr>
          <w:rStyle w:val="Italic"/>
        </w:rPr>
        <w:t>p</w:t>
      </w:r>
      <w:r w:rsidR="00E62F0C" w:rsidRPr="00E62F0C">
        <w:rPr>
          <w:rStyle w:val="Italic"/>
        </w:rPr>
        <w:t>aper</w:t>
      </w:r>
      <w:r w:rsidR="00E0097C">
        <w:t>.</w:t>
      </w:r>
      <w:r w:rsidRPr="00A2488A">
        <w:t xml:space="preserve"> Canberra: Independent Competition and Regulatory Commission.</w:t>
      </w:r>
      <w:bookmarkEnd w:id="358"/>
    </w:p>
    <w:p w14:paraId="3EC5D923" w14:textId="77777777" w:rsidR="008E6581" w:rsidRPr="00A2488A" w:rsidRDefault="008E6581" w:rsidP="008E6581">
      <w:pPr>
        <w:pStyle w:val="References"/>
      </w:pPr>
      <w:bookmarkStart w:id="359" w:name="_ENREF_24"/>
      <w:r w:rsidRPr="00A2488A">
        <w:t xml:space="preserve">ICRC 2016a. </w:t>
      </w:r>
      <w:r w:rsidR="00E62F0C" w:rsidRPr="00E62F0C">
        <w:rPr>
          <w:rStyle w:val="Italic"/>
        </w:rPr>
        <w:t>Technical paper 1: Price elasticity of water demand in the ACT</w:t>
      </w:r>
      <w:r w:rsidR="00E0097C">
        <w:t>.</w:t>
      </w:r>
      <w:r w:rsidRPr="00A2488A">
        <w:t xml:space="preserve"> Canberra: Independent Competition and Regulatory Commission.</w:t>
      </w:r>
      <w:bookmarkEnd w:id="359"/>
    </w:p>
    <w:p w14:paraId="4727E8FC" w14:textId="77777777" w:rsidR="008E6581" w:rsidRDefault="008E6581" w:rsidP="008E6581">
      <w:pPr>
        <w:pStyle w:val="References"/>
      </w:pPr>
      <w:bookmarkStart w:id="360" w:name="_ENREF_25"/>
      <w:r w:rsidRPr="00A2488A">
        <w:t xml:space="preserve">ICRC 2016b. </w:t>
      </w:r>
      <w:r w:rsidR="00E62F0C" w:rsidRPr="00E62F0C">
        <w:rPr>
          <w:rStyle w:val="Italic"/>
        </w:rPr>
        <w:t>Technical paper 2: Marginal cost pricing in the ACT</w:t>
      </w:r>
      <w:r w:rsidR="00E0097C">
        <w:t>.</w:t>
      </w:r>
      <w:r w:rsidRPr="00A2488A">
        <w:t xml:space="preserve"> Canberra: Independent Competition and Regulatory Commission.</w:t>
      </w:r>
      <w:bookmarkEnd w:id="360"/>
    </w:p>
    <w:p w14:paraId="6121F126" w14:textId="77777777" w:rsidR="008E6581" w:rsidRDefault="008E6581" w:rsidP="008E6581">
      <w:pPr>
        <w:pStyle w:val="References"/>
      </w:pPr>
      <w:r>
        <w:t xml:space="preserve">ICRC 2016c. </w:t>
      </w:r>
      <w:r w:rsidR="00E62F0C" w:rsidRPr="00E62F0C">
        <w:rPr>
          <w:rStyle w:val="Italic"/>
        </w:rPr>
        <w:t>Draft report: Tariff Review 2016 – Regulated water and sewerage services</w:t>
      </w:r>
      <w:r w:rsidR="00E0097C">
        <w:t>.</w:t>
      </w:r>
      <w:r>
        <w:t xml:space="preserve"> Canberra: </w:t>
      </w:r>
      <w:r w:rsidR="00E35C12" w:rsidRPr="00A2488A">
        <w:t>Independent Competition and Regulatory Commission</w:t>
      </w:r>
      <w:r>
        <w:t>.</w:t>
      </w:r>
      <w:r w:rsidR="008013DA">
        <w:t xml:space="preserve"> </w:t>
      </w:r>
      <w:r>
        <w:t xml:space="preserve"> </w:t>
      </w:r>
    </w:p>
    <w:p w14:paraId="54D7AF70" w14:textId="5543296B" w:rsidR="008E6581" w:rsidRPr="00A2488A" w:rsidRDefault="008E6581" w:rsidP="008E6581">
      <w:pPr>
        <w:pStyle w:val="References"/>
      </w:pPr>
      <w:bookmarkStart w:id="361" w:name="_ENREF_26"/>
      <w:r w:rsidRPr="00A2488A">
        <w:lastRenderedPageBreak/>
        <w:t xml:space="preserve">Industry Panel 2015. </w:t>
      </w:r>
      <w:r w:rsidR="00E62F0C" w:rsidRPr="00E62F0C">
        <w:rPr>
          <w:rStyle w:val="Italic"/>
        </w:rPr>
        <w:t>Substituted price direction: Regulated water and sewerage services 1 July 2013 to 30 June 2018</w:t>
      </w:r>
      <w:r w:rsidR="00E0097C">
        <w:t>.</w:t>
      </w:r>
      <w:r w:rsidRPr="00A2488A">
        <w:t xml:space="preserve"> Canberra: Industry Panel.</w:t>
      </w:r>
      <w:bookmarkEnd w:id="361"/>
    </w:p>
    <w:p w14:paraId="71723E84" w14:textId="77777777" w:rsidR="008E6581" w:rsidRDefault="008E6581" w:rsidP="008E6581">
      <w:pPr>
        <w:pStyle w:val="References"/>
      </w:pPr>
      <w:bookmarkStart w:id="362" w:name="_ENREF_27"/>
      <w:r>
        <w:t>Kl</w:t>
      </w:r>
      <w:r w:rsidRPr="00A2488A">
        <w:t xml:space="preserve">ugman, K 2016. </w:t>
      </w:r>
      <w:r w:rsidR="008A7B3D">
        <w:t>‘</w:t>
      </w:r>
      <w:r w:rsidRPr="00A2488A">
        <w:t xml:space="preserve">Submission </w:t>
      </w:r>
      <w:r w:rsidR="00575678">
        <w:t>n</w:t>
      </w:r>
      <w:r w:rsidRPr="00A2488A">
        <w:t>o</w:t>
      </w:r>
      <w:r w:rsidR="00E0097C">
        <w:t>.</w:t>
      </w:r>
      <w:r w:rsidRPr="00A2488A">
        <w:t xml:space="preserve"> 3 to the Tariff Review</w:t>
      </w:r>
      <w:r>
        <w:t xml:space="preserve"> 2016</w:t>
      </w:r>
      <w:r w:rsidR="00E0097C">
        <w:t>’.</w:t>
      </w:r>
      <w:r w:rsidRPr="00A2488A">
        <w:t xml:space="preserve"> Canberra.</w:t>
      </w:r>
      <w:bookmarkEnd w:id="362"/>
    </w:p>
    <w:p w14:paraId="46D53E32" w14:textId="77777777" w:rsidR="008E6581" w:rsidRDefault="008E6581" w:rsidP="008E6581">
      <w:pPr>
        <w:pStyle w:val="References"/>
      </w:pPr>
      <w:bookmarkStart w:id="363" w:name="_ENREF_28"/>
      <w:r w:rsidRPr="00A2488A">
        <w:t>Knee, R 2016</w:t>
      </w:r>
      <w:r>
        <w:t>a</w:t>
      </w:r>
      <w:r w:rsidRPr="00A2488A">
        <w:t xml:space="preserve">. </w:t>
      </w:r>
      <w:r w:rsidR="008A7B3D">
        <w:t>‘</w:t>
      </w:r>
      <w:r w:rsidRPr="00A2488A">
        <w:t xml:space="preserve">Submission </w:t>
      </w:r>
      <w:r w:rsidR="00575678">
        <w:t>n</w:t>
      </w:r>
      <w:r w:rsidRPr="00A2488A">
        <w:t>o</w:t>
      </w:r>
      <w:r w:rsidR="00E0097C">
        <w:t>.</w:t>
      </w:r>
      <w:r w:rsidRPr="00A2488A">
        <w:t xml:space="preserve"> 6 to the Tariff Review</w:t>
      </w:r>
      <w:r>
        <w:t xml:space="preserve"> 2016</w:t>
      </w:r>
      <w:r w:rsidR="00E0097C">
        <w:t>’.</w:t>
      </w:r>
      <w:r w:rsidRPr="00A2488A">
        <w:t xml:space="preserve"> Canberra.</w:t>
      </w:r>
      <w:bookmarkEnd w:id="363"/>
    </w:p>
    <w:p w14:paraId="7DBFE1E5" w14:textId="77777777" w:rsidR="008E6581" w:rsidRPr="00A2488A" w:rsidRDefault="008E6581" w:rsidP="008E6581">
      <w:pPr>
        <w:pStyle w:val="References"/>
      </w:pPr>
      <w:r>
        <w:t xml:space="preserve">Knee, R. 2016b. </w:t>
      </w:r>
      <w:r w:rsidR="008A7B3D">
        <w:t>‘</w:t>
      </w:r>
      <w:r w:rsidRPr="00A2488A">
        <w:t xml:space="preserve">Submission </w:t>
      </w:r>
      <w:r w:rsidR="00575678">
        <w:t>n</w:t>
      </w:r>
      <w:r w:rsidRPr="00A2488A">
        <w:t>o</w:t>
      </w:r>
      <w:r w:rsidR="00E0097C">
        <w:t>.</w:t>
      </w:r>
      <w:r w:rsidRPr="00A2488A">
        <w:t xml:space="preserve"> </w:t>
      </w:r>
      <w:r>
        <w:t>15</w:t>
      </w:r>
      <w:r w:rsidRPr="00A2488A">
        <w:t xml:space="preserve"> to the Tariff Review 2016</w:t>
      </w:r>
      <w:r w:rsidR="00E0097C">
        <w:t>’.</w:t>
      </w:r>
      <w:r w:rsidRPr="00A2488A">
        <w:t xml:space="preserve"> Canberra.</w:t>
      </w:r>
    </w:p>
    <w:p w14:paraId="454A174F" w14:textId="77777777" w:rsidR="008E6581" w:rsidRPr="00A2488A" w:rsidRDefault="008E6581" w:rsidP="008E6581">
      <w:pPr>
        <w:pStyle w:val="References"/>
      </w:pPr>
      <w:bookmarkStart w:id="364" w:name="_ENREF_29"/>
      <w:r w:rsidRPr="00A2488A">
        <w:t xml:space="preserve">NRMMC 2010. </w:t>
      </w:r>
      <w:r w:rsidR="00E62F0C" w:rsidRPr="00E62F0C">
        <w:rPr>
          <w:rStyle w:val="Italic"/>
        </w:rPr>
        <w:t>National Water Initiative pricing principles</w:t>
      </w:r>
      <w:r w:rsidR="00E0097C">
        <w:t>.</w:t>
      </w:r>
      <w:r w:rsidRPr="00A2488A">
        <w:t xml:space="preserve"> Canberra: Natural Resource Management Ministerial Council.</w:t>
      </w:r>
      <w:bookmarkEnd w:id="364"/>
    </w:p>
    <w:p w14:paraId="466D1B20" w14:textId="77777777" w:rsidR="008E6581" w:rsidRPr="00A2488A" w:rsidRDefault="008E6581" w:rsidP="008E6581">
      <w:pPr>
        <w:pStyle w:val="References"/>
      </w:pPr>
      <w:bookmarkStart w:id="365" w:name="_ENREF_30"/>
      <w:r w:rsidRPr="00A2488A">
        <w:t xml:space="preserve">NWC 2011. </w:t>
      </w:r>
      <w:r w:rsidR="00E62F0C" w:rsidRPr="00E62F0C">
        <w:rPr>
          <w:rStyle w:val="Italic"/>
        </w:rPr>
        <w:t>Efficient water resource pricing in Australia: An assessment of administered scarcity pricing in urban areas</w:t>
      </w:r>
      <w:r w:rsidR="00E0097C">
        <w:t>.</w:t>
      </w:r>
      <w:r w:rsidRPr="00A2488A">
        <w:t xml:space="preserve"> Canberra: National Water Commission.</w:t>
      </w:r>
      <w:bookmarkEnd w:id="365"/>
    </w:p>
    <w:p w14:paraId="62B663E7" w14:textId="77777777" w:rsidR="008E6581" w:rsidRDefault="008E6581" w:rsidP="008E6581">
      <w:pPr>
        <w:pStyle w:val="References"/>
      </w:pPr>
      <w:bookmarkStart w:id="366" w:name="_ENREF_31"/>
      <w:r>
        <w:t xml:space="preserve">Parkin, D. 2016. </w:t>
      </w:r>
      <w:r w:rsidR="008A7B3D">
        <w:t>‘</w:t>
      </w:r>
      <w:r>
        <w:t xml:space="preserve">Submission </w:t>
      </w:r>
      <w:r w:rsidR="00575678">
        <w:t>n</w:t>
      </w:r>
      <w:r>
        <w:t>o</w:t>
      </w:r>
      <w:r w:rsidR="00E0097C">
        <w:t>.</w:t>
      </w:r>
      <w:r>
        <w:t xml:space="preserve"> 16 to the Tariff Review 2016</w:t>
      </w:r>
      <w:r w:rsidR="00E0097C">
        <w:t>’.</w:t>
      </w:r>
      <w:r>
        <w:t xml:space="preserve"> Canberra. </w:t>
      </w:r>
    </w:p>
    <w:p w14:paraId="0A23877D" w14:textId="77777777" w:rsidR="008E6581" w:rsidRDefault="008E6581" w:rsidP="008E6581">
      <w:pPr>
        <w:pStyle w:val="References"/>
      </w:pPr>
      <w:r>
        <w:t xml:space="preserve">PowerWater 2016. </w:t>
      </w:r>
      <w:r w:rsidR="00E62F0C" w:rsidRPr="00E62F0C">
        <w:rPr>
          <w:rStyle w:val="Italic"/>
        </w:rPr>
        <w:t>How much does it cost for water, sewerage and electricity?</w:t>
      </w:r>
      <w:r>
        <w:t xml:space="preserve"> Darwin: Power and Water Corporation.</w:t>
      </w:r>
    </w:p>
    <w:p w14:paraId="10116F79" w14:textId="77777777" w:rsidR="008E6581" w:rsidRDefault="008E6581" w:rsidP="008E6581">
      <w:pPr>
        <w:pStyle w:val="References"/>
      </w:pPr>
      <w:r>
        <w:t xml:space="preserve">Productivity Commission 2011, </w:t>
      </w:r>
      <w:r w:rsidR="00E62F0C" w:rsidRPr="00E62F0C">
        <w:rPr>
          <w:rStyle w:val="Italic"/>
        </w:rPr>
        <w:t>Australia’s urban water sector</w:t>
      </w:r>
      <w:r w:rsidR="000B4A76">
        <w:t>.</w:t>
      </w:r>
      <w:r>
        <w:t xml:space="preserve"> Inquiry </w:t>
      </w:r>
      <w:r w:rsidR="00575678">
        <w:t>r</w:t>
      </w:r>
      <w:r>
        <w:t>eport</w:t>
      </w:r>
      <w:r w:rsidR="000B4A76">
        <w:t>,</w:t>
      </w:r>
      <w:r>
        <w:t xml:space="preserve"> </w:t>
      </w:r>
      <w:r w:rsidR="000B4A76">
        <w:t>v</w:t>
      </w:r>
      <w:r>
        <w:t xml:space="preserve">olume 1, </w:t>
      </w:r>
      <w:r w:rsidR="00575678">
        <w:t>n</w:t>
      </w:r>
      <w:r>
        <w:t>o. 55, 31 August, Canberra.</w:t>
      </w:r>
    </w:p>
    <w:p w14:paraId="07EE3D1E" w14:textId="77777777" w:rsidR="008E6581" w:rsidRDefault="008E6581" w:rsidP="008E6581">
      <w:pPr>
        <w:pStyle w:val="References"/>
      </w:pPr>
      <w:r w:rsidRPr="00A2488A">
        <w:t xml:space="preserve">Rae, J 2016. </w:t>
      </w:r>
      <w:r w:rsidR="008A7B3D">
        <w:t>‘</w:t>
      </w:r>
      <w:r w:rsidRPr="00A2488A">
        <w:t xml:space="preserve">Submission </w:t>
      </w:r>
      <w:r w:rsidR="00575678">
        <w:t>n</w:t>
      </w:r>
      <w:r w:rsidRPr="00A2488A">
        <w:t>o</w:t>
      </w:r>
      <w:r w:rsidR="00E0097C">
        <w:t>.</w:t>
      </w:r>
      <w:r w:rsidRPr="00A2488A">
        <w:t xml:space="preserve"> 2 to the Tariff Review</w:t>
      </w:r>
      <w:r>
        <w:t xml:space="preserve"> 2016</w:t>
      </w:r>
      <w:r w:rsidR="00E0097C">
        <w:t>’.</w:t>
      </w:r>
      <w:r w:rsidRPr="00A2488A">
        <w:t xml:space="preserve"> Canberra.</w:t>
      </w:r>
      <w:bookmarkEnd w:id="366"/>
    </w:p>
    <w:p w14:paraId="59AB584D" w14:textId="77777777" w:rsidR="008E6581" w:rsidRDefault="008E6581" w:rsidP="008E6581">
      <w:pPr>
        <w:pStyle w:val="References"/>
      </w:pPr>
      <w:r>
        <w:t xml:space="preserve">Queensland Urban Utilities 2017a. </w:t>
      </w:r>
      <w:r w:rsidR="00E62F0C" w:rsidRPr="00E62F0C">
        <w:rPr>
          <w:rStyle w:val="Italic"/>
        </w:rPr>
        <w:t>Residential – price and charges 2016–17</w:t>
      </w:r>
      <w:r>
        <w:t>. Brisbane: South East Queensland Water.</w:t>
      </w:r>
    </w:p>
    <w:p w14:paraId="1D6768DA" w14:textId="0C98DA00" w:rsidR="008E6581" w:rsidRPr="00A2488A" w:rsidRDefault="008E6581" w:rsidP="008E6581">
      <w:pPr>
        <w:pStyle w:val="References"/>
      </w:pPr>
      <w:r>
        <w:t xml:space="preserve">Queensland Urban Utilities 2017b. </w:t>
      </w:r>
      <w:r w:rsidR="00D8340E">
        <w:rPr>
          <w:rStyle w:val="Italic"/>
        </w:rPr>
        <w:t>Business</w:t>
      </w:r>
      <w:r w:rsidR="00D8340E" w:rsidRPr="00E62F0C">
        <w:rPr>
          <w:rStyle w:val="Italic"/>
        </w:rPr>
        <w:t xml:space="preserve"> </w:t>
      </w:r>
      <w:r w:rsidR="00E62F0C" w:rsidRPr="00E62F0C">
        <w:rPr>
          <w:rStyle w:val="Italic"/>
        </w:rPr>
        <w:t>– price and charges 2016–17</w:t>
      </w:r>
      <w:r>
        <w:t>. Brisbane: South East Queensland Water.</w:t>
      </w:r>
    </w:p>
    <w:p w14:paraId="232E35BC" w14:textId="77777777" w:rsidR="008E6581" w:rsidRPr="00A2488A" w:rsidRDefault="008E6581" w:rsidP="008E6581">
      <w:pPr>
        <w:pStyle w:val="References"/>
      </w:pPr>
      <w:bookmarkStart w:id="367" w:name="_ENREF_32"/>
      <w:r w:rsidRPr="00A2488A">
        <w:t xml:space="preserve">Ramsey, FP 1927. </w:t>
      </w:r>
      <w:r w:rsidR="008A7B3D">
        <w:t>‘</w:t>
      </w:r>
      <w:r w:rsidRPr="00A2488A">
        <w:t xml:space="preserve">A </w:t>
      </w:r>
      <w:r w:rsidR="00575678">
        <w:t>c</w:t>
      </w:r>
      <w:r w:rsidRPr="00A2488A">
        <w:t xml:space="preserve">ontribution to the </w:t>
      </w:r>
      <w:r w:rsidR="00575678">
        <w:t>t</w:t>
      </w:r>
      <w:r w:rsidRPr="00A2488A">
        <w:t xml:space="preserve">heory of </w:t>
      </w:r>
      <w:r w:rsidR="00575678">
        <w:t>t</w:t>
      </w:r>
      <w:r w:rsidRPr="00A2488A">
        <w:t>axation</w:t>
      </w:r>
      <w:r w:rsidR="00E0097C">
        <w:t>’.</w:t>
      </w:r>
      <w:r w:rsidRPr="00A2488A">
        <w:t xml:space="preserve"> </w:t>
      </w:r>
      <w:r w:rsidRPr="00A2488A">
        <w:rPr>
          <w:i/>
        </w:rPr>
        <w:t>Economic Journal</w:t>
      </w:r>
      <w:r w:rsidRPr="00A2488A">
        <w:t xml:space="preserve"> 37</w:t>
      </w:r>
      <w:r w:rsidR="00E0097C">
        <w:t>:</w:t>
      </w:r>
      <w:r w:rsidRPr="00A2488A">
        <w:t xml:space="preserve"> 47</w:t>
      </w:r>
      <w:r w:rsidR="00E0097C">
        <w:t>–</w:t>
      </w:r>
      <w:r w:rsidRPr="00A2488A">
        <w:t>61.</w:t>
      </w:r>
      <w:bookmarkEnd w:id="367"/>
    </w:p>
    <w:p w14:paraId="3ED02C2A" w14:textId="77777777" w:rsidR="008E6581" w:rsidRPr="00A2488A" w:rsidRDefault="008E6581" w:rsidP="008E6581">
      <w:pPr>
        <w:pStyle w:val="References"/>
      </w:pPr>
      <w:bookmarkStart w:id="368" w:name="_ENREF_34"/>
      <w:r w:rsidRPr="00A2488A">
        <w:t xml:space="preserve">SA Water 2016. </w:t>
      </w:r>
      <w:r w:rsidR="00E62F0C" w:rsidRPr="00E62F0C">
        <w:rPr>
          <w:rStyle w:val="Italic"/>
        </w:rPr>
        <w:t>Fees and charges schedule 2016–17</w:t>
      </w:r>
      <w:r w:rsidR="00E0097C">
        <w:t>.</w:t>
      </w:r>
      <w:r w:rsidRPr="00A2488A">
        <w:t xml:space="preserve"> Adelaide: South Australian Water Corporation.</w:t>
      </w:r>
      <w:bookmarkEnd w:id="368"/>
    </w:p>
    <w:p w14:paraId="533B09F1" w14:textId="77777777" w:rsidR="008E6581" w:rsidRDefault="008E6581" w:rsidP="008E6581">
      <w:pPr>
        <w:pStyle w:val="References"/>
      </w:pPr>
      <w:bookmarkStart w:id="369" w:name="_ENREF_35"/>
      <w:r w:rsidRPr="00A2488A">
        <w:t xml:space="preserve">Saunders, RJ, Warford, JJ and Mann, PC 1977. </w:t>
      </w:r>
      <w:r w:rsidR="00E62F0C" w:rsidRPr="00E62F0C">
        <w:rPr>
          <w:rStyle w:val="Italic"/>
        </w:rPr>
        <w:t>Alternative concepts of marginal cost for public utility pricing: problems of application in the water supply sector</w:t>
      </w:r>
      <w:r w:rsidR="00E0097C">
        <w:t>.</w:t>
      </w:r>
      <w:r w:rsidRPr="00A2488A">
        <w:t xml:space="preserve"> </w:t>
      </w:r>
      <w:r w:rsidR="00E0097C">
        <w:t xml:space="preserve">Washington DC: </w:t>
      </w:r>
      <w:r w:rsidRPr="00A2488A">
        <w:t>World Bank.</w:t>
      </w:r>
      <w:bookmarkEnd w:id="369"/>
    </w:p>
    <w:p w14:paraId="1AF955B8" w14:textId="77777777" w:rsidR="008E6581" w:rsidRPr="00A2488A" w:rsidRDefault="008E6581" w:rsidP="008E6581">
      <w:pPr>
        <w:pStyle w:val="References"/>
      </w:pPr>
      <w:r>
        <w:t xml:space="preserve">South East Water 2016. </w:t>
      </w:r>
      <w:r w:rsidR="00E62F0C" w:rsidRPr="00E62F0C">
        <w:rPr>
          <w:rStyle w:val="Italic"/>
        </w:rPr>
        <w:t>South East Water price manual – 2016–17 tariffs and charges</w:t>
      </w:r>
      <w:r>
        <w:t>. Melbourne: South East Water Corporation.</w:t>
      </w:r>
    </w:p>
    <w:p w14:paraId="6A5A2E49" w14:textId="77777777" w:rsidR="008E6581" w:rsidRPr="00A2488A" w:rsidRDefault="008E6581" w:rsidP="008E6581">
      <w:pPr>
        <w:pStyle w:val="References"/>
      </w:pPr>
      <w:bookmarkStart w:id="370" w:name="_ENREF_36"/>
      <w:r w:rsidRPr="00A2488A">
        <w:t xml:space="preserve">Sydney Water 2016a. </w:t>
      </w:r>
      <w:r w:rsidR="00E62F0C" w:rsidRPr="00E62F0C">
        <w:rPr>
          <w:rStyle w:val="Italic"/>
        </w:rPr>
        <w:t>Commercial customers: Trade wastewater fees and charges for 2016–17</w:t>
      </w:r>
      <w:r w:rsidR="00E0097C">
        <w:t>.</w:t>
      </w:r>
      <w:r w:rsidRPr="00A2488A">
        <w:t xml:space="preserve"> Sydney: Sydney Water.</w:t>
      </w:r>
      <w:bookmarkEnd w:id="370"/>
    </w:p>
    <w:p w14:paraId="20AE9A70" w14:textId="77777777" w:rsidR="008E6581" w:rsidRPr="00A2488A" w:rsidRDefault="008E6581" w:rsidP="008E6581">
      <w:pPr>
        <w:pStyle w:val="References"/>
      </w:pPr>
      <w:bookmarkStart w:id="371" w:name="_ENREF_37"/>
      <w:r w:rsidRPr="00A2488A">
        <w:lastRenderedPageBreak/>
        <w:t xml:space="preserve">Sydney Water 2016b. </w:t>
      </w:r>
      <w:r w:rsidR="00E62F0C" w:rsidRPr="00E62F0C">
        <w:rPr>
          <w:rStyle w:val="Italic"/>
        </w:rPr>
        <w:t>Prices for your home: 1 July 2016 to 30 June 2017</w:t>
      </w:r>
      <w:r w:rsidR="00E0097C">
        <w:t>.</w:t>
      </w:r>
      <w:r w:rsidRPr="00A2488A">
        <w:t xml:space="preserve"> Sydney: Sydney Water.</w:t>
      </w:r>
      <w:bookmarkEnd w:id="371"/>
    </w:p>
    <w:p w14:paraId="65676E16" w14:textId="77777777" w:rsidR="008E6581" w:rsidRPr="00A2488A" w:rsidRDefault="008E6581" w:rsidP="008E6581">
      <w:pPr>
        <w:pStyle w:val="References"/>
      </w:pPr>
      <w:bookmarkStart w:id="372" w:name="_ENREF_38"/>
      <w:r w:rsidRPr="00A2488A">
        <w:t xml:space="preserve">TasWater 2015. </w:t>
      </w:r>
      <w:r w:rsidR="00E62F0C" w:rsidRPr="00E62F0C">
        <w:rPr>
          <w:rStyle w:val="Italic"/>
        </w:rPr>
        <w:t>Price and service plan 2015–18: Schedule of fees and charges</w:t>
      </w:r>
      <w:r w:rsidR="00E0097C">
        <w:t>.</w:t>
      </w:r>
      <w:r w:rsidRPr="00A2488A">
        <w:t xml:space="preserve"> Hobart: TasWater.</w:t>
      </w:r>
      <w:bookmarkEnd w:id="372"/>
    </w:p>
    <w:p w14:paraId="4BF7330F" w14:textId="77777777" w:rsidR="008E6581" w:rsidRDefault="008E6581" w:rsidP="008E6581">
      <w:pPr>
        <w:pStyle w:val="References"/>
      </w:pPr>
      <w:r>
        <w:t xml:space="preserve">Vidler, S 2016. </w:t>
      </w:r>
      <w:r w:rsidR="008A7B3D">
        <w:t>‘</w:t>
      </w:r>
      <w:r>
        <w:t xml:space="preserve">Submission </w:t>
      </w:r>
      <w:r w:rsidR="008A3F7E">
        <w:t>n</w:t>
      </w:r>
      <w:r>
        <w:t>o</w:t>
      </w:r>
      <w:r w:rsidR="008A3F7E">
        <w:t>.</w:t>
      </w:r>
      <w:r>
        <w:t xml:space="preserve"> 17 to the Tariff Review 2016</w:t>
      </w:r>
      <w:r w:rsidR="008A7B3D">
        <w:t>’</w:t>
      </w:r>
      <w:r w:rsidR="00E0097C">
        <w:t>.</w:t>
      </w:r>
      <w:r>
        <w:t xml:space="preserve"> Canberra.</w:t>
      </w:r>
    </w:p>
    <w:p w14:paraId="656EA3F5" w14:textId="77777777" w:rsidR="008E6581" w:rsidRDefault="008E6581" w:rsidP="008E6581">
      <w:pPr>
        <w:pStyle w:val="References"/>
      </w:pPr>
      <w:r>
        <w:t xml:space="preserve">White Label Personal Clouds, 2016a. </w:t>
      </w:r>
      <w:r w:rsidR="008A7B3D">
        <w:t>‘</w:t>
      </w:r>
      <w:r w:rsidRPr="00A2488A">
        <w:t xml:space="preserve">Submission </w:t>
      </w:r>
      <w:r w:rsidR="008A3F7E">
        <w:t>n</w:t>
      </w:r>
      <w:r w:rsidRPr="00A2488A">
        <w:t>o</w:t>
      </w:r>
      <w:r w:rsidR="00E0097C">
        <w:t>.</w:t>
      </w:r>
      <w:r w:rsidRPr="00A2488A">
        <w:t xml:space="preserve"> </w:t>
      </w:r>
      <w:r>
        <w:t>10</w:t>
      </w:r>
      <w:r w:rsidRPr="00A2488A">
        <w:t xml:space="preserve"> to the Tariff Review 2016</w:t>
      </w:r>
      <w:r w:rsidR="008A7B3D">
        <w:t>’</w:t>
      </w:r>
      <w:r w:rsidR="00E0097C">
        <w:t>.</w:t>
      </w:r>
      <w:r w:rsidRPr="00A2488A">
        <w:t xml:space="preserve"> Canberra</w:t>
      </w:r>
      <w:r w:rsidR="00E0097C">
        <w:t>:</w:t>
      </w:r>
      <w:r w:rsidR="00E0097C" w:rsidRPr="00E0097C">
        <w:t xml:space="preserve"> </w:t>
      </w:r>
      <w:r w:rsidR="00E0097C">
        <w:t>White Label Personal Clouds</w:t>
      </w:r>
      <w:r w:rsidRPr="00A2488A">
        <w:t>.</w:t>
      </w:r>
    </w:p>
    <w:p w14:paraId="6094E237" w14:textId="6D3D716A" w:rsidR="008E6581" w:rsidRDefault="008E6581" w:rsidP="008E6581">
      <w:pPr>
        <w:pStyle w:val="References"/>
      </w:pPr>
      <w:r>
        <w:t xml:space="preserve">White Label Personal Clouds, 2016b. </w:t>
      </w:r>
      <w:r w:rsidR="008A7B3D">
        <w:t>‘</w:t>
      </w:r>
      <w:r>
        <w:t xml:space="preserve">Addendum to </w:t>
      </w:r>
      <w:r w:rsidR="008A3F7E">
        <w:t>s</w:t>
      </w:r>
      <w:r w:rsidRPr="00A2488A">
        <w:t xml:space="preserve">ubmission </w:t>
      </w:r>
      <w:r w:rsidR="008A3F7E">
        <w:t>n</w:t>
      </w:r>
      <w:r w:rsidRPr="00A2488A">
        <w:t>o</w:t>
      </w:r>
      <w:r w:rsidR="00E0097C">
        <w:t>.</w:t>
      </w:r>
      <w:r w:rsidRPr="00A2488A">
        <w:t xml:space="preserve"> </w:t>
      </w:r>
      <w:r>
        <w:t>10</w:t>
      </w:r>
      <w:r w:rsidRPr="00A2488A">
        <w:t xml:space="preserve"> to the Tariff Review 2016</w:t>
      </w:r>
      <w:r w:rsidR="008A7B3D">
        <w:t>’</w:t>
      </w:r>
      <w:r w:rsidR="00E0097C">
        <w:t>.</w:t>
      </w:r>
      <w:r w:rsidRPr="00A2488A">
        <w:t xml:space="preserve"> Canberra</w:t>
      </w:r>
      <w:r w:rsidR="00E0097C">
        <w:t>:</w:t>
      </w:r>
      <w:r w:rsidR="00E0097C" w:rsidRPr="00E0097C">
        <w:t xml:space="preserve"> </w:t>
      </w:r>
      <w:r w:rsidR="00E0097C">
        <w:t>White Label Personal Clouds</w:t>
      </w:r>
      <w:r w:rsidRPr="00A2488A">
        <w:t>.</w:t>
      </w:r>
    </w:p>
    <w:sectPr w:rsidR="008E6581" w:rsidSect="00FD0141">
      <w:headerReference w:type="even" r:id="rId78"/>
      <w:headerReference w:type="default" r:id="rId79"/>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889CF" w14:textId="77777777" w:rsidR="00E41BC3" w:rsidRDefault="00E41BC3" w:rsidP="00474ECC">
      <w:pPr>
        <w:spacing w:after="0" w:line="240" w:lineRule="auto"/>
      </w:pPr>
      <w:r>
        <w:separator/>
      </w:r>
    </w:p>
    <w:p w14:paraId="741BAB74" w14:textId="77777777" w:rsidR="00E41BC3" w:rsidRDefault="00E41BC3"/>
  </w:endnote>
  <w:endnote w:type="continuationSeparator" w:id="0">
    <w:p w14:paraId="2254ADFA" w14:textId="77777777" w:rsidR="00E41BC3" w:rsidRDefault="00E41BC3" w:rsidP="00474ECC">
      <w:pPr>
        <w:spacing w:after="0" w:line="240" w:lineRule="auto"/>
      </w:pPr>
      <w:r>
        <w:continuationSeparator/>
      </w:r>
    </w:p>
    <w:p w14:paraId="25A323BE" w14:textId="77777777" w:rsidR="00E41BC3" w:rsidRDefault="00E41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890"/>
      <w:gridCol w:w="7037"/>
    </w:tblGrid>
    <w:tr w:rsidR="00E41BC3" w14:paraId="7EDE6AF1" w14:textId="77777777" w:rsidTr="00BF1B7E">
      <w:tc>
        <w:tcPr>
          <w:tcW w:w="918" w:type="dxa"/>
          <w:vAlign w:val="center"/>
        </w:tcPr>
        <w:p w14:paraId="13191116" w14:textId="77777777" w:rsidR="00E41BC3" w:rsidRPr="00BF1B7E" w:rsidRDefault="00E41BC3" w:rsidP="00DE64FD">
          <w:pPr>
            <w:pStyle w:val="Footer"/>
            <w:jc w:val="center"/>
            <w:rPr>
              <w:b/>
              <w:color w:val="4F81BD"/>
              <w:sz w:val="32"/>
              <w:szCs w:val="32"/>
            </w:rPr>
          </w:pPr>
          <w:r w:rsidRPr="00BF1B7E">
            <w:fldChar w:fldCharType="begin"/>
          </w:r>
          <w:r>
            <w:instrText xml:space="preserve"> PAGE   \* MERGEFORMAT </w:instrText>
          </w:r>
          <w:r w:rsidRPr="00BF1B7E">
            <w:fldChar w:fldCharType="separate"/>
          </w:r>
          <w:r w:rsidRPr="00BF1B7E">
            <w:rPr>
              <w:b/>
              <w:noProof/>
              <w:color w:val="4F81BD"/>
              <w:sz w:val="32"/>
              <w:szCs w:val="32"/>
            </w:rPr>
            <w:t>106</w:t>
          </w:r>
          <w:r w:rsidRPr="00BF1B7E">
            <w:rPr>
              <w:b/>
              <w:noProof/>
              <w:color w:val="4F81BD"/>
              <w:sz w:val="32"/>
              <w:szCs w:val="32"/>
            </w:rPr>
            <w:fldChar w:fldCharType="end"/>
          </w:r>
        </w:p>
      </w:tc>
      <w:tc>
        <w:tcPr>
          <w:tcW w:w="7938" w:type="dxa"/>
          <w:vAlign w:val="center"/>
        </w:tcPr>
        <w:p w14:paraId="43B12B7E" w14:textId="2867060E" w:rsidR="00E41BC3" w:rsidRDefault="00E41BC3" w:rsidP="00DE64FD">
          <w:pPr>
            <w:pStyle w:val="Footer"/>
            <w:ind w:left="-1134"/>
            <w:jc w:val="right"/>
          </w:pPr>
          <w:r>
            <w:rPr>
              <w:noProof/>
              <w:lang w:val="en-AU" w:eastAsia="en-AU"/>
            </w:rPr>
            <mc:AlternateContent>
              <mc:Choice Requires="wps">
                <w:drawing>
                  <wp:anchor distT="0" distB="0" distL="114300" distR="114300" simplePos="0" relativeHeight="251656192" behindDoc="0" locked="0" layoutInCell="1" allowOverlap="1" wp14:anchorId="7FE411B6" wp14:editId="1A4D73FA">
                    <wp:simplePos x="0" y="0"/>
                    <wp:positionH relativeFrom="column">
                      <wp:posOffset>-42545</wp:posOffset>
                    </wp:positionH>
                    <wp:positionV relativeFrom="paragraph">
                      <wp:posOffset>40005</wp:posOffset>
                    </wp:positionV>
                    <wp:extent cx="2567940" cy="278130"/>
                    <wp:effectExtent l="0" t="0" r="3810" b="7620"/>
                    <wp:wrapNone/>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8130"/>
                            </a:xfrm>
                            <a:prstGeom prst="rect">
                              <a:avLst/>
                            </a:prstGeom>
                            <a:solidFill>
                              <a:srgbClr val="FFFFFF"/>
                            </a:solidFill>
                            <a:ln>
                              <a:noFill/>
                            </a:ln>
                            <a:extLst/>
                          </wps:spPr>
                          <wps:txbx>
                            <w:txbxContent>
                              <w:p w14:paraId="7B775B9F" w14:textId="77777777" w:rsidR="00E41BC3" w:rsidRDefault="00E41BC3"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r>
                                  <w:rPr>
                                    <w:lang w:val="en-AU"/>
                                  </w:rPr>
                                  <w:t>Regulated water and sewerage services</w:t>
                                </w:r>
                              </w:p>
                              <w:p w14:paraId="2D02DF85" w14:textId="77777777" w:rsidR="00E41BC3" w:rsidRDefault="00E41BC3" w:rsidP="00723F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411B6" id="_x0000_t202" coordsize="21600,21600" o:spt="202" path="m,l,21600r21600,l21600,xe">
                    <v:stroke joinstyle="miter"/>
                    <v:path gradientshapeok="t" o:connecttype="rect"/>
                  </v:shapetype>
                  <v:shape id="Text Box 97" o:spid="_x0000_s1027" type="#_x0000_t202" style="position:absolute;left:0;text-align:left;margin-left:-3.35pt;margin-top:3.15pt;width:202.2pt;height:2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" stroked="f">
                    <v:textbox>
                      <w:txbxContent>
                        <w:p w14:paraId="7B775B9F" w14:textId="77777777" w:rsidR="00E41BC3" w:rsidRDefault="00E41BC3"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r>
                            <w:rPr>
                              <w:lang w:val="en-AU"/>
                            </w:rPr>
                            <w:t>Regulated water and sewerage services</w:t>
                          </w:r>
                        </w:p>
                        <w:p w14:paraId="2D02DF85" w14:textId="77777777" w:rsidR="00E41BC3" w:rsidRDefault="00E41BC3" w:rsidP="00723FE5"/>
                      </w:txbxContent>
                    </v:textbox>
                  </v:shape>
                </w:pict>
              </mc:Fallback>
            </mc:AlternateContent>
          </w:r>
          <w:r w:rsidRPr="00171A18">
            <w:rPr>
              <w:noProof/>
              <w:lang w:val="en-AU" w:eastAsia="en-AU"/>
            </w:rPr>
            <w:drawing>
              <wp:inline distT="0" distB="0" distL="0" distR="0" wp14:anchorId="26D8497F" wp14:editId="0C46A5F4">
                <wp:extent cx="1162050" cy="381000"/>
                <wp:effectExtent l="0" t="0" r="0" b="0"/>
                <wp:docPr id="5" name="Picture 7" descr="ICRC logo New 2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62050" cy="381000"/>
                        </a:xfrm>
                        <a:prstGeom prst="rect">
                          <a:avLst/>
                        </a:prstGeom>
                        <a:noFill/>
                        <a:ln w="9525">
                          <a:noFill/>
                          <a:miter lim="800000"/>
                          <a:headEnd/>
                          <a:tailEnd/>
                        </a:ln>
                      </pic:spPr>
                    </pic:pic>
                  </a:graphicData>
                </a:graphic>
              </wp:inline>
            </w:drawing>
          </w:r>
        </w:p>
      </w:tc>
    </w:tr>
  </w:tbl>
  <w:p w14:paraId="35B9AE84" w14:textId="77777777" w:rsidR="00E41BC3" w:rsidRDefault="00E4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F4DE" w14:textId="77777777" w:rsidR="00E41BC3" w:rsidRDefault="00E41BC3" w:rsidP="00EF6AF3">
    <w:pPr>
      <w:pStyle w:val="Footer"/>
    </w:pPr>
    <w:r>
      <w:t xml:space="preserve">ICRC </w:t>
    </w:r>
    <w:r>
      <w:tab/>
      <w:t xml:space="preserve">Draft Report — Enlarged Cotter Dam Water Security Project — </w:t>
    </w:r>
    <w:r>
      <w:fldChar w:fldCharType="begin"/>
    </w:r>
    <w:r>
      <w:instrText xml:space="preserve"> PAGE </w:instrText>
    </w:r>
    <w:r>
      <w:fldChar w:fldCharType="separate"/>
    </w:r>
    <w:r>
      <w:rPr>
        <w:noProof/>
      </w:rPr>
      <w:t>i</w:t>
    </w:r>
    <w:r>
      <w:rPr>
        <w:noProof/>
      </w:rPr>
      <w:fldChar w:fldCharType="end"/>
    </w:r>
  </w:p>
  <w:p w14:paraId="2968DA51" w14:textId="77777777" w:rsidR="00E41BC3" w:rsidRDefault="00E41B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E918" w14:textId="77777777" w:rsidR="00E41BC3" w:rsidRDefault="00E41BC3" w:rsidP="00B3693F">
    <w:pPr>
      <w:pStyle w:val="Footer"/>
      <w:tabs>
        <w:tab w:val="clear" w:pos="8732"/>
        <w:tab w:val="left" w:pos="560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2943"/>
      <w:gridCol w:w="4962"/>
    </w:tblGrid>
    <w:tr w:rsidR="00E41BC3" w:rsidRPr="00280AFD" w14:paraId="780B96CB" w14:textId="77777777" w:rsidTr="00BF1B7E">
      <w:trPr>
        <w:trHeight w:hRule="exact" w:val="655"/>
      </w:trPr>
      <w:tc>
        <w:tcPr>
          <w:tcW w:w="2943" w:type="dxa"/>
          <w:shd w:val="clear" w:color="auto" w:fill="auto"/>
          <w:vAlign w:val="center"/>
        </w:tcPr>
        <w:p w14:paraId="53849743" w14:textId="333746A9" w:rsidR="00E41BC3" w:rsidRPr="00BF1B7E" w:rsidRDefault="00E41BC3" w:rsidP="00BF1B7E">
          <w:pPr>
            <w:pStyle w:val="Footer"/>
            <w:tabs>
              <w:tab w:val="clear" w:pos="8732"/>
            </w:tabs>
            <w:rPr>
              <w:rFonts w:eastAsia="SimSun"/>
            </w:rPr>
          </w:pPr>
          <w:r>
            <w:rPr>
              <w:noProof/>
              <w:lang w:val="en-AU" w:eastAsia="en-AU"/>
            </w:rPr>
            <mc:AlternateContent>
              <mc:Choice Requires="wps">
                <w:drawing>
                  <wp:anchor distT="0" distB="0" distL="114300" distR="114300" simplePos="0" relativeHeight="251658240" behindDoc="0" locked="0" layoutInCell="1" allowOverlap="1" wp14:anchorId="6B753147" wp14:editId="1722F5AA">
                    <wp:simplePos x="0" y="0"/>
                    <wp:positionH relativeFrom="column">
                      <wp:posOffset>-74930</wp:posOffset>
                    </wp:positionH>
                    <wp:positionV relativeFrom="paragraph">
                      <wp:posOffset>-107950</wp:posOffset>
                    </wp:positionV>
                    <wp:extent cx="5039995" cy="14605"/>
                    <wp:effectExtent l="0" t="0" r="8255" b="4445"/>
                    <wp:wrapNone/>
                    <wp:docPr id="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72FC" id="Rectangle 152" o:spid="_x0000_s1026" style="position:absolute;margin-left:-5.9pt;margin-top:-8.5pt;width:396.85pt;height: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" fillcolor="#ffa12d" stroked="f">
                    <v:fill color2="#fff5e9" rotate="t" angle="90" focus="100%" type="gradient"/>
                  </v:rect>
                </w:pict>
              </mc:Fallback>
            </mc:AlternateContent>
          </w:r>
          <w:r w:rsidRPr="00BF1B7E">
            <w:rPr>
              <w:rFonts w:eastAsia="SimSun"/>
              <w:color w:val="000033"/>
            </w:rPr>
            <w:fldChar w:fldCharType="begin"/>
          </w:r>
          <w:r w:rsidRPr="00BF1B7E">
            <w:rPr>
              <w:rFonts w:eastAsia="SimSun"/>
              <w:color w:val="000033"/>
            </w:rPr>
            <w:instrText xml:space="preserve"> PAGE   \* MERGEFORMAT </w:instrText>
          </w:r>
          <w:r w:rsidRPr="00BF1B7E">
            <w:rPr>
              <w:color w:val="000033"/>
            </w:rPr>
            <w:fldChar w:fldCharType="separate"/>
          </w:r>
          <w:r w:rsidR="00EB59C9" w:rsidRPr="00EB59C9">
            <w:rPr>
              <w:rFonts w:eastAsia="SimSun"/>
              <w:b/>
              <w:noProof/>
              <w:color w:val="000033"/>
              <w:sz w:val="32"/>
              <w:szCs w:val="32"/>
            </w:rPr>
            <w:t>xviii</w:t>
          </w:r>
          <w:r w:rsidRPr="00BF1B7E">
            <w:rPr>
              <w:rFonts w:eastAsia="SimSun"/>
              <w:b/>
              <w:noProof/>
              <w:color w:val="000033"/>
              <w:sz w:val="32"/>
              <w:szCs w:val="32"/>
            </w:rPr>
            <w:fldChar w:fldCharType="end"/>
          </w:r>
        </w:p>
      </w:tc>
      <w:tc>
        <w:tcPr>
          <w:tcW w:w="4962" w:type="dxa"/>
          <w:shd w:val="clear" w:color="auto" w:fill="auto"/>
          <w:vAlign w:val="center"/>
        </w:tcPr>
        <w:p w14:paraId="20ABC0AE" w14:textId="77777777" w:rsidR="00E41BC3" w:rsidRPr="00BF1B7E" w:rsidRDefault="00E41BC3" w:rsidP="00534E97">
          <w:pPr>
            <w:pStyle w:val="Footer"/>
            <w:tabs>
              <w:tab w:val="clear" w:pos="8732"/>
            </w:tabs>
            <w:jc w:val="right"/>
            <w:rPr>
              <w:rFonts w:eastAsia="SimSun"/>
              <w:color w:val="000033"/>
            </w:rPr>
          </w:pPr>
          <w:r>
            <w:rPr>
              <w:rFonts w:eastAsia="SimSun"/>
            </w:rPr>
            <w:t>Final report: Tariff Structure Review 2016–17</w:t>
          </w:r>
        </w:p>
      </w:tc>
    </w:tr>
  </w:tbl>
  <w:p w14:paraId="6FA4E3CD" w14:textId="1FC69A9F" w:rsidR="00E41BC3" w:rsidRPr="00D5242B" w:rsidRDefault="00E41BC3" w:rsidP="00E01F12">
    <w:pPr>
      <w:pStyle w:val="Footer"/>
      <w:jc w:val="right"/>
    </w:pPr>
    <w:r>
      <w:rPr>
        <w:noProof/>
        <w:lang w:val="en-AU" w:eastAsia="en-AU"/>
      </w:rPr>
      <w:drawing>
        <wp:anchor distT="0" distB="0" distL="114300" distR="114300" simplePos="0" relativeHeight="251653120" behindDoc="0" locked="1" layoutInCell="1" allowOverlap="1" wp14:anchorId="09F05AAC" wp14:editId="44021AB0">
          <wp:simplePos x="0" y="0"/>
          <wp:positionH relativeFrom="column">
            <wp:posOffset>458470</wp:posOffset>
          </wp:positionH>
          <wp:positionV relativeFrom="paragraph">
            <wp:posOffset>-342900</wp:posOffset>
          </wp:positionV>
          <wp:extent cx="1123950" cy="266700"/>
          <wp:effectExtent l="0" t="0" r="0" b="0"/>
          <wp:wrapNone/>
          <wp:docPr id="16"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5070"/>
      <w:gridCol w:w="2835"/>
    </w:tblGrid>
    <w:tr w:rsidR="00E41BC3" w:rsidRPr="00280AFD" w14:paraId="7205D0EB" w14:textId="77777777" w:rsidTr="00BF1B7E">
      <w:trPr>
        <w:trHeight w:hRule="exact" w:val="641"/>
      </w:trPr>
      <w:tc>
        <w:tcPr>
          <w:tcW w:w="5070" w:type="dxa"/>
          <w:shd w:val="clear" w:color="auto" w:fill="auto"/>
          <w:vAlign w:val="center"/>
        </w:tcPr>
        <w:p w14:paraId="37CA9894" w14:textId="5DFA93A3" w:rsidR="00E41BC3" w:rsidRPr="00BF1B7E" w:rsidRDefault="00E41BC3" w:rsidP="00791149">
          <w:pPr>
            <w:pStyle w:val="Footer"/>
            <w:tabs>
              <w:tab w:val="clear" w:pos="8732"/>
            </w:tabs>
            <w:rPr>
              <w:rFonts w:eastAsia="SimSun"/>
            </w:rPr>
          </w:pPr>
          <w:r>
            <w:rPr>
              <w:noProof/>
              <w:lang w:val="en-AU" w:eastAsia="en-AU"/>
            </w:rPr>
            <mc:AlternateContent>
              <mc:Choice Requires="wps">
                <w:drawing>
                  <wp:anchor distT="0" distB="0" distL="114300" distR="114300" simplePos="0" relativeHeight="251657216" behindDoc="0" locked="0" layoutInCell="1" allowOverlap="1" wp14:anchorId="64D31EEC" wp14:editId="230A520D">
                    <wp:simplePos x="0" y="0"/>
                    <wp:positionH relativeFrom="column">
                      <wp:posOffset>-79375</wp:posOffset>
                    </wp:positionH>
                    <wp:positionV relativeFrom="paragraph">
                      <wp:posOffset>-81280</wp:posOffset>
                    </wp:positionV>
                    <wp:extent cx="5039995" cy="14605"/>
                    <wp:effectExtent l="0" t="0" r="8255" b="4445"/>
                    <wp:wrapNone/>
                    <wp:docPr id="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1F45" id="Rectangle 151" o:spid="_x0000_s1026" style="position:absolute;margin-left:-6.25pt;margin-top:-6.4pt;width:396.85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" fillcolor="#fff5e9" stroked="f">
                    <v:fill color2="#ffa12d" rotate="t" angle="90" focus="100%" type="gradient"/>
                  </v:rect>
                </w:pict>
              </mc:Fallback>
            </mc:AlternateContent>
          </w:r>
          <w:r>
            <w:rPr>
              <w:rFonts w:eastAsia="SimSun"/>
            </w:rPr>
            <w:t>Final report: Tariff Structure Review 2016–17</w:t>
          </w:r>
        </w:p>
      </w:tc>
      <w:tc>
        <w:tcPr>
          <w:tcW w:w="2835" w:type="dxa"/>
          <w:shd w:val="clear" w:color="auto" w:fill="auto"/>
          <w:vAlign w:val="center"/>
        </w:tcPr>
        <w:p w14:paraId="724C3E7A" w14:textId="77777777" w:rsidR="00E41BC3" w:rsidRPr="00BF1B7E" w:rsidRDefault="00E41BC3" w:rsidP="00BF1B7E">
          <w:pPr>
            <w:pStyle w:val="Footer"/>
            <w:tabs>
              <w:tab w:val="clear" w:pos="8732"/>
            </w:tabs>
            <w:jc w:val="right"/>
            <w:rPr>
              <w:rFonts w:eastAsia="SimSun"/>
              <w:color w:val="000033"/>
              <w:sz w:val="32"/>
              <w:szCs w:val="32"/>
            </w:rPr>
          </w:pPr>
          <w:r w:rsidRPr="00BF1B7E">
            <w:rPr>
              <w:rFonts w:eastAsia="SimSun"/>
              <w:color w:val="000033"/>
              <w:sz w:val="32"/>
              <w:szCs w:val="32"/>
            </w:rPr>
            <w:fldChar w:fldCharType="begin"/>
          </w:r>
          <w:r w:rsidRPr="00BF1B7E">
            <w:rPr>
              <w:rFonts w:eastAsia="SimSun"/>
              <w:color w:val="000033"/>
              <w:sz w:val="32"/>
              <w:szCs w:val="32"/>
            </w:rPr>
            <w:instrText xml:space="preserve"> PAGE   \* MERGEFORMAT </w:instrText>
          </w:r>
          <w:r w:rsidRPr="00BF1B7E">
            <w:rPr>
              <w:color w:val="000033"/>
              <w:sz w:val="32"/>
              <w:szCs w:val="32"/>
            </w:rPr>
            <w:fldChar w:fldCharType="separate"/>
          </w:r>
          <w:r w:rsidR="00EB59C9" w:rsidRPr="00EB59C9">
            <w:rPr>
              <w:b/>
              <w:bCs/>
              <w:noProof/>
              <w:color w:val="000033"/>
              <w:sz w:val="32"/>
              <w:szCs w:val="32"/>
              <w:lang w:val="en-US"/>
            </w:rPr>
            <w:t>i</w:t>
          </w:r>
          <w:r w:rsidRPr="00BF1B7E">
            <w:rPr>
              <w:rFonts w:eastAsia="SimSun"/>
              <w:b/>
              <w:noProof/>
              <w:color w:val="000033"/>
              <w:sz w:val="32"/>
              <w:szCs w:val="32"/>
            </w:rPr>
            <w:fldChar w:fldCharType="end"/>
          </w:r>
        </w:p>
      </w:tc>
    </w:tr>
  </w:tbl>
  <w:p w14:paraId="642CB849" w14:textId="613E1060" w:rsidR="00E41BC3" w:rsidRPr="00E42160" w:rsidRDefault="00E41BC3" w:rsidP="00280AFD">
    <w:pPr>
      <w:pStyle w:val="Footer"/>
    </w:pPr>
    <w:r>
      <w:rPr>
        <w:noProof/>
        <w:lang w:val="en-AU" w:eastAsia="en-AU"/>
      </w:rPr>
      <w:drawing>
        <wp:anchor distT="0" distB="0" distL="114300" distR="114300" simplePos="0" relativeHeight="251652096" behindDoc="0" locked="1" layoutInCell="1" allowOverlap="1" wp14:anchorId="1256248B" wp14:editId="6A2D2700">
          <wp:simplePos x="0" y="0"/>
          <wp:positionH relativeFrom="column">
            <wp:posOffset>3296920</wp:posOffset>
          </wp:positionH>
          <wp:positionV relativeFrom="paragraph">
            <wp:posOffset>-342900</wp:posOffset>
          </wp:positionV>
          <wp:extent cx="1123950" cy="266700"/>
          <wp:effectExtent l="0" t="0" r="0" b="0"/>
          <wp:wrapNone/>
          <wp:docPr id="15"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05" w:type="dxa"/>
      <w:tblLook w:val="04A0" w:firstRow="1" w:lastRow="0" w:firstColumn="1" w:lastColumn="0" w:noHBand="0" w:noVBand="1"/>
    </w:tblPr>
    <w:tblGrid>
      <w:gridCol w:w="5070"/>
      <w:gridCol w:w="2835"/>
    </w:tblGrid>
    <w:tr w:rsidR="00E41BC3" w:rsidRPr="00280AFD" w14:paraId="3325916A" w14:textId="77777777" w:rsidTr="00BF1B7E">
      <w:trPr>
        <w:trHeight w:hRule="exact" w:val="641"/>
      </w:trPr>
      <w:tc>
        <w:tcPr>
          <w:tcW w:w="5070" w:type="dxa"/>
          <w:shd w:val="clear" w:color="auto" w:fill="auto"/>
          <w:vAlign w:val="center"/>
        </w:tcPr>
        <w:p w14:paraId="50A9059C" w14:textId="44513D8A" w:rsidR="00E41BC3" w:rsidRPr="00BF1B7E" w:rsidRDefault="00E41BC3" w:rsidP="00791149">
          <w:pPr>
            <w:pStyle w:val="Footer"/>
            <w:tabs>
              <w:tab w:val="clear" w:pos="8732"/>
            </w:tabs>
            <w:rPr>
              <w:rFonts w:eastAsia="SimSun"/>
            </w:rPr>
          </w:pPr>
          <w:r>
            <w:rPr>
              <w:noProof/>
              <w:lang w:val="en-AU" w:eastAsia="en-AU"/>
            </w:rPr>
            <mc:AlternateContent>
              <mc:Choice Requires="wps">
                <w:drawing>
                  <wp:anchor distT="0" distB="0" distL="114300" distR="114300" simplePos="0" relativeHeight="251660288" behindDoc="0" locked="0" layoutInCell="1" allowOverlap="1" wp14:anchorId="4E88C41F" wp14:editId="4C827863">
                    <wp:simplePos x="0" y="0"/>
                    <wp:positionH relativeFrom="column">
                      <wp:posOffset>-79375</wp:posOffset>
                    </wp:positionH>
                    <wp:positionV relativeFrom="paragraph">
                      <wp:posOffset>-81280</wp:posOffset>
                    </wp:positionV>
                    <wp:extent cx="5039995" cy="14605"/>
                    <wp:effectExtent l="0" t="0" r="8255" b="4445"/>
                    <wp:wrapNone/>
                    <wp:docPr id="3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EA7AD" id="Rectangle 151" o:spid="_x0000_s1026" style="position:absolute;margin-left:-6.25pt;margin-top:-6.4pt;width:396.8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" fillcolor="#fff5e9" stroked="f">
                    <v:fill color2="#ffa12d" rotate="t" angle="90" focus="100%" type="gradient"/>
                  </v:rect>
                </w:pict>
              </mc:Fallback>
            </mc:AlternateContent>
          </w:r>
          <w:r>
            <w:rPr>
              <w:rFonts w:eastAsia="SimSun"/>
            </w:rPr>
            <w:t>Final report: Tariff Structure Review 2016–17</w:t>
          </w:r>
        </w:p>
      </w:tc>
      <w:tc>
        <w:tcPr>
          <w:tcW w:w="2835" w:type="dxa"/>
          <w:shd w:val="clear" w:color="auto" w:fill="auto"/>
          <w:vAlign w:val="center"/>
        </w:tcPr>
        <w:p w14:paraId="7F491E8A" w14:textId="77777777" w:rsidR="00E41BC3" w:rsidRPr="00BF1B7E" w:rsidRDefault="00E41BC3" w:rsidP="00BF1B7E">
          <w:pPr>
            <w:pStyle w:val="Footer"/>
            <w:tabs>
              <w:tab w:val="clear" w:pos="8732"/>
            </w:tabs>
            <w:jc w:val="right"/>
            <w:rPr>
              <w:rFonts w:eastAsia="SimSun"/>
              <w:color w:val="000033"/>
              <w:sz w:val="32"/>
              <w:szCs w:val="32"/>
            </w:rPr>
          </w:pPr>
          <w:r w:rsidRPr="00BF1B7E">
            <w:rPr>
              <w:rFonts w:eastAsia="SimSun"/>
              <w:color w:val="000033"/>
              <w:sz w:val="32"/>
              <w:szCs w:val="32"/>
            </w:rPr>
            <w:fldChar w:fldCharType="begin"/>
          </w:r>
          <w:r w:rsidRPr="00BF1B7E">
            <w:rPr>
              <w:rFonts w:eastAsia="SimSun"/>
              <w:color w:val="000033"/>
              <w:sz w:val="32"/>
              <w:szCs w:val="32"/>
            </w:rPr>
            <w:instrText xml:space="preserve"> PAGE   \* MERGEFORMAT </w:instrText>
          </w:r>
          <w:r w:rsidRPr="00BF1B7E">
            <w:rPr>
              <w:color w:val="000033"/>
              <w:sz w:val="32"/>
              <w:szCs w:val="32"/>
            </w:rPr>
            <w:fldChar w:fldCharType="separate"/>
          </w:r>
          <w:r w:rsidR="00EB59C9" w:rsidRPr="00EB59C9">
            <w:rPr>
              <w:b/>
              <w:bCs/>
              <w:noProof/>
              <w:color w:val="000033"/>
              <w:sz w:val="32"/>
              <w:szCs w:val="32"/>
              <w:lang w:val="en-US"/>
            </w:rPr>
            <w:t>xv</w:t>
          </w:r>
          <w:r w:rsidRPr="00BF1B7E">
            <w:rPr>
              <w:rFonts w:eastAsia="SimSun"/>
              <w:b/>
              <w:noProof/>
              <w:color w:val="000033"/>
              <w:sz w:val="32"/>
              <w:szCs w:val="32"/>
            </w:rPr>
            <w:fldChar w:fldCharType="end"/>
          </w:r>
        </w:p>
      </w:tc>
    </w:tr>
  </w:tbl>
  <w:p w14:paraId="43485DF5" w14:textId="152EFA4D" w:rsidR="00E41BC3" w:rsidRPr="00E42160" w:rsidRDefault="00E41BC3" w:rsidP="00280AFD">
    <w:pPr>
      <w:pStyle w:val="Footer"/>
    </w:pPr>
    <w:r>
      <w:rPr>
        <w:noProof/>
        <w:lang w:val="en-AU" w:eastAsia="en-AU"/>
      </w:rPr>
      <w:drawing>
        <wp:anchor distT="0" distB="0" distL="114300" distR="114300" simplePos="0" relativeHeight="251659264" behindDoc="0" locked="1" layoutInCell="1" allowOverlap="1" wp14:anchorId="6FD8CA53" wp14:editId="765BE466">
          <wp:simplePos x="0" y="0"/>
          <wp:positionH relativeFrom="column">
            <wp:posOffset>3296920</wp:posOffset>
          </wp:positionH>
          <wp:positionV relativeFrom="paragraph">
            <wp:posOffset>-265430</wp:posOffset>
          </wp:positionV>
          <wp:extent cx="1123950" cy="266700"/>
          <wp:effectExtent l="0" t="0" r="0" b="0"/>
          <wp:wrapNone/>
          <wp:docPr id="13"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AA342" w14:textId="77777777" w:rsidR="00E41BC3" w:rsidRDefault="00E41BC3" w:rsidP="00B3693F">
    <w:pPr>
      <w:pStyle w:val="Footer"/>
      <w:tabs>
        <w:tab w:val="clear" w:pos="8732"/>
        <w:tab w:val="left" w:pos="5603"/>
      </w:tabs>
    </w:pPr>
    <w:r>
      <w:tab/>
    </w:r>
  </w:p>
  <w:tbl>
    <w:tblPr>
      <w:tblW w:w="7905" w:type="dxa"/>
      <w:tblLook w:val="04A0" w:firstRow="1" w:lastRow="0" w:firstColumn="1" w:lastColumn="0" w:noHBand="0" w:noVBand="1"/>
    </w:tblPr>
    <w:tblGrid>
      <w:gridCol w:w="2943"/>
      <w:gridCol w:w="4962"/>
    </w:tblGrid>
    <w:tr w:rsidR="00E41BC3" w:rsidRPr="00280AFD" w14:paraId="5885DC7E" w14:textId="77777777" w:rsidTr="007C0CC3">
      <w:trPr>
        <w:trHeight w:hRule="exact" w:val="655"/>
      </w:trPr>
      <w:tc>
        <w:tcPr>
          <w:tcW w:w="2943" w:type="dxa"/>
          <w:shd w:val="clear" w:color="auto" w:fill="auto"/>
          <w:vAlign w:val="center"/>
        </w:tcPr>
        <w:p w14:paraId="5805E561" w14:textId="3C2D80C4" w:rsidR="00E41BC3" w:rsidRPr="00BF1B7E" w:rsidRDefault="00E41BC3" w:rsidP="007C0CC3">
          <w:pPr>
            <w:pStyle w:val="Footer"/>
            <w:tabs>
              <w:tab w:val="clear" w:pos="8732"/>
            </w:tabs>
            <w:rPr>
              <w:rFonts w:eastAsia="SimSun"/>
            </w:rPr>
          </w:pPr>
          <w:r>
            <w:rPr>
              <w:noProof/>
              <w:lang w:val="en-AU" w:eastAsia="en-AU"/>
            </w:rPr>
            <mc:AlternateContent>
              <mc:Choice Requires="wps">
                <w:drawing>
                  <wp:anchor distT="0" distB="0" distL="114300" distR="114300" simplePos="0" relativeHeight="251664384" behindDoc="0" locked="0" layoutInCell="1" allowOverlap="1" wp14:anchorId="6AD6D606" wp14:editId="2B3C1CE6">
                    <wp:simplePos x="0" y="0"/>
                    <wp:positionH relativeFrom="column">
                      <wp:posOffset>-74930</wp:posOffset>
                    </wp:positionH>
                    <wp:positionV relativeFrom="paragraph">
                      <wp:posOffset>-107950</wp:posOffset>
                    </wp:positionV>
                    <wp:extent cx="5039995" cy="14605"/>
                    <wp:effectExtent l="0" t="0" r="8255" b="4445"/>
                    <wp:wrapNone/>
                    <wp:docPr id="1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56D0C" id="Rectangle 152" o:spid="_x0000_s1026" style="position:absolute;margin-left:-5.9pt;margin-top:-8.5pt;width:396.8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" fillcolor="#ffa12d" stroked="f">
                    <v:fill color2="#fff5e9" rotate="t" angle="90" focus="100%" type="gradient"/>
                  </v:rect>
                </w:pict>
              </mc:Fallback>
            </mc:AlternateContent>
          </w:r>
          <w:r w:rsidRPr="00BF1B7E">
            <w:rPr>
              <w:rFonts w:eastAsia="SimSun"/>
              <w:color w:val="000033"/>
            </w:rPr>
            <w:fldChar w:fldCharType="begin"/>
          </w:r>
          <w:r w:rsidRPr="00BF1B7E">
            <w:rPr>
              <w:rFonts w:eastAsia="SimSun"/>
              <w:color w:val="000033"/>
            </w:rPr>
            <w:instrText xml:space="preserve"> PAGE   \* MERGEFORMAT </w:instrText>
          </w:r>
          <w:r w:rsidRPr="00BF1B7E">
            <w:rPr>
              <w:color w:val="000033"/>
            </w:rPr>
            <w:fldChar w:fldCharType="separate"/>
          </w:r>
          <w:r w:rsidR="00EB59C9" w:rsidRPr="00EB59C9">
            <w:rPr>
              <w:rFonts w:eastAsia="SimSun"/>
              <w:b/>
              <w:noProof/>
              <w:color w:val="000033"/>
              <w:sz w:val="32"/>
              <w:szCs w:val="32"/>
            </w:rPr>
            <w:t>59</w:t>
          </w:r>
          <w:r w:rsidRPr="00BF1B7E">
            <w:rPr>
              <w:rFonts w:eastAsia="SimSun"/>
              <w:b/>
              <w:noProof/>
              <w:color w:val="000033"/>
              <w:sz w:val="32"/>
              <w:szCs w:val="32"/>
            </w:rPr>
            <w:fldChar w:fldCharType="end"/>
          </w:r>
        </w:p>
      </w:tc>
      <w:tc>
        <w:tcPr>
          <w:tcW w:w="4962" w:type="dxa"/>
          <w:shd w:val="clear" w:color="auto" w:fill="auto"/>
          <w:vAlign w:val="center"/>
        </w:tcPr>
        <w:p w14:paraId="753DA23C" w14:textId="77777777" w:rsidR="00E41BC3" w:rsidRPr="00BF1B7E" w:rsidRDefault="00E41BC3" w:rsidP="007C0CC3">
          <w:pPr>
            <w:pStyle w:val="Footer"/>
            <w:tabs>
              <w:tab w:val="clear" w:pos="8732"/>
            </w:tabs>
            <w:jc w:val="right"/>
            <w:rPr>
              <w:rFonts w:eastAsia="SimSun"/>
              <w:color w:val="000033"/>
            </w:rPr>
          </w:pPr>
          <w:r>
            <w:rPr>
              <w:rFonts w:eastAsia="SimSun"/>
            </w:rPr>
            <w:t>Final report: Tariff Structure Review 2016–17</w:t>
          </w:r>
        </w:p>
      </w:tc>
    </w:tr>
  </w:tbl>
  <w:p w14:paraId="2268C1FD" w14:textId="07AA183D" w:rsidR="00E41BC3" w:rsidRDefault="00E41BC3" w:rsidP="00F53D25">
    <w:pPr>
      <w:pStyle w:val="Footer"/>
      <w:jc w:val="right"/>
    </w:pPr>
    <w:r>
      <w:rPr>
        <w:noProof/>
        <w:lang w:val="en-AU" w:eastAsia="en-AU"/>
      </w:rPr>
      <w:drawing>
        <wp:anchor distT="0" distB="0" distL="114300" distR="114300" simplePos="0" relativeHeight="251663360" behindDoc="0" locked="1" layoutInCell="1" allowOverlap="1" wp14:anchorId="4EDD9865" wp14:editId="1A1A8D44">
          <wp:simplePos x="0" y="0"/>
          <wp:positionH relativeFrom="column">
            <wp:posOffset>458470</wp:posOffset>
          </wp:positionH>
          <wp:positionV relativeFrom="paragraph">
            <wp:posOffset>-342900</wp:posOffset>
          </wp:positionV>
          <wp:extent cx="1123950" cy="266700"/>
          <wp:effectExtent l="0" t="0" r="0" b="0"/>
          <wp:wrapNone/>
          <wp:docPr id="9"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99F00" w14:textId="77777777" w:rsidR="00E41BC3" w:rsidRDefault="00E41BC3" w:rsidP="00B3693F">
    <w:pPr>
      <w:pStyle w:val="Footer"/>
      <w:tabs>
        <w:tab w:val="clear" w:pos="8732"/>
        <w:tab w:val="left" w:pos="5603"/>
      </w:tabs>
    </w:pPr>
    <w:r>
      <w:tab/>
    </w:r>
  </w:p>
  <w:tbl>
    <w:tblPr>
      <w:tblW w:w="7905" w:type="dxa"/>
      <w:tblLook w:val="04A0" w:firstRow="1" w:lastRow="0" w:firstColumn="1" w:lastColumn="0" w:noHBand="0" w:noVBand="1"/>
    </w:tblPr>
    <w:tblGrid>
      <w:gridCol w:w="5070"/>
      <w:gridCol w:w="2835"/>
    </w:tblGrid>
    <w:tr w:rsidR="00E41BC3" w:rsidRPr="00280AFD" w14:paraId="7C63B3B8" w14:textId="77777777" w:rsidTr="007C0CC3">
      <w:trPr>
        <w:trHeight w:hRule="exact" w:val="641"/>
      </w:trPr>
      <w:tc>
        <w:tcPr>
          <w:tcW w:w="5070" w:type="dxa"/>
          <w:shd w:val="clear" w:color="auto" w:fill="auto"/>
          <w:vAlign w:val="center"/>
        </w:tcPr>
        <w:p w14:paraId="4B758BAE" w14:textId="2BC64179" w:rsidR="00E41BC3" w:rsidRPr="00BF1B7E" w:rsidRDefault="00E41BC3" w:rsidP="007C0CC3">
          <w:pPr>
            <w:pStyle w:val="Footer"/>
            <w:tabs>
              <w:tab w:val="clear" w:pos="8732"/>
            </w:tabs>
            <w:rPr>
              <w:rFonts w:eastAsia="SimSun"/>
            </w:rPr>
          </w:pPr>
          <w:r>
            <w:rPr>
              <w:noProof/>
              <w:lang w:val="en-AU" w:eastAsia="en-AU"/>
            </w:rPr>
            <mc:AlternateContent>
              <mc:Choice Requires="wps">
                <w:drawing>
                  <wp:anchor distT="0" distB="0" distL="114300" distR="114300" simplePos="0" relativeHeight="251662336" behindDoc="0" locked="0" layoutInCell="1" allowOverlap="1" wp14:anchorId="262C2A0B" wp14:editId="381F81E0">
                    <wp:simplePos x="0" y="0"/>
                    <wp:positionH relativeFrom="column">
                      <wp:posOffset>-79375</wp:posOffset>
                    </wp:positionH>
                    <wp:positionV relativeFrom="paragraph">
                      <wp:posOffset>-81280</wp:posOffset>
                    </wp:positionV>
                    <wp:extent cx="5039995" cy="14605"/>
                    <wp:effectExtent l="0" t="0" r="8255" b="4445"/>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CC92" id="Rectangle 151" o:spid="_x0000_s1026" style="position:absolute;margin-left:-6.25pt;margin-top:-6.4pt;width:396.8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" fillcolor="#fff5e9" stroked="f">
                    <v:fill color2="#ffa12d" rotate="t" angle="90" focus="100%" type="gradient"/>
                  </v:rect>
                </w:pict>
              </mc:Fallback>
            </mc:AlternateContent>
          </w:r>
          <w:r>
            <w:rPr>
              <w:rFonts w:eastAsia="SimSun"/>
            </w:rPr>
            <w:t>Final report: Tariff Structure Review 2016–17</w:t>
          </w:r>
        </w:p>
      </w:tc>
      <w:tc>
        <w:tcPr>
          <w:tcW w:w="2835" w:type="dxa"/>
          <w:shd w:val="clear" w:color="auto" w:fill="auto"/>
          <w:vAlign w:val="center"/>
        </w:tcPr>
        <w:p w14:paraId="777C7364" w14:textId="77777777" w:rsidR="00E41BC3" w:rsidRPr="00BF1B7E" w:rsidRDefault="00E41BC3" w:rsidP="007C0CC3">
          <w:pPr>
            <w:pStyle w:val="Footer"/>
            <w:tabs>
              <w:tab w:val="clear" w:pos="8732"/>
            </w:tabs>
            <w:jc w:val="right"/>
            <w:rPr>
              <w:rFonts w:eastAsia="SimSun"/>
              <w:color w:val="000033"/>
              <w:sz w:val="32"/>
              <w:szCs w:val="32"/>
            </w:rPr>
          </w:pPr>
          <w:r w:rsidRPr="00BF1B7E">
            <w:rPr>
              <w:rFonts w:eastAsia="SimSun"/>
              <w:color w:val="000033"/>
              <w:sz w:val="32"/>
              <w:szCs w:val="32"/>
            </w:rPr>
            <w:fldChar w:fldCharType="begin"/>
          </w:r>
          <w:r w:rsidRPr="00BF1B7E">
            <w:rPr>
              <w:rFonts w:eastAsia="SimSun"/>
              <w:color w:val="000033"/>
              <w:sz w:val="32"/>
              <w:szCs w:val="32"/>
            </w:rPr>
            <w:instrText xml:space="preserve"> PAGE   \* MERGEFORMAT </w:instrText>
          </w:r>
          <w:r w:rsidRPr="00BF1B7E">
            <w:rPr>
              <w:color w:val="000033"/>
              <w:sz w:val="32"/>
              <w:szCs w:val="32"/>
            </w:rPr>
            <w:fldChar w:fldCharType="separate"/>
          </w:r>
          <w:r w:rsidR="00EB59C9" w:rsidRPr="00EB59C9">
            <w:rPr>
              <w:b/>
              <w:bCs/>
              <w:noProof/>
              <w:color w:val="000033"/>
              <w:sz w:val="32"/>
              <w:szCs w:val="32"/>
              <w:lang w:val="en-US"/>
            </w:rPr>
            <w:t>61</w:t>
          </w:r>
          <w:r w:rsidRPr="00BF1B7E">
            <w:rPr>
              <w:rFonts w:eastAsia="SimSun"/>
              <w:b/>
              <w:noProof/>
              <w:color w:val="000033"/>
              <w:sz w:val="32"/>
              <w:szCs w:val="32"/>
            </w:rPr>
            <w:fldChar w:fldCharType="end"/>
          </w:r>
        </w:p>
      </w:tc>
    </w:tr>
  </w:tbl>
  <w:p w14:paraId="17F2855E" w14:textId="1F9DAA21" w:rsidR="00E41BC3" w:rsidRDefault="00E41BC3" w:rsidP="003C6B0F">
    <w:pPr>
      <w:pStyle w:val="Footer"/>
    </w:pPr>
    <w:r>
      <w:rPr>
        <w:noProof/>
        <w:lang w:val="en-AU" w:eastAsia="en-AU"/>
      </w:rPr>
      <w:drawing>
        <wp:anchor distT="0" distB="0" distL="114300" distR="114300" simplePos="0" relativeHeight="251661312" behindDoc="0" locked="1" layoutInCell="1" allowOverlap="1" wp14:anchorId="0755A930" wp14:editId="0258B17D">
          <wp:simplePos x="0" y="0"/>
          <wp:positionH relativeFrom="column">
            <wp:posOffset>3296920</wp:posOffset>
          </wp:positionH>
          <wp:positionV relativeFrom="paragraph">
            <wp:posOffset>-342900</wp:posOffset>
          </wp:positionV>
          <wp:extent cx="1123950" cy="266700"/>
          <wp:effectExtent l="0" t="0" r="0" b="0"/>
          <wp:wrapNone/>
          <wp:docPr id="109" name="Picture 1" descr="Description: Description: 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CRC logo New Blue (modified J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B819" w14:textId="77777777" w:rsidR="00E41BC3" w:rsidRDefault="00E41BC3" w:rsidP="006522B3">
      <w:pPr>
        <w:spacing w:after="0" w:line="240" w:lineRule="auto"/>
      </w:pPr>
      <w:r>
        <w:separator/>
      </w:r>
    </w:p>
  </w:footnote>
  <w:footnote w:type="continuationSeparator" w:id="0">
    <w:p w14:paraId="2DA8E283" w14:textId="77777777" w:rsidR="00E41BC3" w:rsidRDefault="00E41BC3" w:rsidP="006522B3">
      <w:pPr>
        <w:spacing w:after="0" w:line="240" w:lineRule="auto"/>
      </w:pPr>
      <w:r>
        <w:continuationSeparator/>
      </w:r>
    </w:p>
  </w:footnote>
  <w:footnote w:type="continuationNotice" w:id="1">
    <w:p w14:paraId="6C214B57" w14:textId="77777777" w:rsidR="00E41BC3" w:rsidRDefault="00E41BC3">
      <w:pPr>
        <w:spacing w:after="0" w:line="240" w:lineRule="auto"/>
      </w:pPr>
    </w:p>
  </w:footnote>
  <w:footnote w:id="2">
    <w:p w14:paraId="7C484AF5" w14:textId="77777777" w:rsidR="00E41BC3" w:rsidRDefault="00E41BC3" w:rsidP="00EF19E9">
      <w:pPr>
        <w:pStyle w:val="FootnoteText"/>
      </w:pPr>
      <w:r>
        <w:rPr>
          <w:rStyle w:val="FootnoteReference"/>
        </w:rPr>
        <w:footnoteRef/>
      </w:r>
      <w:r>
        <w:t xml:space="preserve"> Industry Panel, 2015.</w:t>
      </w:r>
    </w:p>
  </w:footnote>
  <w:footnote w:id="3">
    <w:p w14:paraId="7C70A5DE" w14:textId="77777777" w:rsidR="00E41BC3" w:rsidRPr="00AC71C7" w:rsidRDefault="00E41BC3" w:rsidP="00EF19E9">
      <w:pPr>
        <w:pStyle w:val="FootnoteText"/>
        <w:rPr>
          <w:lang w:val="en-US"/>
        </w:rPr>
      </w:pPr>
      <w:r>
        <w:rPr>
          <w:rStyle w:val="FootnoteReference"/>
        </w:rPr>
        <w:footnoteRef/>
      </w:r>
      <w:r>
        <w:t xml:space="preserve"> </w:t>
      </w:r>
      <w:r>
        <w:rPr>
          <w:lang w:val="en-US"/>
        </w:rPr>
        <w:t xml:space="preserve">Charges </w:t>
      </w:r>
      <w:proofErr w:type="gramStart"/>
      <w:r>
        <w:rPr>
          <w:lang w:val="en-US"/>
        </w:rPr>
        <w:t>are calculated</w:t>
      </w:r>
      <w:proofErr w:type="gramEnd"/>
      <w:r>
        <w:rPr>
          <w:lang w:val="en-US"/>
        </w:rPr>
        <w:t xml:space="preserve"> on a daily pro-rata basis and billing occurs quarterly, so the second-tier price can apply for consumption that is less than the annual amount of 200 kL.</w:t>
      </w:r>
    </w:p>
  </w:footnote>
  <w:footnote w:id="4">
    <w:p w14:paraId="08982213" w14:textId="77777777" w:rsidR="00E41BC3" w:rsidRDefault="00E41BC3" w:rsidP="00EF19E9">
      <w:pPr>
        <w:pStyle w:val="FootnoteText"/>
      </w:pPr>
      <w:r>
        <w:rPr>
          <w:rStyle w:val="FootnoteReference"/>
        </w:rPr>
        <w:footnoteRef/>
      </w:r>
      <w:r>
        <w:t xml:space="preserve"> As at 6 March 2017.</w:t>
      </w:r>
    </w:p>
  </w:footnote>
  <w:footnote w:id="5">
    <w:p w14:paraId="4F5FE015" w14:textId="77777777" w:rsidR="00E41BC3" w:rsidRPr="00755ED9" w:rsidRDefault="00E41BC3" w:rsidP="00EF19E9">
      <w:pPr>
        <w:pStyle w:val="FootnoteText"/>
        <w:rPr>
          <w:lang w:val="en-US"/>
        </w:rPr>
      </w:pPr>
      <w:r>
        <w:rPr>
          <w:rStyle w:val="FootnoteReference"/>
        </w:rPr>
        <w:footnoteRef/>
      </w:r>
      <w:r>
        <w:t xml:space="preserve"> </w:t>
      </w:r>
      <w:r w:rsidRPr="005E2E0B">
        <w:t xml:space="preserve">A net </w:t>
      </w:r>
      <w:r>
        <w:t>use</w:t>
      </w:r>
      <w:r w:rsidRPr="005E2E0B">
        <w:t xml:space="preserve"> means gross water extractions minus water returned to the river system after use.</w:t>
      </w:r>
    </w:p>
  </w:footnote>
  <w:footnote w:id="6">
    <w:p w14:paraId="2C2473C6" w14:textId="77777777" w:rsidR="00E41BC3" w:rsidRDefault="00E41BC3" w:rsidP="00EF19E9">
      <w:pPr>
        <w:pStyle w:val="FootnoteText"/>
      </w:pPr>
      <w:r>
        <w:rPr>
          <w:rStyle w:val="FootnoteReference"/>
        </w:rPr>
        <w:footnoteRef/>
      </w:r>
      <w:r>
        <w:t xml:space="preserve"> ICRC 2016b.</w:t>
      </w:r>
    </w:p>
  </w:footnote>
  <w:footnote w:id="7">
    <w:p w14:paraId="0D7A4D39" w14:textId="77777777" w:rsidR="00E41BC3" w:rsidRDefault="00E41BC3" w:rsidP="00EF19E9">
      <w:pPr>
        <w:pStyle w:val="FootnoteText"/>
      </w:pPr>
      <w:r w:rsidRPr="00E7089F">
        <w:rPr>
          <w:rStyle w:val="FootnoteReference"/>
        </w:rPr>
        <w:footnoteRef/>
      </w:r>
      <w:r w:rsidRPr="00E7089F">
        <w:t xml:space="preserve"> </w:t>
      </w:r>
      <w:r w:rsidRPr="00BF2FD1">
        <w:t>The Commission released an is</w:t>
      </w:r>
      <w:r>
        <w:t xml:space="preserve">sues paper in November 2015. </w:t>
      </w:r>
      <w:proofErr w:type="gramStart"/>
      <w:r>
        <w:t>This was followed by a technical paper</w:t>
      </w:r>
      <w:proofErr w:type="gramEnd"/>
      <w:r>
        <w:t xml:space="preserve"> on the elasticity of demand for water in the ACT published in February 2016, a technical paper on marginal cost pricing in the ACT released in June 2016, and a draft report released in September 2016.</w:t>
      </w:r>
    </w:p>
  </w:footnote>
  <w:footnote w:id="8">
    <w:p w14:paraId="27F13277" w14:textId="77777777" w:rsidR="00E41BC3" w:rsidRDefault="00E41BC3" w:rsidP="001164D6">
      <w:pPr>
        <w:pStyle w:val="FootnoteText"/>
      </w:pPr>
      <w:r>
        <w:rPr>
          <w:rStyle w:val="FootnoteReference"/>
        </w:rPr>
        <w:footnoteRef/>
      </w:r>
      <w:r>
        <w:t xml:space="preserve"> </w:t>
      </w:r>
      <w:r>
        <w:fldChar w:fldCharType="begin"/>
      </w:r>
      <w:r>
        <w:instrText xml:space="preserve"> ADDIN EN.CITE &lt;EndNote&gt;&lt;Cite&gt;&lt;Author&gt;ICRC&lt;/Author&gt;&lt;Year&gt;2013&lt;/Year&gt;&lt;RecNum&gt;195&lt;/RecNum&gt;&lt;DisplayText&gt;ICRC, 2013a: &lt;/DisplayText&gt;&lt;record&gt;&lt;rec-number&gt;195&lt;/rec-number&gt;&lt;foreign-keys&gt;&lt;key app="EN" db-id="5xwt9zxa6r5fesevwr5xzp97r95ev9wx9zpw" timestamp="1375230149"&gt;195&lt;/key&gt;&lt;/foreign-keys&gt;&lt;ref-type name="AAA ICRC Water References"&gt;40&lt;/ref-type&gt;&lt;contributors&gt;&lt;authors&gt;&lt;author&gt;ICRC,&lt;/author&gt;&lt;/authors&gt;&lt;/contributors&gt;&lt;titles&gt;&lt;title&gt;Final Report Regulated Water and Sewerage Services 1 July 2013 to 30 June 2019&lt;/title&gt;&lt;/titles&gt;&lt;volume&gt;Report 5 of 2013&lt;/volume&gt;&lt;dates&gt;&lt;year&gt;2013&lt;/year&gt;&lt;pub-dates&gt;&lt;date&gt;June 2013&lt;/date&gt;&lt;/pub-dates&gt;&lt;/dates&gt;&lt;pub-location&gt;Canberra&lt;/pub-location&gt;&lt;publisher&gt;ICRC&lt;/publisher&gt;&lt;urls&gt;&lt;/urls&gt;&lt;/record&gt;&lt;/Cite&gt;&lt;/EndNote&gt;</w:instrText>
      </w:r>
      <w:r>
        <w:fldChar w:fldCharType="separate"/>
      </w:r>
      <w:r>
        <w:rPr>
          <w:noProof/>
        </w:rPr>
        <w:t xml:space="preserve">ICRC, 2013a: </w:t>
      </w:r>
      <w:r>
        <w:fldChar w:fldCharType="end"/>
      </w:r>
      <w:r>
        <w:t>165.</w:t>
      </w:r>
    </w:p>
  </w:footnote>
  <w:footnote w:id="9">
    <w:p w14:paraId="6B29BFE4" w14:textId="77777777" w:rsidR="00E41BC3" w:rsidRDefault="00E41BC3" w:rsidP="001164D6">
      <w:pPr>
        <w:pStyle w:val="FootnoteText"/>
      </w:pPr>
      <w:r>
        <w:rPr>
          <w:rStyle w:val="FootnoteReference"/>
        </w:rPr>
        <w:footnoteRef/>
      </w:r>
      <w:r>
        <w:t xml:space="preserve"> </w:t>
      </w:r>
      <w:r>
        <w:fldChar w:fldCharType="begin"/>
      </w:r>
      <w:r>
        <w:instrText xml:space="preserve"> ADDIN EN.CITE &lt;EndNote&gt;&lt;Cite&gt;&lt;Author&gt;ICRC&lt;/Author&gt;&lt;Year&gt;2013&lt;/Year&gt;&lt;RecNum&gt;196&lt;/RecNum&gt;&lt;DisplayText&gt;ICRC, 2013b: &lt;/DisplayText&gt;&lt;record&gt;&lt;rec-number&gt;196&lt;/rec-number&gt;&lt;foreign-keys&gt;&lt;key app="EN" db-id="5xwt9zxa6r5fesevwr5xzp97r95ev9wx9zpw" timestamp="1375230172"&gt;196&lt;/key&gt;&lt;/foreign-keys&gt;&lt;ref-type name="AAA ICRC Water References"&gt;40&lt;/ref-type&gt;&lt;contributors&gt;&lt;authors&gt;&lt;author&gt;ICRC,&lt;/author&gt;&lt;/authors&gt;&lt;/contributors&gt;&lt;titles&gt;&lt;title&gt;Price Direction Regulated Water and Sewerage Services 1 July 2013 to 30 June 2019&lt;/title&gt;&lt;/titles&gt;&lt;volume&gt;Report 6 of 2013&lt;/volume&gt;&lt;dates&gt;&lt;year&gt;2013&lt;/year&gt;&lt;pub-dates&gt;&lt;date&gt;June 2013&lt;/date&gt;&lt;/pub-dates&gt;&lt;/dates&gt;&lt;pub-location&gt;Canberra&lt;/pub-location&gt;&lt;publisher&gt;ICRC&lt;/publisher&gt;&lt;urls&gt;&lt;/urls&gt;&lt;/record&gt;&lt;/Cite&gt;&lt;/EndNote&gt;</w:instrText>
      </w:r>
      <w:r>
        <w:fldChar w:fldCharType="separate"/>
      </w:r>
      <w:r>
        <w:rPr>
          <w:noProof/>
        </w:rPr>
        <w:t xml:space="preserve">ICRC, 2013b: </w:t>
      </w:r>
      <w:r>
        <w:fldChar w:fldCharType="end"/>
      </w:r>
      <w:r>
        <w:t>13.</w:t>
      </w:r>
    </w:p>
  </w:footnote>
  <w:footnote w:id="10">
    <w:p w14:paraId="3BB384AA" w14:textId="77777777" w:rsidR="00E41BC3" w:rsidRDefault="00E41BC3" w:rsidP="001164D6">
      <w:pPr>
        <w:pStyle w:val="FootnoteText"/>
      </w:pPr>
      <w:r>
        <w:rPr>
          <w:rStyle w:val="FootnoteReference"/>
        </w:rPr>
        <w:footnoteRef/>
      </w:r>
      <w:r>
        <w:t xml:space="preserve"> </w:t>
      </w:r>
      <w:r>
        <w:fldChar w:fldCharType="begin"/>
      </w:r>
      <w:r>
        <w:instrText xml:space="preserve"> ADDIN EN.CITE &lt;EndNote&gt;&lt;Cite&gt;&lt;Author&gt;Industry Panel&lt;/Author&gt;&lt;Year&gt;2015&lt;/Year&gt;&lt;RecNum&gt;565&lt;/RecNum&gt;&lt;DisplayText&gt;Industry Panel, 2015: &lt;/DisplayText&gt;&lt;record&gt;&lt;rec-number&gt;565&lt;/rec-number&gt;&lt;foreign-keys&gt;&lt;key app="EN" db-id="5xwt9zxa6r5fesevwr5xzp97r95ev9wx9zpw" timestamp="1468455324"&gt;565&lt;/key&gt;&lt;key app="ENWeb" db-id=""&gt;0&lt;/key&gt;&lt;/foreign-keys&gt;&lt;ref-type name="AAA ICRC Water References"&gt;40&lt;/ref-type&gt;&lt;contributors&gt;&lt;authors&gt;&lt;author&gt;Industry Panel,&lt;/author&gt;&lt;/authors&gt;&lt;/contributors&gt;&lt;titles&gt;&lt;title&gt;Substituted Price Direction: Regulated Water and Sewerage Services 1 July 2013 to 30 June 2018&lt;/title&gt;&lt;/titles&gt;&lt;dates&gt;&lt;year&gt;2015&lt;/year&gt;&lt;pub-dates&gt;&lt;date&gt;April 2015&lt;/date&gt;&lt;/pub-dates&gt;&lt;/dates&gt;&lt;pub-location&gt;Canberra&lt;/pub-location&gt;&lt;publisher&gt;Industry Panel&lt;/publisher&gt;&lt;urls&gt;&lt;/urls&gt;&lt;/record&gt;&lt;/Cite&gt;&lt;/EndNote&gt;</w:instrText>
      </w:r>
      <w:r>
        <w:fldChar w:fldCharType="separate"/>
      </w:r>
      <w:r>
        <w:rPr>
          <w:noProof/>
        </w:rPr>
        <w:t xml:space="preserve">Industry Panel, 2015: </w:t>
      </w:r>
      <w:r>
        <w:fldChar w:fldCharType="end"/>
      </w:r>
      <w:r>
        <w:t>12.</w:t>
      </w:r>
    </w:p>
  </w:footnote>
  <w:footnote w:id="11">
    <w:p w14:paraId="70F54AE4" w14:textId="77777777" w:rsidR="00E41BC3" w:rsidRPr="00AF6025" w:rsidRDefault="00E41BC3" w:rsidP="001164D6">
      <w:pPr>
        <w:pStyle w:val="FootnoteText"/>
        <w:rPr>
          <w:lang w:val="en-US"/>
        </w:rPr>
      </w:pPr>
      <w:r>
        <w:rPr>
          <w:rStyle w:val="FootnoteReference"/>
        </w:rPr>
        <w:footnoteRef/>
      </w:r>
      <w:r>
        <w:t xml:space="preserve"> </w:t>
      </w:r>
      <w:r>
        <w:rPr>
          <w:lang w:val="en-US"/>
        </w:rPr>
        <w:t xml:space="preserve">Charges </w:t>
      </w:r>
      <w:proofErr w:type="gramStart"/>
      <w:r>
        <w:rPr>
          <w:lang w:val="en-US"/>
        </w:rPr>
        <w:t>are calculated</w:t>
      </w:r>
      <w:proofErr w:type="gramEnd"/>
      <w:r>
        <w:rPr>
          <w:lang w:val="en-US"/>
        </w:rPr>
        <w:t xml:space="preserve"> on a daily pro-rata </w:t>
      </w:r>
      <w:r w:rsidRPr="000F09DA">
        <w:rPr>
          <w:lang w:val="en-US"/>
        </w:rPr>
        <w:t>basis</w:t>
      </w:r>
      <w:r>
        <w:rPr>
          <w:lang w:val="en-US"/>
        </w:rPr>
        <w:t xml:space="preserve"> and billing occurs quarterly, so the second-tier price can apply for consumption that is less than the annual amount of 200 kL.</w:t>
      </w:r>
    </w:p>
  </w:footnote>
  <w:footnote w:id="12">
    <w:p w14:paraId="0D470491" w14:textId="77777777" w:rsidR="00E41BC3" w:rsidRDefault="00E41BC3" w:rsidP="001164D6">
      <w:pPr>
        <w:pStyle w:val="FootnoteText"/>
      </w:pPr>
      <w:r>
        <w:rPr>
          <w:rStyle w:val="FootnoteReference"/>
        </w:rPr>
        <w:footnoteRef/>
      </w:r>
      <w:r>
        <w:t xml:space="preserve"> </w:t>
      </w:r>
      <w:r w:rsidRPr="00817094">
        <w:t>From 1998</w:t>
      </w:r>
      <w:r>
        <w:t>–</w:t>
      </w:r>
      <w:r w:rsidRPr="00817094">
        <w:t>99 to 2003</w:t>
      </w:r>
      <w:r>
        <w:t>–</w:t>
      </w:r>
      <w:r w:rsidRPr="002B3864">
        <w:t>04</w:t>
      </w:r>
      <w:r>
        <w:t>,</w:t>
      </w:r>
      <w:r w:rsidRPr="002B3864">
        <w:t xml:space="preserve"> a two-part inclining bloc</w:t>
      </w:r>
      <w:r>
        <w:t xml:space="preserve">k structure </w:t>
      </w:r>
      <w:r w:rsidRPr="002B3864">
        <w:t>applied to the price of water, with f</w:t>
      </w:r>
      <w:r>
        <w:t xml:space="preserve">irst-tier consumption initially </w:t>
      </w:r>
      <w:r w:rsidRPr="002B3864">
        <w:t>set at 300 kL</w:t>
      </w:r>
      <w:r w:rsidRPr="00817094">
        <w:t xml:space="preserve"> per annum in 1998</w:t>
      </w:r>
      <w:r>
        <w:t>–</w:t>
      </w:r>
      <w:r w:rsidRPr="002B3864">
        <w:t>99,</w:t>
      </w:r>
      <w:r>
        <w:t xml:space="preserve"> and </w:t>
      </w:r>
      <w:r w:rsidRPr="002B3864">
        <w:t>reduc</w:t>
      </w:r>
      <w:r>
        <w:t>ed</w:t>
      </w:r>
      <w:r w:rsidRPr="00817094">
        <w:t xml:space="preserve"> to 175 kL per annum in </w:t>
      </w:r>
      <w:r>
        <w:br/>
      </w:r>
      <w:r w:rsidRPr="00817094">
        <w:t>2003</w:t>
      </w:r>
      <w:r>
        <w:t>–</w:t>
      </w:r>
      <w:r w:rsidRPr="002B3864">
        <w:t>04</w:t>
      </w:r>
      <w:r>
        <w:t xml:space="preserve">. </w:t>
      </w:r>
      <w:r w:rsidRPr="002B3864">
        <w:t>In 2004</w:t>
      </w:r>
      <w:r>
        <w:t>–</w:t>
      </w:r>
      <w:r w:rsidRPr="002B3864">
        <w:t>05, the Commission introduced a new three</w:t>
      </w:r>
      <w:r>
        <w:t>-</w:t>
      </w:r>
      <w:r w:rsidRPr="002B3864">
        <w:t>tie</w:t>
      </w:r>
      <w:r w:rsidRPr="00CA3C4D">
        <w:t>r inclining block price struct</w:t>
      </w:r>
      <w:r w:rsidRPr="002B3864">
        <w:t>ure with two steps, the first at 100 kL per annum and the second at 300 kL per annum with a reduced fixed charge.</w:t>
      </w:r>
      <w:r>
        <w:t xml:space="preserve"> The fixed charge was $75 per annum, the first-tier charge was $0.50 per kL, the second-tier charge was $1.00 per kL and the third-tier charge was $1.35 per kL. In</w:t>
      </w:r>
      <w:r w:rsidRPr="002B3864">
        <w:t xml:space="preserve"> 2008</w:t>
      </w:r>
      <w:r w:rsidRPr="002B3864">
        <w:sym w:font="Symbol" w:char="F02D"/>
      </w:r>
      <w:r w:rsidRPr="002B3864">
        <w:t>09, the Commission</w:t>
      </w:r>
      <w:r>
        <w:t xml:space="preserve"> </w:t>
      </w:r>
      <w:r w:rsidRPr="00A03266">
        <w:t>moved</w:t>
      </w:r>
      <w:r w:rsidRPr="002B3864">
        <w:t xml:space="preserve"> to a one-ste</w:t>
      </w:r>
      <w:r w:rsidRPr="00CA3C4D">
        <w:t xml:space="preserve">p </w:t>
      </w:r>
      <w:r w:rsidRPr="00041C58">
        <w:t>inclining block</w:t>
      </w:r>
      <w:r w:rsidRPr="00E80090">
        <w:t xml:space="preserve"> str</w:t>
      </w:r>
      <w:r w:rsidRPr="002B3864">
        <w:t xml:space="preserve">ucture with the step at 200 kL per annum </w:t>
      </w:r>
      <w:r>
        <w:t>and</w:t>
      </w:r>
      <w:r w:rsidRPr="002B3864">
        <w:t xml:space="preserve"> the second-tier price </w:t>
      </w:r>
      <w:r>
        <w:t xml:space="preserve">continuing to be set at </w:t>
      </w:r>
      <w:r w:rsidRPr="002B3864">
        <w:t>twice that of the first</w:t>
      </w:r>
      <w:r w:rsidRPr="004718EA">
        <w:t xml:space="preserve"> </w:t>
      </w:r>
      <w:r>
        <w:t xml:space="preserve">(ICRC, 2015a: 47). </w:t>
      </w:r>
    </w:p>
  </w:footnote>
  <w:footnote w:id="13">
    <w:p w14:paraId="7886EC57" w14:textId="77777777" w:rsidR="00E41BC3" w:rsidRPr="005E2E0B" w:rsidRDefault="00E41BC3" w:rsidP="001164D6">
      <w:pPr>
        <w:pStyle w:val="FootnoteText"/>
      </w:pPr>
      <w:r w:rsidRPr="005E2E0B">
        <w:rPr>
          <w:rStyle w:val="FootnoteReference"/>
        </w:rPr>
        <w:footnoteRef/>
      </w:r>
      <w:r w:rsidRPr="005E2E0B">
        <w:t xml:space="preserve"> </w:t>
      </w:r>
      <w:r>
        <w:t>As at 6 Ma</w:t>
      </w:r>
      <w:r w:rsidRPr="001E7F9A">
        <w:t>rch 2017</w:t>
      </w:r>
      <w:proofErr w:type="gramStart"/>
      <w:r>
        <w:t>;</w:t>
      </w:r>
      <w:proofErr w:type="gramEnd"/>
      <w:r>
        <w:t xml:space="preserve"> </w:t>
      </w:r>
      <w:hyperlink r:id="rId1" w:history="1">
        <w:r w:rsidRPr="00CE7230">
          <w:rPr>
            <w:rStyle w:val="Hyperlink"/>
            <w:sz w:val="18"/>
          </w:rPr>
          <w:t>https://www.iconwater.com.au/Water-and-Sewerage-System/Dams/Cotter-Dam.aspx</w:t>
        </w:r>
      </w:hyperlink>
      <w:r w:rsidRPr="005E2E0B">
        <w:t xml:space="preserve">. </w:t>
      </w:r>
    </w:p>
  </w:footnote>
  <w:footnote w:id="14">
    <w:p w14:paraId="6B25B240" w14:textId="77777777" w:rsidR="00E41BC3" w:rsidRDefault="00E41BC3" w:rsidP="001164D6">
      <w:pPr>
        <w:pStyle w:val="FootnoteText"/>
      </w:pPr>
      <w:r>
        <w:rPr>
          <w:rStyle w:val="FootnoteReference"/>
        </w:rPr>
        <w:footnoteRef/>
      </w:r>
      <w:r>
        <w:t xml:space="preserve"> </w:t>
      </w:r>
      <w:r>
        <w:rPr>
          <w:noProof/>
        </w:rPr>
        <w:t>ICRC, 2015a</w:t>
      </w:r>
      <w:r>
        <w:t xml:space="preserve">. Available for download from: </w:t>
      </w:r>
      <w:r w:rsidRPr="00570913">
        <w:t>http://www.icrc.act.gov.au/wp-content/uploads/2015/11/Report-7-of-2015-Issues-Paper-Tariff-Review-2016-November-2015.pdf</w:t>
      </w:r>
      <w:r>
        <w:t>.</w:t>
      </w:r>
    </w:p>
  </w:footnote>
  <w:footnote w:id="15">
    <w:p w14:paraId="203429C7" w14:textId="77777777" w:rsidR="00E41BC3" w:rsidRDefault="00E41BC3" w:rsidP="001164D6">
      <w:pPr>
        <w:pStyle w:val="FootnoteText"/>
      </w:pPr>
      <w:r>
        <w:rPr>
          <w:rStyle w:val="FootnoteReference"/>
        </w:rPr>
        <w:footnoteRef/>
      </w:r>
      <w:r>
        <w:t xml:space="preserve"> </w:t>
      </w:r>
      <w:r>
        <w:rPr>
          <w:noProof/>
        </w:rPr>
        <w:t>ICRC, 2016a</w:t>
      </w:r>
      <w:r>
        <w:t xml:space="preserve">. Available for download from: </w:t>
      </w:r>
      <w:r w:rsidRPr="005D4542">
        <w:t>http://www.icrc.act.gov.au/wp-content/uploads/2015/11/TariffRev_Elasticity_paperv8.pdf</w:t>
      </w:r>
      <w:r>
        <w:t>.</w:t>
      </w:r>
    </w:p>
  </w:footnote>
  <w:footnote w:id="16">
    <w:p w14:paraId="0C3379C2" w14:textId="77777777" w:rsidR="00E41BC3" w:rsidRDefault="00E41BC3" w:rsidP="001164D6">
      <w:pPr>
        <w:pStyle w:val="FootnoteText"/>
      </w:pPr>
      <w:r>
        <w:rPr>
          <w:rStyle w:val="FootnoteReference"/>
        </w:rPr>
        <w:footnoteRef/>
      </w:r>
      <w:r>
        <w:t xml:space="preserve"> </w:t>
      </w:r>
      <w:r>
        <w:rPr>
          <w:noProof/>
        </w:rPr>
        <w:t>ICRC, 2016b</w:t>
      </w:r>
      <w:r>
        <w:t xml:space="preserve">. </w:t>
      </w:r>
      <w:r w:rsidRPr="00536325">
        <w:t xml:space="preserve">Available for download from: </w:t>
      </w:r>
      <w:r w:rsidRPr="00C8548E">
        <w:t>http://www.icrc.act.gov.au/wp-content/uploads/2016/06/Report-4-of-2016-June-2016.pdf</w:t>
      </w:r>
      <w:r>
        <w:t>.</w:t>
      </w:r>
    </w:p>
  </w:footnote>
  <w:footnote w:id="17">
    <w:p w14:paraId="2DD2BF60" w14:textId="77777777" w:rsidR="00E41BC3" w:rsidRDefault="00E41BC3" w:rsidP="001164D6">
      <w:pPr>
        <w:pStyle w:val="FootnoteText"/>
      </w:pPr>
      <w:r>
        <w:rPr>
          <w:rStyle w:val="FootnoteReference"/>
        </w:rPr>
        <w:footnoteRef/>
      </w:r>
      <w:r>
        <w:t xml:space="preserve"> </w:t>
      </w:r>
      <w:r>
        <w:rPr>
          <w:noProof/>
        </w:rPr>
        <w:t>ICRC, 2016c</w:t>
      </w:r>
      <w:r>
        <w:t xml:space="preserve">. </w:t>
      </w:r>
      <w:r w:rsidRPr="00536325">
        <w:t>Available for download from:</w:t>
      </w:r>
      <w:r w:rsidRPr="00FA7DF0">
        <w:t xml:space="preserve"> http://www.icrc.act.gov.au/wp-content/uploads/2016/06/TariffRev_DraftReport_v10.pdf</w:t>
      </w:r>
      <w:r>
        <w:t>.</w:t>
      </w:r>
    </w:p>
  </w:footnote>
  <w:footnote w:id="18">
    <w:p w14:paraId="09048CB0" w14:textId="77777777" w:rsidR="00E41BC3" w:rsidRDefault="00E41BC3" w:rsidP="001164D6">
      <w:pPr>
        <w:pStyle w:val="FootnoteText"/>
      </w:pPr>
      <w:r>
        <w:rPr>
          <w:rStyle w:val="FootnoteReference"/>
        </w:rPr>
        <w:footnoteRef/>
      </w:r>
      <w:r>
        <w:t xml:space="preserve"> ICRC, 2016c: xiv.</w:t>
      </w:r>
    </w:p>
  </w:footnote>
  <w:footnote w:id="19">
    <w:p w14:paraId="0E95E201" w14:textId="77777777" w:rsidR="00E41BC3" w:rsidRDefault="00E41BC3" w:rsidP="001164D6">
      <w:pPr>
        <w:pStyle w:val="FootnoteText"/>
      </w:pPr>
      <w:r>
        <w:rPr>
          <w:rStyle w:val="FootnoteReference"/>
        </w:rPr>
        <w:footnoteRef/>
      </w:r>
      <w:r>
        <w:t xml:space="preserve"> ICRC, 2016c: xxi.</w:t>
      </w:r>
    </w:p>
  </w:footnote>
  <w:footnote w:id="20">
    <w:p w14:paraId="270BFE55" w14:textId="77777777" w:rsidR="00E41BC3" w:rsidRDefault="00E41BC3" w:rsidP="00B131AF">
      <w:pPr>
        <w:pStyle w:val="FootnoteText"/>
      </w:pPr>
      <w:r>
        <w:rPr>
          <w:rStyle w:val="FootnoteReference"/>
        </w:rPr>
        <w:footnoteRef/>
      </w:r>
      <w:r>
        <w:t xml:space="preserve"> </w:t>
      </w:r>
      <w:r>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fldChar w:fldCharType="separate"/>
      </w:r>
      <w:r>
        <w:rPr>
          <w:noProof/>
        </w:rPr>
        <w:t xml:space="preserve">ICRC, 2015a: </w:t>
      </w:r>
      <w:r>
        <w:fldChar w:fldCharType="end"/>
      </w:r>
      <w:r>
        <w:t xml:space="preserve">1–90. </w:t>
      </w:r>
    </w:p>
  </w:footnote>
  <w:footnote w:id="21">
    <w:p w14:paraId="1228BEAD" w14:textId="77777777" w:rsidR="00E41BC3" w:rsidRDefault="00E41BC3" w:rsidP="00B131AF">
      <w:pPr>
        <w:pStyle w:val="FootnoteText"/>
      </w:pPr>
      <w:r>
        <w:rPr>
          <w:rStyle w:val="FootnoteReference"/>
        </w:rPr>
        <w:footnoteRef/>
      </w:r>
      <w:r>
        <w:t xml:space="preserve"> ACT Government, 2014a: </w:t>
      </w:r>
      <w:proofErr w:type="gramStart"/>
      <w:r>
        <w:t>2</w:t>
      </w:r>
      <w:proofErr w:type="gramEnd"/>
      <w:r>
        <w:t>.</w:t>
      </w:r>
    </w:p>
  </w:footnote>
  <w:footnote w:id="22">
    <w:p w14:paraId="4027A460" w14:textId="77777777" w:rsidR="00E41BC3" w:rsidRPr="003A7A78" w:rsidRDefault="00E41BC3" w:rsidP="00B131AF">
      <w:pPr>
        <w:pStyle w:val="FootnoteText"/>
        <w:rPr>
          <w:lang w:val="en-US"/>
        </w:rPr>
      </w:pPr>
      <w:r>
        <w:rPr>
          <w:rStyle w:val="FootnoteReference"/>
        </w:rPr>
        <w:footnoteRef/>
      </w:r>
      <w:r>
        <w:t xml:space="preserve"> </w:t>
      </w:r>
      <w:r w:rsidRPr="005E2E0B">
        <w:t>A net cap means gross water extractions minus water returned to the river system after use.</w:t>
      </w:r>
    </w:p>
  </w:footnote>
  <w:footnote w:id="23">
    <w:p w14:paraId="4BD9D330" w14:textId="77777777" w:rsidR="00E41BC3" w:rsidRDefault="00E41BC3" w:rsidP="00F62A77">
      <w:pPr>
        <w:pStyle w:val="FootnoteText"/>
      </w:pPr>
      <w:r>
        <w:rPr>
          <w:rStyle w:val="FootnoteReference"/>
        </w:rPr>
        <w:footnoteRef/>
      </w:r>
      <w:r>
        <w:t xml:space="preserve"> Productivity Commission, 2011: 156. </w:t>
      </w:r>
    </w:p>
  </w:footnote>
  <w:footnote w:id="24">
    <w:p w14:paraId="7E87A9E2" w14:textId="77777777" w:rsidR="00E41BC3" w:rsidRDefault="00E41BC3" w:rsidP="00CA7AFB">
      <w:pPr>
        <w:pStyle w:val="FootnoteText"/>
      </w:pPr>
      <w:r>
        <w:rPr>
          <w:rStyle w:val="FootnoteReference"/>
        </w:rPr>
        <w:footnoteRef/>
      </w:r>
      <w:r>
        <w:t xml:space="preserve"> See Productivity Commission, 2011: 30–31, 156, for material on the history and development of two-part and inclining block tariff structures.</w:t>
      </w:r>
    </w:p>
  </w:footnote>
  <w:footnote w:id="25">
    <w:p w14:paraId="358D2DF3"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proofErr w:type="gramStart"/>
      <w:r>
        <w:t>5</w:t>
      </w:r>
      <w:proofErr w:type="gramEnd"/>
      <w:r>
        <w:t>.</w:t>
      </w:r>
    </w:p>
  </w:footnote>
  <w:footnote w:id="26">
    <w:p w14:paraId="04289E05"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fldChar w:fldCharType="separate"/>
      </w:r>
      <w:r>
        <w:rPr>
          <w:noProof/>
        </w:rPr>
        <w:t xml:space="preserve">ICRC, 2015a: </w:t>
      </w:r>
      <w:r>
        <w:fldChar w:fldCharType="end"/>
      </w:r>
      <w:r>
        <w:t xml:space="preserve">32. </w:t>
      </w:r>
    </w:p>
    <w:p w14:paraId="2542D805" w14:textId="77777777" w:rsidR="00E41BC3" w:rsidRDefault="00E41BC3" w:rsidP="00CA7AFB">
      <w:pPr>
        <w:pStyle w:val="FootnoteText"/>
      </w:pPr>
    </w:p>
  </w:footnote>
  <w:footnote w:id="27">
    <w:p w14:paraId="1066061F" w14:textId="77777777" w:rsidR="00E41BC3" w:rsidRDefault="00E41BC3" w:rsidP="00CA7AFB">
      <w:pPr>
        <w:pStyle w:val="FootnoteText"/>
      </w:pPr>
      <w:r>
        <w:rPr>
          <w:rStyle w:val="FootnoteReference"/>
        </w:rPr>
        <w:footnoteRef/>
      </w:r>
      <w:r>
        <w:t xml:space="preserve"> ACT 2016.</w:t>
      </w:r>
    </w:p>
  </w:footnote>
  <w:footnote w:id="28">
    <w:p w14:paraId="35057F9F" w14:textId="77777777" w:rsidR="00E41BC3" w:rsidRDefault="00E41BC3" w:rsidP="00CA7AFB">
      <w:pPr>
        <w:pStyle w:val="FootnoteText"/>
      </w:pPr>
      <w:r>
        <w:rPr>
          <w:rStyle w:val="FootnoteReference"/>
        </w:rPr>
        <w:footnoteRef/>
      </w:r>
      <w:r>
        <w:t xml:space="preserve"> Icon Water, 2016c: 10.</w:t>
      </w:r>
    </w:p>
  </w:footnote>
  <w:footnote w:id="29">
    <w:p w14:paraId="2EFDBE9F" w14:textId="3A0FF39B"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Water&lt;/Author&gt;&lt;Year&gt;2016&lt;/Year&gt;&lt;RecNum&gt;741&lt;/RecNum&gt;&lt;DisplayText&gt;Icon Water, 2016a: &lt;/DisplayText&gt;&lt;record&gt;&lt;rec-number&gt;741&lt;/rec-number&gt;&lt;foreign-keys&gt;&lt;key app="EN" db-id="5xwt9zxa6r5fesevwr5xzp97r95ev9wx9zpw" timestamp="1469404358"&gt;741&lt;/key&gt;&lt;key app="ENWeb" db-id=""&gt;0&lt;/key&gt;&lt;/foreign-keys&gt;&lt;ref-type name="AAA ICRC Water References"&gt;40&lt;/ref-type&gt;&lt;contributors&gt;&lt;authors&gt;&lt;author&gt;Icon Water,&lt;/author&gt;&lt;/authors&gt;&lt;/contributors&gt;&lt;titles&gt;&lt;title&gt;Cotter Dam now full!&lt;/title&gt;&lt;/titles&gt;&lt;dates&gt;&lt;year&gt;2016&lt;/year&gt;&lt;pub-dates&gt;&lt;date&gt;7 July 2016&lt;/date&gt;&lt;/pub-dates&gt;&lt;/dates&gt;&lt;pub-location&gt;Canberra&lt;/pub-location&gt;&lt;publisher&gt;Icon Water&lt;/publisher&gt;&lt;urls&gt;&lt;/urls&gt;&lt;/record&gt;&lt;/Cite&gt;&lt;/EndNote&gt;</w:instrText>
      </w:r>
      <w:r>
        <w:fldChar w:fldCharType="separate"/>
      </w:r>
      <w:r>
        <w:rPr>
          <w:noProof/>
        </w:rPr>
        <w:t xml:space="preserve">Icon Water, 2016c: </w:t>
      </w:r>
      <w:r>
        <w:fldChar w:fldCharType="end"/>
      </w:r>
      <w:r>
        <w:t>12.</w:t>
      </w:r>
    </w:p>
  </w:footnote>
  <w:footnote w:id="30">
    <w:p w14:paraId="578694A7" w14:textId="77777777" w:rsidR="00E41BC3" w:rsidRDefault="00E41BC3" w:rsidP="00CA7AFB">
      <w:pPr>
        <w:pStyle w:val="FootnoteText"/>
      </w:pPr>
      <w:r>
        <w:rPr>
          <w:rStyle w:val="FootnoteReference"/>
        </w:rPr>
        <w:footnoteRef/>
      </w:r>
      <w:r>
        <w:t xml:space="preserve"> As at 6 March 2017</w:t>
      </w:r>
      <w:proofErr w:type="gramStart"/>
      <w:r>
        <w:t>;</w:t>
      </w:r>
      <w:proofErr w:type="gramEnd"/>
      <w:r>
        <w:t xml:space="preserve"> </w:t>
      </w:r>
      <w:hyperlink r:id="rId2" w:history="1">
        <w:r w:rsidRPr="008A5B7D">
          <w:rPr>
            <w:rStyle w:val="Hyperlink"/>
            <w:sz w:val="18"/>
          </w:rPr>
          <w:t>https://www.iconwater.com.au/Water-and-Sewerage-System/Dams/Cotter-Dam.aspx</w:t>
        </w:r>
      </w:hyperlink>
      <w:r>
        <w:t xml:space="preserve">. </w:t>
      </w:r>
    </w:p>
  </w:footnote>
  <w:footnote w:id="31">
    <w:p w14:paraId="6101C207" w14:textId="77777777" w:rsidR="00E41BC3" w:rsidRDefault="00E41BC3" w:rsidP="00CA7AFB">
      <w:pPr>
        <w:pStyle w:val="FootnoteText"/>
      </w:pPr>
      <w:r>
        <w:rPr>
          <w:rStyle w:val="FootnoteReference"/>
        </w:rPr>
        <w:footnoteRef/>
      </w:r>
      <w:r>
        <w:t xml:space="preserve"> ICRC 2015b.</w:t>
      </w:r>
    </w:p>
  </w:footnote>
  <w:footnote w:id="32">
    <w:p w14:paraId="1B7D6DF2" w14:textId="77777777" w:rsidR="00E41BC3" w:rsidRPr="00C55074" w:rsidRDefault="00E41BC3" w:rsidP="00CA7AFB">
      <w:pPr>
        <w:pStyle w:val="FootnoteText"/>
      </w:pPr>
      <w:r>
        <w:rPr>
          <w:rStyle w:val="FootnoteReference"/>
        </w:rPr>
        <w:footnoteRef/>
      </w:r>
      <w:r>
        <w:t xml:space="preserve"> The minor demand growth scenario, which assumes a medium series population growth with 50 per cent of the incremental population contributing to aggregate demand growth, may well be conservatively high given the recent downward trend in per capita consumption. In this regard, </w:t>
      </w:r>
      <w:r>
        <w:rPr>
          <w:shd w:val="clear" w:color="auto" w:fill="FFFFFF"/>
        </w:rPr>
        <w:t>Icon Water recently noted:</w:t>
      </w:r>
    </w:p>
    <w:p w14:paraId="35EFA9DE" w14:textId="77777777" w:rsidR="00E41BC3" w:rsidRDefault="00E41BC3" w:rsidP="00CA7AFB">
      <w:pPr>
        <w:pStyle w:val="FootnoteText"/>
        <w:ind w:left="720"/>
      </w:pPr>
      <w:r>
        <w:rPr>
          <w:shd w:val="clear" w:color="auto" w:fill="FFFFFF"/>
        </w:rPr>
        <w:t xml:space="preserve">We know that Canberra values its water greatly and still use it very wisely following the decade of uncertainty for the region. Our community managed to significantly reduce its water usage over that period and </w:t>
      </w:r>
      <w:proofErr w:type="gramStart"/>
      <w:r>
        <w:rPr>
          <w:shd w:val="clear" w:color="auto" w:fill="FFFFFF"/>
        </w:rPr>
        <w:t>we’ve</w:t>
      </w:r>
      <w:proofErr w:type="gramEnd"/>
      <w:r>
        <w:rPr>
          <w:shd w:val="clear" w:color="auto" w:fill="FFFFFF"/>
        </w:rPr>
        <w:t xml:space="preserve"> seen very little bounce back since that time. This is a great indication that even as our population increases, we remain steady in our consumption figures as a community. (</w:t>
      </w:r>
      <w:r>
        <w:rPr>
          <w:shd w:val="clear" w:color="auto" w:fill="FFFFFF"/>
        </w:rPr>
        <w:fldChar w:fldCharType="begin"/>
      </w:r>
      <w:r>
        <w:rPr>
          <w:shd w:val="clear" w:color="auto" w:fill="FFFFFF"/>
        </w:rPr>
        <w:instrText xml:space="preserve"> ADDIN EN.CITE &lt;EndNote&gt;&lt;Cite&gt;&lt;Author&gt;Icon Water&lt;/Author&gt;&lt;Year&gt;2016&lt;/Year&gt;&lt;RecNum&gt;741&lt;/RecNum&gt;&lt;DisplayText&gt;Icon Water, 2016a: &lt;/DisplayText&gt;&lt;record&gt;&lt;rec-number&gt;741&lt;/rec-number&gt;&lt;foreign-keys&gt;&lt;key app="EN" db-id="5xwt9zxa6r5fesevwr5xzp97r95ev9wx9zpw" timestamp="1469404358"&gt;741&lt;/key&gt;&lt;key app="ENWeb" db-id=""&gt;0&lt;/key&gt;&lt;/foreign-keys&gt;&lt;ref-type name="AAA ICRC Water References"&gt;40&lt;/ref-type&gt;&lt;contributors&gt;&lt;authors&gt;&lt;author&gt;Icon Water,&lt;/author&gt;&lt;/authors&gt;&lt;/contributors&gt;&lt;titles&gt;&lt;title&gt;Cotter Dam now full!&lt;/title&gt;&lt;/titles&gt;&lt;dates&gt;&lt;year&gt;2016&lt;/year&gt;&lt;pub-dates&gt;&lt;date&gt;7 July 2016&lt;/date&gt;&lt;/pub-dates&gt;&lt;/dates&gt;&lt;pub-location&gt;Canberra&lt;/pub-location&gt;&lt;publisher&gt;Icon Water&lt;/publisher&gt;&lt;urls&gt;&lt;/urls&gt;&lt;/record&gt;&lt;/Cite&gt;&lt;/EndNote&gt;</w:instrText>
      </w:r>
      <w:r>
        <w:rPr>
          <w:shd w:val="clear" w:color="auto" w:fill="FFFFFF"/>
        </w:rPr>
        <w:fldChar w:fldCharType="separate"/>
      </w:r>
      <w:r>
        <w:rPr>
          <w:noProof/>
          <w:shd w:val="clear" w:color="auto" w:fill="FFFFFF"/>
        </w:rPr>
        <w:t xml:space="preserve">Icon Water, 2016a: </w:t>
      </w:r>
      <w:r>
        <w:rPr>
          <w:shd w:val="clear" w:color="auto" w:fill="FFFFFF"/>
        </w:rPr>
        <w:fldChar w:fldCharType="end"/>
      </w:r>
      <w:r>
        <w:rPr>
          <w:shd w:val="clear" w:color="auto" w:fill="FFFFFF"/>
        </w:rPr>
        <w:t>1)</w:t>
      </w:r>
    </w:p>
  </w:footnote>
  <w:footnote w:id="33">
    <w:p w14:paraId="46547207" w14:textId="77777777" w:rsidR="00E41BC3" w:rsidRDefault="00E41BC3" w:rsidP="00CA7AFB">
      <w:pPr>
        <w:pStyle w:val="FootnoteText"/>
      </w:pPr>
      <w:r>
        <w:rPr>
          <w:rStyle w:val="FootnoteReference"/>
        </w:rPr>
        <w:footnoteRef/>
      </w:r>
      <w:r>
        <w:t xml:space="preserve"> The high demand growth scenario assumes a high series population growth with 100 per cent of the incremental population contributing to aggregate demand growth. </w:t>
      </w:r>
    </w:p>
  </w:footnote>
  <w:footnote w:id="34">
    <w:p w14:paraId="30A76237" w14:textId="77777777" w:rsidR="00E41BC3" w:rsidRDefault="00E41BC3" w:rsidP="00CA7AFB">
      <w:pPr>
        <w:pStyle w:val="FootnoteText"/>
      </w:pPr>
      <w:r>
        <w:rPr>
          <w:rStyle w:val="FootnoteReference"/>
        </w:rPr>
        <w:footnoteRef/>
      </w:r>
      <w:r>
        <w:t xml:space="preserve"> ACT, 2016.</w:t>
      </w:r>
    </w:p>
  </w:footnote>
  <w:footnote w:id="35">
    <w:p w14:paraId="206FB27F" w14:textId="77777777" w:rsidR="00E41BC3" w:rsidRDefault="00E41BC3" w:rsidP="00CA7AFB">
      <w:pPr>
        <w:pStyle w:val="FootnoteText"/>
      </w:pPr>
      <w:r>
        <w:rPr>
          <w:rStyle w:val="FootnoteReference"/>
        </w:rPr>
        <w:footnoteRef/>
      </w:r>
      <w:r>
        <w:t xml:space="preserve"> It also worth noting that a portion of the water abstraction charge reflects the costs relating to environmental flow, including the effect of storing water in dams on downstream flows (</w:t>
      </w:r>
      <w:r>
        <w:fldChar w:fldCharType="begin"/>
      </w:r>
      <w:r>
        <w:instrText xml:space="preserve"> ADDIN EN.CITE &lt;EndNote&gt;&lt;Cite&gt;&lt;Author&gt;ACT Government&lt;/Author&gt;&lt;Year&gt;2014&lt;/Year&gt;&lt;RecNum&gt;608&lt;/RecNum&gt;&lt;DisplayText&gt;ACT Government, 2014: &lt;/DisplayText&gt;&lt;record&gt;&lt;rec-number&gt;608&lt;/rec-number&gt;&lt;foreign-keys&gt;&lt;key app="EN" db-id="5xwt9zxa6r5fesevwr5xzp97r95ev9wx9zpw" timestamp="1444708889"&gt;608&lt;/key&gt;&lt;/foreign-keys&gt;&lt;ref-type name="AAA ICRC Water References"&gt;40&lt;/ref-type&gt;&lt;contributors&gt;&lt;authors&gt;&lt;author&gt;ACT Government,&lt;/author&gt;&lt;/authors&gt;&lt;/contributors&gt;&lt;titles&gt;&lt;title&gt;ACT Water Abstraction Charge (WAC)&lt;/title&gt;&lt;/titles&gt;&lt;dates&gt;&lt;year&gt;2014&lt;/year&gt;&lt;/dates&gt;&lt;pub-location&gt;Canberra&lt;/pub-location&gt;&lt;publisher&gt;Environment and Planning Directorate&lt;/publisher&gt;&lt;urls&gt;&lt;/urls&gt;&lt;/record&gt;&lt;/Cite&gt;&lt;/EndNote&gt;</w:instrText>
      </w:r>
      <w:r>
        <w:fldChar w:fldCharType="separate"/>
      </w:r>
      <w:r>
        <w:rPr>
          <w:noProof/>
        </w:rPr>
        <w:t xml:space="preserve">ACT Government, 2014b: </w:t>
      </w:r>
      <w:r>
        <w:fldChar w:fldCharType="end"/>
      </w:r>
      <w:r>
        <w:t xml:space="preserve">2). </w:t>
      </w:r>
    </w:p>
  </w:footnote>
  <w:footnote w:id="36">
    <w:p w14:paraId="781F75CB" w14:textId="77777777" w:rsidR="00E41BC3" w:rsidRPr="00BB53B3" w:rsidRDefault="00E41BC3" w:rsidP="00CA7AFB">
      <w:pPr>
        <w:pStyle w:val="FootnoteText"/>
        <w:rPr>
          <w:lang w:val="en-US"/>
        </w:rPr>
      </w:pPr>
      <w:r>
        <w:rPr>
          <w:rStyle w:val="FootnoteReference"/>
        </w:rPr>
        <w:footnoteRef/>
      </w:r>
      <w:r>
        <w:t xml:space="preserve"> </w:t>
      </w:r>
      <w:r>
        <w:rPr>
          <w:lang w:val="en-US"/>
        </w:rPr>
        <w:t xml:space="preserve">Knee, 2016b: </w:t>
      </w:r>
      <w:proofErr w:type="gramStart"/>
      <w:r>
        <w:rPr>
          <w:lang w:val="en-US"/>
        </w:rPr>
        <w:t>1</w:t>
      </w:r>
      <w:proofErr w:type="gramEnd"/>
      <w:r>
        <w:rPr>
          <w:lang w:val="en-US"/>
        </w:rPr>
        <w:t>.</w:t>
      </w:r>
    </w:p>
  </w:footnote>
  <w:footnote w:id="37">
    <w:p w14:paraId="69F6EDC5"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&lt;EndNote&gt;&lt;Cite&gt;&lt;Author&gt;Saunders&lt;/Author&gt;&lt;Year&gt;1977&lt;/Year&gt;&lt;RecNum&gt;681&lt;/RecNum&gt;&lt;DisplayText&gt;Saunders, Warford and Mann, 1977: &lt;/DisplayText&gt;&lt;record&gt;&lt;rec-number&gt;681&lt;/rec-number&gt;&lt;foreign-keys&gt;&lt;key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fldChar w:fldCharType="separate"/>
      </w:r>
      <w:r>
        <w:rPr>
          <w:noProof/>
        </w:rPr>
        <w:t xml:space="preserve">Saunders, Warford and Mann, 1977: </w:t>
      </w:r>
      <w:r>
        <w:fldChar w:fldCharType="end"/>
      </w:r>
      <w:r>
        <w:t>18.</w:t>
      </w:r>
    </w:p>
  </w:footnote>
  <w:footnote w:id="38">
    <w:p w14:paraId="410C96AD"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10.</w:t>
      </w:r>
    </w:p>
  </w:footnote>
  <w:footnote w:id="39">
    <w:p w14:paraId="1AFD4B35" w14:textId="77777777" w:rsidR="00E41BC3" w:rsidRDefault="00E41BC3" w:rsidP="00CA7AFB">
      <w:pPr>
        <w:pStyle w:val="FootnoteText"/>
      </w:pPr>
      <w:r>
        <w:rPr>
          <w:rStyle w:val="FootnoteReference"/>
        </w:rPr>
        <w:footnoteRef/>
      </w:r>
      <w:r>
        <w:t xml:space="preserve"> Icon Water, 2016c: 10.</w:t>
      </w:r>
    </w:p>
  </w:footnote>
  <w:footnote w:id="40">
    <w:p w14:paraId="023AFA5D" w14:textId="77777777" w:rsidR="00E41BC3" w:rsidRPr="00AB25F0" w:rsidRDefault="00E41BC3" w:rsidP="00CA7AFB">
      <w:pPr>
        <w:pStyle w:val="FootnoteText"/>
        <w:rPr>
          <w:lang w:val="en-US"/>
        </w:rPr>
      </w:pPr>
      <w:r>
        <w:rPr>
          <w:rStyle w:val="FootnoteReference"/>
        </w:rPr>
        <w:footnoteRef/>
      </w:r>
      <w:r>
        <w:t xml:space="preserve"> </w:t>
      </w:r>
      <w:r>
        <w:rPr>
          <w:lang w:val="en-US"/>
        </w:rPr>
        <w:t xml:space="preserve">Clubs ACT, 2016. </w:t>
      </w:r>
    </w:p>
  </w:footnote>
  <w:footnote w:id="41">
    <w:p w14:paraId="2BA3678D" w14:textId="77777777" w:rsidR="00E41BC3" w:rsidRDefault="00E41BC3" w:rsidP="00CA7AFB">
      <w:pPr>
        <w:pStyle w:val="FootnoteText"/>
      </w:pPr>
      <w:r>
        <w:rPr>
          <w:rStyle w:val="FootnoteReference"/>
        </w:rPr>
        <w:footnoteRef/>
      </w:r>
      <w:r>
        <w:t xml:space="preserve"> Hulbert, 2016: 1.</w:t>
      </w:r>
    </w:p>
  </w:footnote>
  <w:footnote w:id="42">
    <w:p w14:paraId="36C854AE" w14:textId="77777777" w:rsidR="00E41BC3" w:rsidRDefault="00E41BC3" w:rsidP="00CA7AFB">
      <w:pPr>
        <w:pStyle w:val="FootnoteText"/>
      </w:pPr>
      <w:r>
        <w:rPr>
          <w:rStyle w:val="FootnoteReference"/>
        </w:rPr>
        <w:footnoteRef/>
      </w:r>
      <w:r>
        <w:t xml:space="preserve"> Icon Water, 2016c: </w:t>
      </w:r>
      <w:proofErr w:type="gramStart"/>
      <w:r>
        <w:t>1</w:t>
      </w:r>
      <w:proofErr w:type="gramEnd"/>
      <w:r>
        <w:t>.</w:t>
      </w:r>
    </w:p>
  </w:footnote>
  <w:footnote w:id="43">
    <w:p w14:paraId="3E657A7E" w14:textId="77777777" w:rsidR="00E41BC3" w:rsidRDefault="00E41BC3" w:rsidP="00CA7AFB">
      <w:pPr>
        <w:pStyle w:val="FootnoteText"/>
      </w:pPr>
      <w:r>
        <w:rPr>
          <w:rStyle w:val="FootnoteReference"/>
        </w:rPr>
        <w:footnoteRef/>
      </w:r>
      <w:r>
        <w:t xml:space="preserve"> Icon Water, 2016d: 3.</w:t>
      </w:r>
    </w:p>
  </w:footnote>
  <w:footnote w:id="44">
    <w:p w14:paraId="56190119" w14:textId="77777777" w:rsidR="00E41BC3" w:rsidRDefault="00E41BC3" w:rsidP="00CA7AFB">
      <w:pPr>
        <w:pStyle w:val="FootnoteText"/>
      </w:pPr>
      <w:r>
        <w:rPr>
          <w:rStyle w:val="FootnoteReference"/>
        </w:rPr>
        <w:footnoteRef/>
      </w:r>
      <w:r>
        <w:t xml:space="preserve"> ACT Government, 2016: 7.</w:t>
      </w:r>
    </w:p>
  </w:footnote>
  <w:footnote w:id="45">
    <w:p w14:paraId="184C074F" w14:textId="77777777" w:rsidR="00E41BC3" w:rsidRDefault="00E41BC3" w:rsidP="00CA7AFB">
      <w:pPr>
        <w:pStyle w:val="FootnoteText"/>
      </w:pPr>
      <w:r>
        <w:rPr>
          <w:rStyle w:val="FootnoteReference"/>
        </w:rPr>
        <w:footnoteRef/>
      </w:r>
      <w:r>
        <w:t xml:space="preserve"> ACT Government, 2016: 1, 7.</w:t>
      </w:r>
    </w:p>
  </w:footnote>
  <w:footnote w:id="46">
    <w:p w14:paraId="37C11267" w14:textId="77777777" w:rsidR="00E41BC3" w:rsidRDefault="00E41BC3" w:rsidP="00CA7AFB">
      <w:pPr>
        <w:pStyle w:val="FootnoteText"/>
      </w:pPr>
      <w:r>
        <w:rPr>
          <w:rStyle w:val="FootnoteReference"/>
        </w:rPr>
        <w:footnoteRef/>
      </w:r>
      <w:r>
        <w:t xml:space="preserve"> Icon Water, 2016 b, c, d.</w:t>
      </w:r>
    </w:p>
  </w:footnote>
  <w:footnote w:id="47">
    <w:p w14:paraId="04EBD5CF"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 d: </w:t>
      </w:r>
      <w:r>
        <w:fldChar w:fldCharType="end"/>
      </w:r>
      <w:r>
        <w:t>8.</w:t>
      </w:r>
    </w:p>
  </w:footnote>
  <w:footnote w:id="48">
    <w:p w14:paraId="66761840" w14:textId="77777777" w:rsidR="00E41BC3" w:rsidRDefault="00E41BC3" w:rsidP="00CA7AFB">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 b: </w:t>
      </w:r>
      <w:r>
        <w:fldChar w:fldCharType="end"/>
      </w:r>
      <w:r>
        <w:t>2.</w:t>
      </w:r>
    </w:p>
  </w:footnote>
  <w:footnote w:id="49">
    <w:p w14:paraId="5B8D35FA" w14:textId="77777777" w:rsidR="00E41BC3" w:rsidRDefault="00E41BC3" w:rsidP="00B27A6F">
      <w:pPr>
        <w:pStyle w:val="FootnoteText"/>
      </w:pPr>
      <w:r>
        <w:rPr>
          <w:rStyle w:val="FootnoteReference"/>
        </w:rPr>
        <w:footnoteRef/>
      </w:r>
      <w:r>
        <w:t xml:space="preserve"> </w:t>
      </w:r>
      <w:r w:rsidRPr="00A84FF0">
        <w:t xml:space="preserve">For completeness, in the </w:t>
      </w:r>
      <w:r>
        <w:t>d</w:t>
      </w:r>
      <w:r w:rsidRPr="00A84FF0">
        <w:t xml:space="preserve">raft </w:t>
      </w:r>
      <w:r>
        <w:t>r</w:t>
      </w:r>
      <w:r w:rsidRPr="00A84FF0">
        <w:t xml:space="preserve">eport the Commission also considered the relevance of </w:t>
      </w:r>
      <w:r>
        <w:t>‘</w:t>
      </w:r>
      <w:r w:rsidRPr="00A84FF0">
        <w:t>Ramsey pricing</w:t>
      </w:r>
      <w:r>
        <w:t>’,</w:t>
      </w:r>
      <w:r w:rsidRPr="00A84FF0">
        <w:t xml:space="preserve"> which effectively entails setting differentiated prices marked up over marginal cost, where the mark</w:t>
      </w:r>
      <w:r>
        <w:t>-</w:t>
      </w:r>
      <w:r w:rsidRPr="00A84FF0">
        <w:t>ups reflect the responsiveness of demand to prices based on different customer characteristics, are higher where responsiveness to price is relatively low and are calibrated to raise an allowed amount of revenue.</w:t>
      </w:r>
      <w:r>
        <w:t xml:space="preserve"> </w:t>
      </w:r>
      <w:r w:rsidRPr="00A84FF0">
        <w:t xml:space="preserve">However, the Commission concluded that such a mechanism </w:t>
      </w:r>
      <w:proofErr w:type="gramStart"/>
      <w:r w:rsidRPr="00A84FF0">
        <w:t>is not warranted</w:t>
      </w:r>
      <w:proofErr w:type="gramEnd"/>
      <w:r w:rsidRPr="00A84FF0">
        <w:t xml:space="preserve"> given the limited information on the responsiveness of demand to price changes (the price elasticity of demand) and the likely adverse equity impact on consumers purchasing the same product. (ICRC 2016c: 34</w:t>
      </w:r>
      <w:r>
        <w:t>–</w:t>
      </w:r>
      <w:r w:rsidRPr="00A84FF0">
        <w:t>6.)</w:t>
      </w:r>
    </w:p>
  </w:footnote>
  <w:footnote w:id="50">
    <w:p w14:paraId="535C92C8" w14:textId="77777777" w:rsidR="00E41BC3" w:rsidRDefault="00E41BC3" w:rsidP="00B27A6F">
      <w:pPr>
        <w:pStyle w:val="FootnoteText"/>
      </w:pPr>
      <w:r>
        <w:rPr>
          <w:rStyle w:val="FootnoteReference"/>
        </w:rPr>
        <w:footnoteRef/>
      </w:r>
      <w:r>
        <w:t xml:space="preserve"> Icon Water, 2016d: 6.</w:t>
      </w:r>
    </w:p>
  </w:footnote>
  <w:footnote w:id="51">
    <w:p w14:paraId="2177F021" w14:textId="77777777" w:rsidR="00E41BC3" w:rsidRDefault="00E41BC3" w:rsidP="00B27A6F">
      <w:pPr>
        <w:pStyle w:val="FootnoteText"/>
      </w:pPr>
      <w:r>
        <w:rPr>
          <w:rStyle w:val="FootnoteReference"/>
        </w:rPr>
        <w:footnoteRef/>
      </w:r>
      <w:r>
        <w:t xml:space="preserve"> ICRC, 2016c: 21.</w:t>
      </w:r>
    </w:p>
  </w:footnote>
  <w:footnote w:id="52">
    <w:p w14:paraId="1143E3EE" w14:textId="77777777" w:rsidR="00E41BC3" w:rsidRDefault="00E41BC3" w:rsidP="00B27A6F">
      <w:pPr>
        <w:pStyle w:val="FootnoteText"/>
      </w:pPr>
      <w:r>
        <w:rPr>
          <w:rStyle w:val="FootnoteReference"/>
        </w:rPr>
        <w:footnoteRef/>
      </w:r>
      <w:r>
        <w:t xml:space="preserve"> Icon Water, 2016b: </w:t>
      </w:r>
      <w:proofErr w:type="gramStart"/>
      <w:r>
        <w:t>2</w:t>
      </w:r>
      <w:proofErr w:type="gramEnd"/>
      <w:r>
        <w:t>.</w:t>
      </w:r>
    </w:p>
  </w:footnote>
  <w:footnote w:id="53">
    <w:p w14:paraId="748BCEF1" w14:textId="77777777" w:rsidR="00E41BC3" w:rsidRDefault="00E41BC3" w:rsidP="00B27A6F">
      <w:pPr>
        <w:pStyle w:val="FootnoteText"/>
      </w:pPr>
      <w:r>
        <w:rPr>
          <w:rStyle w:val="FootnoteReference"/>
        </w:rPr>
        <w:footnoteRef/>
      </w:r>
      <w:r>
        <w:t xml:space="preserve"> Icon Water, 2016c: </w:t>
      </w:r>
      <w:proofErr w:type="gramStart"/>
      <w:r>
        <w:t>3</w:t>
      </w:r>
      <w:proofErr w:type="gramEnd"/>
      <w:r>
        <w:t>.</w:t>
      </w:r>
    </w:p>
  </w:footnote>
  <w:footnote w:id="54">
    <w:p w14:paraId="328ED735" w14:textId="77777777" w:rsidR="00E41BC3" w:rsidRDefault="00E41BC3" w:rsidP="00B27A6F">
      <w:pPr>
        <w:pStyle w:val="FootnoteText"/>
      </w:pPr>
      <w:r>
        <w:rPr>
          <w:rStyle w:val="FootnoteReference"/>
        </w:rPr>
        <w:footnoteRef/>
      </w:r>
      <w:r>
        <w:t xml:space="preserve"> Icon Water, 2016b, 3.</w:t>
      </w:r>
    </w:p>
  </w:footnote>
  <w:footnote w:id="55">
    <w:p w14:paraId="2CE2D636" w14:textId="77777777" w:rsidR="00E41BC3" w:rsidRDefault="00E41BC3" w:rsidP="00B27A6F">
      <w:pPr>
        <w:pStyle w:val="FootnoteText"/>
      </w:pPr>
      <w:r>
        <w:rPr>
          <w:rStyle w:val="FootnoteReference"/>
        </w:rPr>
        <w:footnoteRef/>
      </w:r>
      <w:r>
        <w:t xml:space="preserve"> Icon Water, 2016c: 17.</w:t>
      </w:r>
    </w:p>
  </w:footnote>
  <w:footnote w:id="56">
    <w:p w14:paraId="154093D0" w14:textId="77777777" w:rsidR="00E41BC3" w:rsidRDefault="00E41BC3" w:rsidP="00B27A6F">
      <w:pPr>
        <w:pStyle w:val="FootnoteText"/>
      </w:pPr>
      <w:r>
        <w:rPr>
          <w:rStyle w:val="FootnoteReference"/>
        </w:rPr>
        <w:footnoteRef/>
      </w:r>
      <w:r>
        <w:t xml:space="preserve"> Icon Water, 2016b, c, d.</w:t>
      </w:r>
    </w:p>
  </w:footnote>
  <w:footnote w:id="57">
    <w:p w14:paraId="69733CE5" w14:textId="77777777" w:rsidR="00E41BC3" w:rsidRDefault="00E41BC3" w:rsidP="00A4360B">
      <w:pPr>
        <w:pStyle w:val="FootnoteText"/>
      </w:pPr>
      <w:r>
        <w:rPr>
          <w:rStyle w:val="FootnoteReference"/>
        </w:rPr>
        <w:footnoteRef/>
      </w:r>
      <w:r>
        <w:t xml:space="preserve"> Icon Water, 2016d: 3.</w:t>
      </w:r>
    </w:p>
  </w:footnote>
  <w:footnote w:id="58">
    <w:p w14:paraId="04F40F16" w14:textId="77777777" w:rsidR="00E41BC3" w:rsidRDefault="00E41BC3" w:rsidP="00B27A6F">
      <w:pPr>
        <w:pStyle w:val="FootnoteText"/>
      </w:pPr>
      <w:r>
        <w:rPr>
          <w:rStyle w:val="FootnoteReference"/>
        </w:rPr>
        <w:footnoteRef/>
      </w:r>
      <w:r>
        <w:t xml:space="preserve"> ACT Government, 2016: 7, 9.</w:t>
      </w:r>
    </w:p>
  </w:footnote>
  <w:footnote w:id="59">
    <w:p w14:paraId="21F37611" w14:textId="77777777" w:rsidR="00E41BC3" w:rsidRDefault="00E41BC3" w:rsidP="00B27A6F">
      <w:pPr>
        <w:pStyle w:val="FootnoteText"/>
      </w:pPr>
      <w:r>
        <w:rPr>
          <w:rStyle w:val="FootnoteReference"/>
        </w:rPr>
        <w:footnoteRef/>
      </w:r>
      <w:r>
        <w:t xml:space="preserve"> ACT Government, 2016: 7, 9.</w:t>
      </w:r>
    </w:p>
  </w:footnote>
  <w:footnote w:id="60">
    <w:p w14:paraId="14053110" w14:textId="77777777" w:rsidR="00E41BC3" w:rsidRDefault="00E41BC3" w:rsidP="00B27A6F">
      <w:pPr>
        <w:pStyle w:val="FootnoteText"/>
      </w:pPr>
      <w:r>
        <w:rPr>
          <w:rStyle w:val="FootnoteReference"/>
        </w:rPr>
        <w:footnoteRef/>
      </w:r>
      <w:r>
        <w:t xml:space="preserve"> ACT Government, 2016: 9.</w:t>
      </w:r>
    </w:p>
  </w:footnote>
  <w:footnote w:id="61">
    <w:p w14:paraId="2637DFD9" w14:textId="77777777" w:rsidR="00E41BC3" w:rsidRDefault="00E41BC3" w:rsidP="00B27A6F">
      <w:pPr>
        <w:pStyle w:val="FootnoteText"/>
      </w:pPr>
      <w:r>
        <w:rPr>
          <w:rStyle w:val="FootnoteReference"/>
        </w:rPr>
        <w:footnoteRef/>
      </w:r>
      <w:r>
        <w:t xml:space="preserve"> ACT Government, 2016: 9.</w:t>
      </w:r>
    </w:p>
  </w:footnote>
  <w:footnote w:id="62">
    <w:p w14:paraId="489341AD" w14:textId="77777777" w:rsidR="00E41BC3" w:rsidRDefault="00E41BC3" w:rsidP="00B27A6F">
      <w:pPr>
        <w:pStyle w:val="FootnoteText"/>
      </w:pPr>
      <w:r>
        <w:rPr>
          <w:rStyle w:val="FootnoteReference"/>
        </w:rPr>
        <w:footnoteRef/>
      </w:r>
      <w:r>
        <w:t xml:space="preserve"> ACT Government, 2016: 9.</w:t>
      </w:r>
    </w:p>
  </w:footnote>
  <w:footnote w:id="63">
    <w:p w14:paraId="544B6C61" w14:textId="77777777" w:rsidR="00E41BC3" w:rsidRDefault="00E41BC3" w:rsidP="00B27A6F">
      <w:pPr>
        <w:pStyle w:val="FootnoteText"/>
      </w:pPr>
      <w:r>
        <w:rPr>
          <w:rStyle w:val="FootnoteReference"/>
        </w:rPr>
        <w:footnoteRef/>
      </w:r>
      <w:r>
        <w:t xml:space="preserve"> ACT Government, 2016: 9.</w:t>
      </w:r>
    </w:p>
  </w:footnote>
  <w:footnote w:id="64">
    <w:p w14:paraId="6C89999B" w14:textId="77777777" w:rsidR="00E41BC3" w:rsidRDefault="00E41BC3" w:rsidP="00B27A6F">
      <w:pPr>
        <w:pStyle w:val="FootnoteText"/>
      </w:pPr>
      <w:r>
        <w:rPr>
          <w:rStyle w:val="FootnoteReference"/>
        </w:rPr>
        <w:footnoteRef/>
      </w:r>
      <w:r>
        <w:t xml:space="preserve"> ACT Government, 2016: 10.</w:t>
      </w:r>
    </w:p>
  </w:footnote>
  <w:footnote w:id="65">
    <w:p w14:paraId="75D6BD60" w14:textId="77777777" w:rsidR="00E41BC3" w:rsidRPr="00201C9D" w:rsidRDefault="00E41BC3" w:rsidP="00B27A6F">
      <w:pPr>
        <w:pStyle w:val="FootnoteText"/>
        <w:rPr>
          <w:lang w:val="en-US"/>
        </w:rPr>
      </w:pPr>
      <w:r>
        <w:rPr>
          <w:rStyle w:val="FootnoteReference"/>
        </w:rPr>
        <w:footnoteRef/>
      </w:r>
      <w:r>
        <w:t xml:space="preserve"> </w:t>
      </w:r>
      <w:r>
        <w:rPr>
          <w:lang w:val="en-US"/>
        </w:rPr>
        <w:t>ACAT, 2016a: 1–2.</w:t>
      </w:r>
    </w:p>
  </w:footnote>
  <w:footnote w:id="66">
    <w:p w14:paraId="4A2C05A2" w14:textId="77777777" w:rsidR="00E41BC3" w:rsidRPr="002D3EDC" w:rsidRDefault="00E41BC3" w:rsidP="00B27A6F">
      <w:pPr>
        <w:pStyle w:val="FootnoteText"/>
        <w:rPr>
          <w:lang w:val="en-US"/>
        </w:rPr>
      </w:pPr>
      <w:r>
        <w:rPr>
          <w:rStyle w:val="FootnoteReference"/>
        </w:rPr>
        <w:footnoteRef/>
      </w:r>
      <w:r>
        <w:t xml:space="preserve"> </w:t>
      </w:r>
      <w:r>
        <w:rPr>
          <w:lang w:val="en-US"/>
        </w:rPr>
        <w:t xml:space="preserve">ACAT, 2016b: </w:t>
      </w:r>
      <w:proofErr w:type="gramStart"/>
      <w:r>
        <w:rPr>
          <w:lang w:val="en-US"/>
        </w:rPr>
        <w:t>2</w:t>
      </w:r>
      <w:proofErr w:type="gramEnd"/>
      <w:r>
        <w:rPr>
          <w:lang w:val="en-US"/>
        </w:rPr>
        <w:t>.</w:t>
      </w:r>
    </w:p>
  </w:footnote>
  <w:footnote w:id="67">
    <w:p w14:paraId="15E0F823" w14:textId="77777777" w:rsidR="00E41BC3" w:rsidRPr="002D3EDC" w:rsidRDefault="00E41BC3" w:rsidP="00B27A6F">
      <w:pPr>
        <w:pStyle w:val="FootnoteText"/>
        <w:rPr>
          <w:lang w:val="en-US"/>
        </w:rPr>
      </w:pPr>
      <w:r>
        <w:rPr>
          <w:rStyle w:val="FootnoteReference"/>
        </w:rPr>
        <w:footnoteRef/>
      </w:r>
      <w:r>
        <w:t xml:space="preserve"> </w:t>
      </w:r>
      <w:r>
        <w:rPr>
          <w:lang w:val="en-US"/>
        </w:rPr>
        <w:t>Canberra Business Chamber, 2016: 1–3.</w:t>
      </w:r>
    </w:p>
  </w:footnote>
  <w:footnote w:id="68">
    <w:p w14:paraId="729C19D9" w14:textId="77777777" w:rsidR="00E41BC3" w:rsidRPr="002D3EDC" w:rsidRDefault="00E41BC3" w:rsidP="00B27A6F">
      <w:pPr>
        <w:pStyle w:val="FootnoteText"/>
        <w:rPr>
          <w:lang w:val="en-US"/>
        </w:rPr>
      </w:pPr>
      <w:r>
        <w:rPr>
          <w:rStyle w:val="FootnoteReference"/>
        </w:rPr>
        <w:footnoteRef/>
      </w:r>
      <w:r>
        <w:t xml:space="preserve"> </w:t>
      </w:r>
      <w:r>
        <w:rPr>
          <w:lang w:val="en-US"/>
        </w:rPr>
        <w:t>ClubsACT, 2016: 6.</w:t>
      </w:r>
    </w:p>
  </w:footnote>
  <w:footnote w:id="69">
    <w:p w14:paraId="69989071" w14:textId="77777777" w:rsidR="00E41BC3" w:rsidRPr="009E438A" w:rsidRDefault="00E41BC3" w:rsidP="00B27A6F">
      <w:pPr>
        <w:pStyle w:val="FootnoteText"/>
        <w:rPr>
          <w:lang w:val="en-US"/>
        </w:rPr>
      </w:pPr>
      <w:r>
        <w:rPr>
          <w:rStyle w:val="FootnoteReference"/>
        </w:rPr>
        <w:footnoteRef/>
      </w:r>
      <w:r>
        <w:t xml:space="preserve"> </w:t>
      </w:r>
      <w:r>
        <w:rPr>
          <w:lang w:val="en-US"/>
        </w:rPr>
        <w:t>Federal Golf Club, 2017: 1.</w:t>
      </w:r>
    </w:p>
  </w:footnote>
  <w:footnote w:id="70">
    <w:p w14:paraId="1CEA2D93" w14:textId="77777777" w:rsidR="00E41BC3" w:rsidRPr="009E438A" w:rsidRDefault="00E41BC3" w:rsidP="00B27A6F">
      <w:pPr>
        <w:pStyle w:val="FootnoteText"/>
        <w:rPr>
          <w:lang w:val="en-US"/>
        </w:rPr>
      </w:pPr>
      <w:r>
        <w:rPr>
          <w:rStyle w:val="FootnoteReference"/>
        </w:rPr>
        <w:footnoteRef/>
      </w:r>
      <w:r>
        <w:t xml:space="preserve"> </w:t>
      </w:r>
      <w:r>
        <w:rPr>
          <w:lang w:val="en-US"/>
        </w:rPr>
        <w:t>Dwyer, 2016: 1.</w:t>
      </w:r>
    </w:p>
  </w:footnote>
  <w:footnote w:id="71">
    <w:p w14:paraId="5EE310CE" w14:textId="77777777" w:rsidR="00E41BC3" w:rsidRDefault="00E41BC3" w:rsidP="00B27A6F">
      <w:pPr>
        <w:pStyle w:val="FootnoteText"/>
      </w:pPr>
      <w:r>
        <w:rPr>
          <w:rStyle w:val="FootnoteReference"/>
        </w:rPr>
        <w:footnoteRef/>
      </w:r>
      <w:r>
        <w:t xml:space="preserve"> ICRC, 2016c: xxii.</w:t>
      </w:r>
    </w:p>
  </w:footnote>
  <w:footnote w:id="72">
    <w:p w14:paraId="480895B6" w14:textId="77777777" w:rsidR="00E41BC3" w:rsidRDefault="00E41BC3" w:rsidP="00B27A6F">
      <w:pPr>
        <w:pStyle w:val="FootnoteText"/>
      </w:pPr>
      <w:r>
        <w:rPr>
          <w:rStyle w:val="FootnoteReference"/>
        </w:rPr>
        <w:footnoteRef/>
      </w:r>
      <w:r>
        <w:t xml:space="preserve"> Icon Water, 2016d: 10.</w:t>
      </w:r>
    </w:p>
  </w:footnote>
  <w:footnote w:id="73">
    <w:p w14:paraId="0C645005" w14:textId="77777777" w:rsidR="00E41BC3" w:rsidRDefault="00E41BC3" w:rsidP="00B27A6F">
      <w:pPr>
        <w:pStyle w:val="FootnoteText"/>
      </w:pPr>
      <w:r>
        <w:rPr>
          <w:rStyle w:val="FootnoteReference"/>
        </w:rPr>
        <w:footnoteRef/>
      </w:r>
      <w:r>
        <w:t xml:space="preserve"> ACT Government, 2016: 10.</w:t>
      </w:r>
    </w:p>
  </w:footnote>
  <w:footnote w:id="74">
    <w:p w14:paraId="7F5E8EAD" w14:textId="77777777" w:rsidR="00E41BC3" w:rsidRPr="00CD7DA8" w:rsidRDefault="00E41BC3" w:rsidP="00B27A6F">
      <w:pPr>
        <w:pStyle w:val="FootnoteText"/>
        <w:rPr>
          <w:lang w:val="en-US"/>
        </w:rPr>
      </w:pPr>
      <w:r>
        <w:rPr>
          <w:rStyle w:val="FootnoteReference"/>
        </w:rPr>
        <w:footnoteRef/>
      </w:r>
      <w:r>
        <w:t xml:space="preserve"> </w:t>
      </w:r>
      <w:r>
        <w:rPr>
          <w:lang w:val="en-US"/>
        </w:rPr>
        <w:t>ICRC, 2016b.</w:t>
      </w:r>
    </w:p>
  </w:footnote>
  <w:footnote w:id="75">
    <w:p w14:paraId="69949242" w14:textId="77777777" w:rsidR="00E41BC3" w:rsidRPr="004F5440" w:rsidRDefault="00E41BC3" w:rsidP="00B27A6F">
      <w:pPr>
        <w:pStyle w:val="FootnoteText"/>
        <w:rPr>
          <w:lang w:val="en-US"/>
        </w:rPr>
      </w:pPr>
      <w:r>
        <w:rPr>
          <w:rStyle w:val="FootnoteReference"/>
        </w:rPr>
        <w:footnoteRef/>
      </w:r>
      <w:r>
        <w:t xml:space="preserve"> </w:t>
      </w:r>
      <w:r>
        <w:rPr>
          <w:lang w:val="en-US"/>
        </w:rPr>
        <w:t>ICRC, 2016b.</w:t>
      </w:r>
    </w:p>
  </w:footnote>
  <w:footnote w:id="76">
    <w:p w14:paraId="03BBE14C" w14:textId="77777777" w:rsidR="00E41BC3" w:rsidRDefault="00E41BC3" w:rsidP="00B27A6F">
      <w:pPr>
        <w:pStyle w:val="FootnoteText"/>
      </w:pPr>
      <w:r>
        <w:rPr>
          <w:rStyle w:val="FootnoteReference"/>
        </w:rPr>
        <w:footnoteRef/>
      </w:r>
      <w:r>
        <w:t xml:space="preserve"> This is an average cost across the network, with some areas not requiring any pumping.</w:t>
      </w:r>
    </w:p>
  </w:footnote>
  <w:footnote w:id="77">
    <w:p w14:paraId="59BEC2A0" w14:textId="77777777" w:rsidR="00E41BC3" w:rsidRPr="00CC2140" w:rsidRDefault="00E41BC3" w:rsidP="00B27A6F">
      <w:pPr>
        <w:pStyle w:val="FootnoteText"/>
        <w:rPr>
          <w:lang w:val="en-US"/>
        </w:rPr>
      </w:pPr>
      <w:r>
        <w:rPr>
          <w:rStyle w:val="FootnoteReference"/>
        </w:rPr>
        <w:footnoteRef/>
      </w:r>
      <w:r>
        <w:t xml:space="preserve"> </w:t>
      </w:r>
      <w:r>
        <w:rPr>
          <w:lang w:val="en-US"/>
        </w:rPr>
        <w:t xml:space="preserve">Icon Water, 2016c: </w:t>
      </w:r>
      <w:proofErr w:type="gramStart"/>
      <w:r>
        <w:rPr>
          <w:lang w:val="en-US"/>
        </w:rPr>
        <w:t>9</w:t>
      </w:r>
      <w:proofErr w:type="gramEnd"/>
      <w:r>
        <w:rPr>
          <w:lang w:val="en-US"/>
        </w:rPr>
        <w:t>.</w:t>
      </w:r>
    </w:p>
  </w:footnote>
  <w:footnote w:id="78">
    <w:p w14:paraId="063D5FCD" w14:textId="77777777" w:rsidR="00E41BC3" w:rsidRDefault="00E41BC3" w:rsidP="00B27A6F">
      <w:pPr>
        <w:pStyle w:val="FootnoteText"/>
      </w:pPr>
      <w:r>
        <w:rPr>
          <w:rStyle w:val="FootnoteReference"/>
        </w:rPr>
        <w:footnoteRef/>
      </w:r>
      <w:r>
        <w:t xml:space="preserve"> Icon Water, 2016c: </w:t>
      </w:r>
      <w:proofErr w:type="gramStart"/>
      <w:r>
        <w:t>9</w:t>
      </w:r>
      <w:proofErr w:type="gramEnd"/>
      <w:r>
        <w:t>.</w:t>
      </w:r>
    </w:p>
  </w:footnote>
  <w:footnote w:id="79">
    <w:p w14:paraId="7B90EF9F"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20.</w:t>
      </w:r>
    </w:p>
  </w:footnote>
  <w:footnote w:id="80">
    <w:p w14:paraId="024590CA"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proofErr w:type="gramStart"/>
      <w:r>
        <w:t>9</w:t>
      </w:r>
      <w:proofErr w:type="gramEnd"/>
      <w:r>
        <w:t>.</w:t>
      </w:r>
    </w:p>
  </w:footnote>
  <w:footnote w:id="81">
    <w:p w14:paraId="41D049C2" w14:textId="77777777" w:rsidR="00E41BC3" w:rsidRPr="002620FC" w:rsidRDefault="00E41BC3" w:rsidP="00B27A6F">
      <w:pPr>
        <w:pStyle w:val="FootnoteText"/>
        <w:rPr>
          <w:lang w:val="en-US"/>
        </w:rPr>
      </w:pPr>
      <w:r>
        <w:rPr>
          <w:rStyle w:val="FootnoteReference"/>
        </w:rPr>
        <w:footnoteRef/>
      </w:r>
      <w:r>
        <w:t xml:space="preserve"> </w:t>
      </w:r>
      <w:r>
        <w:rPr>
          <w:lang w:val="en-US"/>
        </w:rPr>
        <w:t>ACT Government, 2016: 4.</w:t>
      </w:r>
    </w:p>
  </w:footnote>
  <w:footnote w:id="82">
    <w:p w14:paraId="6EAA700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&lt;EndNote&gt;&lt;Cite&gt;&lt;Author&gt;Federal Golf Club&lt;/Author&gt;&lt;Year&gt;2016&lt;/Year&gt;&lt;RecNum&gt;738&lt;/RecNum&gt;&lt;DisplayText&gt;Federal Golf Club, 2016: &lt;/DisplayText&gt;&lt;record&gt;&lt;rec-number&gt;738&lt;/rec-number&gt;&lt;foreign-keys&gt;&lt;key app="EN" db-id="5xwt9zxa6r5fesevwr5xzp97r95ev9wx9zpw" timestamp="1468382745"&gt;738&lt;/key&gt;&lt;key app="ENWeb" db-id=""&gt;0&lt;/key&gt;&lt;/foreign-keys&gt;&lt;ref-type name="AAA ICRC Water References"&gt;40&lt;/ref-type&gt;&lt;contributors&gt;&lt;authors&gt;&lt;author&gt;Federal Golf Club,&lt;/author&gt;&lt;/authors&gt;&lt;/contributors&gt;&lt;titles&gt;&lt;title&gt;Submission no 8 to the 2016 Tariff Review&lt;/title&gt;&lt;/titles&gt;&lt;dates&gt;&lt;year&gt;2016&lt;/year&gt;&lt;/dates&gt;&lt;pub-location&gt;Canberra&lt;/pub-location&gt;&lt;urls&gt;&lt;/urls&gt;&lt;/record&gt;&lt;/Cite&gt;&lt;/EndNote&gt;</w:instrText>
      </w:r>
      <w:r>
        <w:fldChar w:fldCharType="separate"/>
      </w:r>
      <w:r>
        <w:rPr>
          <w:noProof/>
        </w:rPr>
        <w:t xml:space="preserve">Federal Golf Club, 2016: </w:t>
      </w:r>
      <w:r>
        <w:fldChar w:fldCharType="end"/>
      </w:r>
      <w:r>
        <w:t>1.</w:t>
      </w:r>
    </w:p>
  </w:footnote>
  <w:footnote w:id="83">
    <w:p w14:paraId="1B993B4D"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3.</w:t>
      </w:r>
    </w:p>
  </w:footnote>
  <w:footnote w:id="84">
    <w:p w14:paraId="6084C2A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&lt;EndNote&gt;&lt;Cite&gt;&lt;Author&gt;City West Water&lt;/Author&gt;&lt;Year&gt;2016&lt;/Year&gt;&lt;RecNum&gt;742&lt;/RecNum&gt;&lt;DisplayText&gt;City West Water, 2016: &lt;/DisplayText&gt;&lt;record&gt;&lt;rec-number&gt;742&lt;/rec-number&gt;&lt;foreign-keys&gt;&lt;key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fldChar w:fldCharType="separate"/>
      </w:r>
      <w:r>
        <w:rPr>
          <w:noProof/>
        </w:rPr>
        <w:t xml:space="preserve">City West Water, 2016: </w:t>
      </w:r>
      <w:r>
        <w:fldChar w:fldCharType="end"/>
      </w:r>
      <w:r>
        <w:t xml:space="preserve">5–9. Available for download at </w:t>
      </w:r>
      <w:r w:rsidRPr="00240538">
        <w:t>http://www.citywestwater.com.au/business/charges_explained.aspx</w:t>
      </w:r>
      <w:r>
        <w:t>.</w:t>
      </w:r>
    </w:p>
  </w:footnote>
  <w:footnote w:id="85">
    <w:p w14:paraId="602B632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&lt;EndNote&gt;&lt;Cite&gt;&lt;Author&gt;COAG&lt;/Author&gt;&lt;Year&gt;2004&lt;/Year&gt;&lt;RecNum&gt;84&lt;/RecNum&gt;&lt;DisplayText&gt;COAG, 2004: &lt;/DisplayText&gt;&lt;record&gt;&lt;rec-number&gt;84&lt;/rec-number&gt;&lt;foreign-keys&gt;&lt;key app="EN" db-id="5xwt9zxa6r5fesevwr5xzp97r95ev9wx9zpw" timestamp="1331506794"&gt;84&lt;/key&gt;&lt;/foreign-keys&gt;&lt;ref-type name="AAA ICRC Water References"&gt;40&lt;/ref-type&gt;&lt;contributors&gt;&lt;authors&gt;&lt;author&gt;COAG,&lt;/author&gt;&lt;/authors&gt;&lt;/contributors&gt;&lt;titles&gt;&lt;title&gt;Intergovernmental Agreement on a National Water Initiative&lt;/title&gt;&lt;/titles&gt;&lt;dates&gt;&lt;year&gt;2004&lt;/year&gt;&lt;/dates&gt;&lt;pub-location&gt;Canberra ACT&lt;/pub-location&gt;&lt;publisher&gt;Council of Australian Governments&lt;/publisher&gt;&lt;urls&gt;&lt;/urls&gt;&lt;/record&gt;&lt;/Cite&gt;&lt;/EndNote&gt;</w:instrText>
      </w:r>
      <w:r>
        <w:fldChar w:fldCharType="separate"/>
      </w:r>
      <w:r>
        <w:rPr>
          <w:noProof/>
        </w:rPr>
        <w:t xml:space="preserve">COAG, 2004: </w:t>
      </w:r>
      <w:r>
        <w:fldChar w:fldCharType="end"/>
      </w:r>
      <w:r>
        <w:t>14.</w:t>
      </w:r>
    </w:p>
  </w:footnote>
  <w:footnote w:id="86">
    <w:p w14:paraId="7B8849CD" w14:textId="77777777" w:rsidR="00E41BC3" w:rsidRDefault="00E41BC3" w:rsidP="00B27A6F">
      <w:pPr>
        <w:pStyle w:val="FootnoteText"/>
      </w:pPr>
      <w:r>
        <w:rPr>
          <w:rStyle w:val="FootnoteReference"/>
        </w:rPr>
        <w:footnoteRef/>
      </w:r>
      <w:r>
        <w:t xml:space="preserve"> ACAT, 2016a: </w:t>
      </w:r>
      <w:proofErr w:type="gramStart"/>
      <w:r>
        <w:t>2</w:t>
      </w:r>
      <w:proofErr w:type="gramEnd"/>
      <w:r>
        <w:t>.</w:t>
      </w:r>
    </w:p>
  </w:footnote>
  <w:footnote w:id="87">
    <w:p w14:paraId="36842DDE"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20.</w:t>
      </w:r>
    </w:p>
  </w:footnote>
  <w:footnote w:id="88">
    <w:p w14:paraId="07E062D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proofErr w:type="gramStart"/>
      <w:r>
        <w:t>2</w:t>
      </w:r>
      <w:proofErr w:type="gramEnd"/>
      <w:r>
        <w:t>.</w:t>
      </w:r>
    </w:p>
  </w:footnote>
  <w:footnote w:id="89">
    <w:p w14:paraId="463B6BC7" w14:textId="77777777" w:rsidR="00E41BC3" w:rsidRDefault="00E41BC3" w:rsidP="00B27A6F">
      <w:pPr>
        <w:pStyle w:val="FootnoteText"/>
      </w:pPr>
      <w:r>
        <w:rPr>
          <w:rStyle w:val="FootnoteReference"/>
        </w:rPr>
        <w:footnoteRef/>
      </w:r>
      <w:r>
        <w:t xml:space="preserve"> Icon Water, 2016b: </w:t>
      </w:r>
      <w:proofErr w:type="gramStart"/>
      <w:r>
        <w:t>2</w:t>
      </w:r>
      <w:proofErr w:type="gramEnd"/>
      <w:r>
        <w:t>.</w:t>
      </w:r>
    </w:p>
  </w:footnote>
  <w:footnote w:id="90">
    <w:p w14:paraId="70A27D31"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proofErr w:type="gramStart"/>
      <w:r>
        <w:t>2</w:t>
      </w:r>
      <w:proofErr w:type="gramEnd"/>
      <w:r>
        <w:t>.</w:t>
      </w:r>
    </w:p>
  </w:footnote>
  <w:footnote w:id="91">
    <w:p w14:paraId="24A9C114"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proofErr w:type="gramStart"/>
      <w:r>
        <w:t>3</w:t>
      </w:r>
      <w:proofErr w:type="gramEnd"/>
      <w:r>
        <w:t>.</w:t>
      </w:r>
    </w:p>
  </w:footnote>
  <w:footnote w:id="92">
    <w:p w14:paraId="1F60F4E8" w14:textId="77777777" w:rsidR="00E41BC3" w:rsidRDefault="00E41BC3" w:rsidP="00B27A6F">
      <w:pPr>
        <w:pStyle w:val="FootnoteText"/>
      </w:pPr>
      <w:r>
        <w:rPr>
          <w:rStyle w:val="FootnoteReference"/>
        </w:rPr>
        <w:footnoteRef/>
      </w:r>
      <w:r>
        <w:t xml:space="preserve"> Icon Water, 2016c: </w:t>
      </w:r>
      <w:proofErr w:type="gramStart"/>
      <w:r>
        <w:t>9</w:t>
      </w:r>
      <w:proofErr w:type="gramEnd"/>
      <w:r>
        <w:t>.</w:t>
      </w:r>
    </w:p>
  </w:footnote>
  <w:footnote w:id="93">
    <w:p w14:paraId="65A03D8C" w14:textId="77777777" w:rsidR="00E41BC3" w:rsidRDefault="00E41BC3" w:rsidP="00B27A6F">
      <w:pPr>
        <w:pStyle w:val="FootnoteText"/>
      </w:pPr>
      <w:r>
        <w:rPr>
          <w:rStyle w:val="FootnoteReference"/>
        </w:rPr>
        <w:footnoteRef/>
      </w:r>
      <w:r>
        <w:t xml:space="preserve"> Icon Water, 2016c: 10.</w:t>
      </w:r>
    </w:p>
  </w:footnote>
  <w:footnote w:id="94">
    <w:p w14:paraId="4F6618D2" w14:textId="77777777" w:rsidR="00E41BC3" w:rsidRDefault="00E41BC3" w:rsidP="00B27A6F">
      <w:pPr>
        <w:pStyle w:val="FootnoteText"/>
      </w:pPr>
      <w:r>
        <w:rPr>
          <w:rStyle w:val="FootnoteReference"/>
        </w:rPr>
        <w:footnoteRef/>
      </w:r>
      <w:r>
        <w:t xml:space="preserve"> Icon Water, 2016c: </w:t>
      </w:r>
      <w:proofErr w:type="gramStart"/>
      <w:r>
        <w:t>9</w:t>
      </w:r>
      <w:proofErr w:type="gramEnd"/>
      <w:r>
        <w:t>.</w:t>
      </w:r>
    </w:p>
  </w:footnote>
  <w:footnote w:id="95">
    <w:p w14:paraId="1AD31EE3"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w:t>
      </w:r>
    </w:p>
  </w:footnote>
  <w:footnote w:id="96">
    <w:p w14:paraId="3054A1D7"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 6-7.</w:t>
      </w:r>
    </w:p>
  </w:footnote>
  <w:footnote w:id="97">
    <w:p w14:paraId="39D1718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8.</w:t>
      </w:r>
    </w:p>
  </w:footnote>
  <w:footnote w:id="98">
    <w:p w14:paraId="32FBFE69"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 7–9.</w:t>
      </w:r>
    </w:p>
  </w:footnote>
  <w:footnote w:id="99">
    <w:p w14:paraId="085BE3D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5.</w:t>
      </w:r>
    </w:p>
  </w:footnote>
  <w:footnote w:id="100">
    <w:p w14:paraId="4840F6A4"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5.</w:t>
      </w:r>
    </w:p>
  </w:footnote>
  <w:footnote w:id="101">
    <w:p w14:paraId="7F42C04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6.</w:t>
      </w:r>
    </w:p>
  </w:footnote>
  <w:footnote w:id="102">
    <w:p w14:paraId="3ED64CD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7.</w:t>
      </w:r>
    </w:p>
  </w:footnote>
  <w:footnote w:id="103">
    <w:p w14:paraId="3E4DA141"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w:t>
      </w:r>
    </w:p>
  </w:footnote>
  <w:footnote w:id="104">
    <w:p w14:paraId="432FFE59"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w:t>
      </w:r>
    </w:p>
  </w:footnote>
  <w:footnote w:id="105">
    <w:p w14:paraId="233D7DF7"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2016d: </w:t>
      </w:r>
      <w:r>
        <w:fldChar w:fldCharType="end"/>
      </w:r>
      <w:r>
        <w:t>3.</w:t>
      </w:r>
    </w:p>
  </w:footnote>
  <w:footnote w:id="106">
    <w:p w14:paraId="09163A36" w14:textId="77777777" w:rsidR="00E41BC3" w:rsidRDefault="00E41BC3" w:rsidP="00B27A6F">
      <w:pPr>
        <w:pStyle w:val="FootnoteText"/>
      </w:pPr>
      <w:r>
        <w:rPr>
          <w:rStyle w:val="FootnoteReference"/>
        </w:rPr>
        <w:footnoteRef/>
      </w:r>
      <w:r>
        <w:t xml:space="preserve"> Icon Water, 2016d: 10.</w:t>
      </w:r>
    </w:p>
  </w:footnote>
  <w:footnote w:id="107">
    <w:p w14:paraId="34C3D60D" w14:textId="77777777" w:rsidR="00E41BC3" w:rsidRDefault="00E41BC3" w:rsidP="00B27A6F">
      <w:pPr>
        <w:pStyle w:val="FootnoteText"/>
      </w:pPr>
      <w:r>
        <w:rPr>
          <w:rStyle w:val="FootnoteReference"/>
        </w:rPr>
        <w:footnoteRef/>
      </w:r>
      <w:r>
        <w:t xml:space="preserve"> </w:t>
      </w:r>
      <w:r w:rsidRPr="00326851">
        <w:t>ACT Government 2016</w:t>
      </w:r>
      <w:r>
        <w:t>: 3</w:t>
      </w:r>
      <w:r w:rsidRPr="00326851">
        <w:t>.</w:t>
      </w:r>
    </w:p>
  </w:footnote>
  <w:footnote w:id="108">
    <w:p w14:paraId="57F77F8C" w14:textId="77777777" w:rsidR="00E41BC3" w:rsidRDefault="00E41BC3" w:rsidP="00736B71">
      <w:pPr>
        <w:pStyle w:val="References"/>
      </w:pPr>
      <w:r>
        <w:rPr>
          <w:rStyle w:val="FootnoteReference"/>
        </w:rPr>
        <w:footnoteRef/>
      </w:r>
      <w:r>
        <w:t xml:space="preserve"> </w:t>
      </w:r>
      <w:r>
        <w:rPr>
          <w:sz w:val="18"/>
          <w:szCs w:val="18"/>
          <w:lang w:val="en-AU"/>
        </w:rPr>
        <w:t>ACT Govern</w:t>
      </w:r>
      <w:r w:rsidRPr="00326851">
        <w:rPr>
          <w:sz w:val="18"/>
          <w:szCs w:val="18"/>
          <w:lang w:val="en-AU"/>
        </w:rPr>
        <w:t>ment 2016</w:t>
      </w:r>
      <w:r>
        <w:rPr>
          <w:sz w:val="18"/>
          <w:szCs w:val="18"/>
          <w:lang w:val="en-AU"/>
        </w:rPr>
        <w:t>: 3–4</w:t>
      </w:r>
      <w:r w:rsidRPr="00326851">
        <w:rPr>
          <w:sz w:val="18"/>
          <w:szCs w:val="18"/>
          <w:lang w:val="en-AU"/>
        </w:rPr>
        <w:t xml:space="preserve">. </w:t>
      </w:r>
    </w:p>
  </w:footnote>
  <w:footnote w:id="109">
    <w:p w14:paraId="4CE4FAFF" w14:textId="77777777" w:rsidR="00E41BC3" w:rsidRDefault="00E41BC3" w:rsidP="00B27A6F">
      <w:pPr>
        <w:pStyle w:val="FootnoteText"/>
      </w:pPr>
      <w:r>
        <w:rPr>
          <w:rStyle w:val="FootnoteReference"/>
        </w:rPr>
        <w:footnoteRef/>
      </w:r>
      <w:r>
        <w:t xml:space="preserve"> ACT Government, 2016: 5.</w:t>
      </w:r>
    </w:p>
  </w:footnote>
  <w:footnote w:id="110">
    <w:p w14:paraId="077DDA03" w14:textId="77777777" w:rsidR="00E41BC3" w:rsidRDefault="00E41BC3" w:rsidP="00B27A6F">
      <w:pPr>
        <w:pStyle w:val="FootnoteText"/>
      </w:pPr>
      <w:r>
        <w:rPr>
          <w:rStyle w:val="FootnoteReference"/>
        </w:rPr>
        <w:footnoteRef/>
      </w:r>
      <w:r>
        <w:t xml:space="preserve"> ACT Government, 2016: 6.</w:t>
      </w:r>
    </w:p>
  </w:footnote>
  <w:footnote w:id="111">
    <w:p w14:paraId="0221629C" w14:textId="77777777" w:rsidR="00E41BC3" w:rsidRDefault="00E41BC3" w:rsidP="00B27A6F">
      <w:pPr>
        <w:pStyle w:val="FootnoteText"/>
      </w:pPr>
      <w:r>
        <w:rPr>
          <w:rStyle w:val="FootnoteReference"/>
        </w:rPr>
        <w:footnoteRef/>
      </w:r>
      <w:r>
        <w:t xml:space="preserve"> ACT Government, 2016: 6-7.</w:t>
      </w:r>
    </w:p>
  </w:footnote>
  <w:footnote w:id="112">
    <w:p w14:paraId="55D0B304" w14:textId="77777777" w:rsidR="00E41BC3" w:rsidRDefault="00E41BC3" w:rsidP="00B27A6F">
      <w:pPr>
        <w:pStyle w:val="FootnoteText"/>
      </w:pPr>
      <w:r>
        <w:rPr>
          <w:rStyle w:val="FootnoteReference"/>
        </w:rPr>
        <w:footnoteRef/>
      </w:r>
      <w:r>
        <w:t xml:space="preserve"> ACT Government, 2016: 7.</w:t>
      </w:r>
    </w:p>
  </w:footnote>
  <w:footnote w:id="113">
    <w:p w14:paraId="42709113" w14:textId="77777777" w:rsidR="00E41BC3" w:rsidRDefault="00E41BC3" w:rsidP="00B27A6F">
      <w:pPr>
        <w:pStyle w:val="FootnoteText"/>
      </w:pPr>
      <w:r>
        <w:rPr>
          <w:rStyle w:val="FootnoteReference"/>
        </w:rPr>
        <w:footnoteRef/>
      </w:r>
      <w:r>
        <w:t xml:space="preserve"> ACT Government, 2016: 9.</w:t>
      </w:r>
    </w:p>
  </w:footnote>
  <w:footnote w:id="114">
    <w:p w14:paraId="737A509A" w14:textId="77777777" w:rsidR="00E41BC3" w:rsidRDefault="00E41BC3" w:rsidP="00B27A6F">
      <w:pPr>
        <w:pStyle w:val="FootnoteText"/>
      </w:pPr>
      <w:r>
        <w:rPr>
          <w:rStyle w:val="FootnoteReference"/>
        </w:rPr>
        <w:footnoteRef/>
      </w:r>
      <w:r>
        <w:t xml:space="preserve"> ACT Government, 2016: 9.</w:t>
      </w:r>
    </w:p>
  </w:footnote>
  <w:footnote w:id="115">
    <w:p w14:paraId="367327D2" w14:textId="77777777" w:rsidR="00E41BC3" w:rsidRDefault="00E41BC3" w:rsidP="00B27A6F">
      <w:pPr>
        <w:pStyle w:val="FootnoteText"/>
      </w:pPr>
      <w:r>
        <w:rPr>
          <w:rStyle w:val="FootnoteReference"/>
        </w:rPr>
        <w:footnoteRef/>
      </w:r>
      <w:r>
        <w:t xml:space="preserve"> ACT Government, 2016: 10.</w:t>
      </w:r>
    </w:p>
  </w:footnote>
  <w:footnote w:id="116">
    <w:p w14:paraId="7ACB7123" w14:textId="77777777" w:rsidR="00E41BC3" w:rsidRDefault="00E41BC3" w:rsidP="00B27A6F">
      <w:pPr>
        <w:pStyle w:val="FootnoteText"/>
      </w:pPr>
      <w:r>
        <w:rPr>
          <w:rStyle w:val="FootnoteReference"/>
        </w:rPr>
        <w:footnoteRef/>
      </w:r>
      <w:r>
        <w:t xml:space="preserve"> ACT Government, 2016: 10.</w:t>
      </w:r>
    </w:p>
  </w:footnote>
  <w:footnote w:id="117">
    <w:p w14:paraId="69C0415A" w14:textId="77777777" w:rsidR="00E41BC3" w:rsidRDefault="00E41BC3" w:rsidP="00B27A6F">
      <w:pPr>
        <w:pStyle w:val="FootnoteText"/>
      </w:pPr>
      <w:r>
        <w:rPr>
          <w:rStyle w:val="FootnoteReference"/>
        </w:rPr>
        <w:footnoteRef/>
      </w:r>
      <w:r>
        <w:t xml:space="preserve"> ACT Government, 2016: 4.</w:t>
      </w:r>
    </w:p>
  </w:footnote>
  <w:footnote w:id="118">
    <w:p w14:paraId="0F97FA6E" w14:textId="77777777" w:rsidR="00E41BC3" w:rsidRDefault="00E41BC3" w:rsidP="00B27A6F">
      <w:pPr>
        <w:pStyle w:val="FootnoteText"/>
      </w:pPr>
      <w:r>
        <w:rPr>
          <w:rStyle w:val="FootnoteReference"/>
        </w:rPr>
        <w:footnoteRef/>
      </w:r>
      <w:r>
        <w:t xml:space="preserve"> ACT Government, 2016: 11.</w:t>
      </w:r>
    </w:p>
  </w:footnote>
  <w:footnote w:id="119">
    <w:p w14:paraId="546F148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ACAT, 2016a: </w:t>
      </w:r>
      <w:r>
        <w:fldChar w:fldCharType="end"/>
      </w:r>
      <w:proofErr w:type="gramStart"/>
      <w:r>
        <w:t>1</w:t>
      </w:r>
      <w:proofErr w:type="gramEnd"/>
      <w:r>
        <w:t>.</w:t>
      </w:r>
    </w:p>
  </w:footnote>
  <w:footnote w:id="120">
    <w:p w14:paraId="4473F662" w14:textId="77777777" w:rsidR="00E41BC3" w:rsidRPr="00F03B6E" w:rsidRDefault="00E41BC3" w:rsidP="00B27A6F">
      <w:pPr>
        <w:pStyle w:val="FootnoteText"/>
        <w:rPr>
          <w:lang w:val="en-US"/>
        </w:rPr>
      </w:pPr>
      <w:r>
        <w:rPr>
          <w:rStyle w:val="FootnoteReference"/>
        </w:rPr>
        <w:footnoteRef/>
      </w:r>
      <w:r>
        <w:t xml:space="preserve"> </w:t>
      </w:r>
      <w:r>
        <w:rPr>
          <w:lang w:val="en-US"/>
        </w:rPr>
        <w:t>ACAT, 2016a: 1–2.</w:t>
      </w:r>
    </w:p>
  </w:footnote>
  <w:footnote w:id="121">
    <w:p w14:paraId="2FBFD7EF" w14:textId="77777777" w:rsidR="00E41BC3" w:rsidRPr="00031262" w:rsidRDefault="00E41BC3" w:rsidP="00B27A6F">
      <w:pPr>
        <w:pStyle w:val="FootnoteText"/>
        <w:rPr>
          <w:lang w:val="en-US"/>
        </w:rPr>
      </w:pPr>
      <w:r>
        <w:rPr>
          <w:rStyle w:val="FootnoteReference"/>
        </w:rPr>
        <w:footnoteRef/>
      </w:r>
      <w:r>
        <w:t xml:space="preserve"> </w:t>
      </w:r>
      <w:r>
        <w:rPr>
          <w:lang w:val="en-US"/>
        </w:rPr>
        <w:t xml:space="preserve">ACAT, 2016b: </w:t>
      </w:r>
      <w:proofErr w:type="gramStart"/>
      <w:r>
        <w:rPr>
          <w:lang w:val="en-US"/>
        </w:rPr>
        <w:t>2</w:t>
      </w:r>
      <w:proofErr w:type="gramEnd"/>
      <w:r>
        <w:rPr>
          <w:lang w:val="en-US"/>
        </w:rPr>
        <w:t>.</w:t>
      </w:r>
    </w:p>
  </w:footnote>
  <w:footnote w:id="122">
    <w:p w14:paraId="6DCBA67E" w14:textId="77777777" w:rsidR="00E41BC3" w:rsidRPr="00FF241A" w:rsidRDefault="00E41BC3" w:rsidP="00B27A6F">
      <w:pPr>
        <w:pStyle w:val="FootnoteText"/>
        <w:rPr>
          <w:lang w:val="en-US"/>
        </w:rPr>
      </w:pPr>
      <w:r>
        <w:rPr>
          <w:rStyle w:val="FootnoteReference"/>
        </w:rPr>
        <w:footnoteRef/>
      </w:r>
      <w:r>
        <w:t xml:space="preserve"> </w:t>
      </w:r>
      <w:r>
        <w:rPr>
          <w:lang w:val="en-US"/>
        </w:rPr>
        <w:t xml:space="preserve">ACAT, 2016b: </w:t>
      </w:r>
      <w:proofErr w:type="gramStart"/>
      <w:r>
        <w:rPr>
          <w:lang w:val="en-US"/>
        </w:rPr>
        <w:t>2</w:t>
      </w:r>
      <w:proofErr w:type="gramEnd"/>
      <w:r>
        <w:rPr>
          <w:lang w:val="en-US"/>
        </w:rPr>
        <w:t>.</w:t>
      </w:r>
    </w:p>
  </w:footnote>
  <w:footnote w:id="123">
    <w:p w14:paraId="38BF123B" w14:textId="77777777" w:rsidR="00E41BC3" w:rsidRPr="00FF241A" w:rsidRDefault="00E41BC3" w:rsidP="00B27A6F">
      <w:pPr>
        <w:pStyle w:val="FootnoteText"/>
        <w:rPr>
          <w:lang w:val="en-US"/>
        </w:rPr>
      </w:pPr>
      <w:r>
        <w:rPr>
          <w:rStyle w:val="FootnoteReference"/>
        </w:rPr>
        <w:footnoteRef/>
      </w:r>
      <w:r>
        <w:t xml:space="preserve"> </w:t>
      </w:r>
      <w:r>
        <w:rPr>
          <w:lang w:val="en-US"/>
        </w:rPr>
        <w:t xml:space="preserve">ACAT, 2016b: </w:t>
      </w:r>
      <w:proofErr w:type="gramStart"/>
      <w:r>
        <w:rPr>
          <w:lang w:val="en-US"/>
        </w:rPr>
        <w:t>2</w:t>
      </w:r>
      <w:proofErr w:type="gramEnd"/>
      <w:r>
        <w:rPr>
          <w:lang w:val="en-US"/>
        </w:rPr>
        <w:t>.</w:t>
      </w:r>
    </w:p>
  </w:footnote>
  <w:footnote w:id="124">
    <w:p w14:paraId="152B2EFD" w14:textId="77777777" w:rsidR="00E41BC3" w:rsidRPr="00FF241A" w:rsidRDefault="00E41BC3" w:rsidP="00B27A6F">
      <w:pPr>
        <w:pStyle w:val="FootnoteText"/>
        <w:rPr>
          <w:lang w:val="en-US"/>
        </w:rPr>
      </w:pPr>
      <w:r>
        <w:rPr>
          <w:rStyle w:val="FootnoteReference"/>
        </w:rPr>
        <w:footnoteRef/>
      </w:r>
      <w:r>
        <w:t xml:space="preserve"> </w:t>
      </w:r>
      <w:r>
        <w:rPr>
          <w:lang w:val="en-US"/>
        </w:rPr>
        <w:t xml:space="preserve">ACAT, 2016b: </w:t>
      </w:r>
      <w:proofErr w:type="gramStart"/>
      <w:r>
        <w:rPr>
          <w:lang w:val="en-US"/>
        </w:rPr>
        <w:t>2</w:t>
      </w:r>
      <w:proofErr w:type="gramEnd"/>
      <w:r>
        <w:rPr>
          <w:lang w:val="en-US"/>
        </w:rPr>
        <w:t>.</w:t>
      </w:r>
    </w:p>
  </w:footnote>
  <w:footnote w:id="125">
    <w:p w14:paraId="34B65350" w14:textId="77777777" w:rsidR="00E41BC3" w:rsidRDefault="00E41BC3" w:rsidP="00B27A6F">
      <w:pPr>
        <w:pStyle w:val="FootnoteText"/>
      </w:pPr>
      <w:r>
        <w:rPr>
          <w:rStyle w:val="FootnoteReference"/>
        </w:rPr>
        <w:footnoteRef/>
      </w:r>
      <w:r>
        <w:t xml:space="preserve"> Canberra Business Chamber, 2016: 1.</w:t>
      </w:r>
    </w:p>
  </w:footnote>
  <w:footnote w:id="126">
    <w:p w14:paraId="51A6EEC4" w14:textId="77777777" w:rsidR="00E41BC3" w:rsidRDefault="00E41BC3" w:rsidP="00B27A6F">
      <w:pPr>
        <w:pStyle w:val="FootnoteText"/>
      </w:pPr>
      <w:r>
        <w:rPr>
          <w:rStyle w:val="FootnoteReference"/>
        </w:rPr>
        <w:footnoteRef/>
      </w:r>
      <w:r>
        <w:t xml:space="preserve"> Canberra Business Chamber, 2016: 2.</w:t>
      </w:r>
    </w:p>
  </w:footnote>
  <w:footnote w:id="127">
    <w:p w14:paraId="0C22B2B8" w14:textId="77777777" w:rsidR="00E41BC3" w:rsidRDefault="00E41BC3" w:rsidP="003C372F">
      <w:pPr>
        <w:pStyle w:val="FootnoteText"/>
      </w:pPr>
      <w:r>
        <w:rPr>
          <w:rStyle w:val="FootnoteReference"/>
        </w:rPr>
        <w:footnoteRef/>
      </w:r>
      <w:r>
        <w:t xml:space="preserve"> Canberra Business Chamber, 2016: 2–3.</w:t>
      </w:r>
    </w:p>
  </w:footnote>
  <w:footnote w:id="128">
    <w:p w14:paraId="2A2EE455"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&lt;EndNote&gt;&lt;Cite&gt;&lt;Author&gt;ClubsACT&lt;/Author&gt;&lt;Year&gt;2016&lt;/Year&gt;&lt;RecNum&gt;736&lt;/RecNum&gt;&lt;DisplayText&gt;ClubsACT, 2016: &lt;/DisplayText&gt;&lt;record&gt;&lt;rec-number&gt;736&lt;/rec-number&gt;&lt;foreign-keys&gt;&lt;key app="EN" db-id="5xwt9zxa6r5fesevwr5xzp97r95ev9wx9zpw" timestamp="1467329642"&gt;736&lt;/key&gt;&lt;key app="ENWeb" db-id=""&gt;0&lt;/key&gt;&lt;/foreign-keys&gt;&lt;ref-type name="AAA ICRC Water References"&gt;40&lt;/ref-type&gt;&lt;contributors&gt;&lt;authors&gt;&lt;author&gt;ClubsACT,&lt;/author&gt;&lt;/authors&gt;&lt;/contributors&gt;&lt;titles&gt;&lt;title&gt;Submission No 5 to the Tariff Review 2016&lt;/title&gt;&lt;/titles&gt;&lt;dates&gt;&lt;year&gt;2016&lt;/year&gt;&lt;/dates&gt;&lt;pub-location&gt;Canberra&lt;/pub-location&gt;&lt;urls&gt;&lt;/urls&gt;&lt;/record&gt;&lt;/Cite&gt;&lt;/EndNote&gt;</w:instrText>
      </w:r>
      <w:r>
        <w:fldChar w:fldCharType="separate"/>
      </w:r>
      <w:r>
        <w:rPr>
          <w:noProof/>
        </w:rPr>
        <w:t xml:space="preserve">ClubsACT, 2016: </w:t>
      </w:r>
      <w:r>
        <w:fldChar w:fldCharType="end"/>
      </w:r>
      <w:r>
        <w:t>3.</w:t>
      </w:r>
    </w:p>
  </w:footnote>
  <w:footnote w:id="129">
    <w:p w14:paraId="63FA6027" w14:textId="77777777" w:rsidR="00E41BC3" w:rsidRDefault="00E41BC3" w:rsidP="003C372F">
      <w:pPr>
        <w:pStyle w:val="FootnoteText"/>
      </w:pPr>
      <w:r>
        <w:rPr>
          <w:rStyle w:val="FootnoteReference"/>
        </w:rPr>
        <w:footnoteRef/>
      </w:r>
      <w:r>
        <w:t xml:space="preserve"> </w:t>
      </w:r>
      <w:r>
        <w:fldChar w:fldCharType="begin"/>
      </w:r>
      <w:r>
        <w:instrText xml:space="preserve"> ADDIN EN.CITE &lt;EndNote&gt;&lt;Cite&gt;&lt;Author&gt;ClubsACT&lt;/Author&gt;&lt;Year&gt;2016&lt;/Year&gt;&lt;RecNum&gt;736&lt;/RecNum&gt;&lt;DisplayText&gt;ClubsACT, 2016: &lt;/DisplayText&gt;&lt;record&gt;&lt;rec-number&gt;736&lt;/rec-number&gt;&lt;foreign-keys&gt;&lt;key app="EN" db-id="5xwt9zxa6r5fesevwr5xzp97r95ev9wx9zpw" timestamp="1467329642"&gt;736&lt;/key&gt;&lt;key app="ENWeb" db-id=""&gt;0&lt;/key&gt;&lt;/foreign-keys&gt;&lt;ref-type name="AAA ICRC Water References"&gt;40&lt;/ref-type&gt;&lt;contributors&gt;&lt;authors&gt;&lt;author&gt;ClubsACT,&lt;/author&gt;&lt;/authors&gt;&lt;/contributors&gt;&lt;titles&gt;&lt;title&gt;Submission No 5 to the Tariff Review 2016&lt;/title&gt;&lt;/titles&gt;&lt;dates&gt;&lt;year&gt;2016&lt;/year&gt;&lt;/dates&gt;&lt;pub-location&gt;Canberra&lt;/pub-location&gt;&lt;urls&gt;&lt;/urls&gt;&lt;/record&gt;&lt;/Cite&gt;&lt;/EndNote&gt;</w:instrText>
      </w:r>
      <w:r>
        <w:fldChar w:fldCharType="separate"/>
      </w:r>
      <w:r>
        <w:rPr>
          <w:noProof/>
        </w:rPr>
        <w:t xml:space="preserve">ClubsACT, 2016: </w:t>
      </w:r>
      <w:r>
        <w:fldChar w:fldCharType="end"/>
      </w:r>
      <w:r>
        <w:t>6.</w:t>
      </w:r>
    </w:p>
  </w:footnote>
  <w:footnote w:id="130">
    <w:p w14:paraId="174798C1" w14:textId="77777777" w:rsidR="00E41BC3" w:rsidRDefault="00E41BC3" w:rsidP="007F7037">
      <w:pPr>
        <w:pStyle w:val="FootnoteText"/>
      </w:pPr>
      <w:r>
        <w:rPr>
          <w:rStyle w:val="FootnoteReference"/>
        </w:rPr>
        <w:footnoteRef/>
      </w:r>
      <w:r>
        <w:t xml:space="preserve"> White Label Personal Clouds, 2016a: </w:t>
      </w:r>
      <w:proofErr w:type="gramStart"/>
      <w:r>
        <w:t>1</w:t>
      </w:r>
      <w:proofErr w:type="gramEnd"/>
      <w:r>
        <w:t>, 2016b: 1.</w:t>
      </w:r>
    </w:p>
  </w:footnote>
  <w:footnote w:id="131">
    <w:p w14:paraId="30BBDCC3" w14:textId="77777777" w:rsidR="00E41BC3" w:rsidRDefault="00E41BC3" w:rsidP="003C372F">
      <w:pPr>
        <w:pStyle w:val="FootnoteText"/>
      </w:pPr>
      <w:r>
        <w:rPr>
          <w:rStyle w:val="FootnoteReference"/>
        </w:rPr>
        <w:footnoteRef/>
      </w:r>
      <w:r>
        <w:t xml:space="preserve"> </w:t>
      </w:r>
      <w:r>
        <w:fldChar w:fldCharType="begin"/>
      </w:r>
      <w:r>
        <w:instrText xml:space="preserve"> ADDIN EN.CITE &lt;EndNote&gt;&lt;Cite&gt;&lt;Author&gt;Federal Golf Club&lt;/Author&gt;&lt;Year&gt;2016&lt;/Year&gt;&lt;RecNum&gt;738&lt;/RecNum&gt;&lt;DisplayText&gt;Federal Golf Club, 2016: &lt;/DisplayText&gt;&lt;record&gt;&lt;rec-number&gt;738&lt;/rec-number&gt;&lt;foreign-keys&gt;&lt;key app="EN" db-id="5xwt9zxa6r5fesevwr5xzp97r95ev9wx9zpw" timestamp="1468382745"&gt;738&lt;/key&gt;&lt;key app="ENWeb" db-id=""&gt;0&lt;/key&gt;&lt;/foreign-keys&gt;&lt;ref-type name="AAA ICRC Water References"&gt;40&lt;/ref-type&gt;&lt;contributors&gt;&lt;authors&gt;&lt;author&gt;Federal Golf Club,&lt;/author&gt;&lt;/authors&gt;&lt;/contributors&gt;&lt;titles&gt;&lt;title&gt;Submission no 8 to the 2016 Tariff Review&lt;/title&gt;&lt;/titles&gt;&lt;dates&gt;&lt;year&gt;2016&lt;/year&gt;&lt;/dates&gt;&lt;pub-location&gt;Canberra&lt;/pub-location&gt;&lt;urls&gt;&lt;/urls&gt;&lt;/record&gt;&lt;/Cite&gt;&lt;/EndNote&gt;</w:instrText>
      </w:r>
      <w:r>
        <w:fldChar w:fldCharType="separate"/>
      </w:r>
      <w:r>
        <w:rPr>
          <w:noProof/>
        </w:rPr>
        <w:t xml:space="preserve">Federal Golf Club, 2016: </w:t>
      </w:r>
      <w:r>
        <w:fldChar w:fldCharType="end"/>
      </w:r>
      <w:r>
        <w:t>1.</w:t>
      </w:r>
    </w:p>
  </w:footnote>
  <w:footnote w:id="132">
    <w:p w14:paraId="3210E49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&lt;EndNote&gt;&lt;Cite&gt;&lt;Author&gt;Rae&lt;/Author&gt;&lt;Year&gt;2016&lt;/Year&gt;&lt;RecNum&gt;730&lt;/RecNum&gt;&lt;DisplayText&gt;Rae, 2016: &lt;/DisplayText&gt;&lt;record&gt;&lt;rec-number&gt;730&lt;/rec-number&gt;&lt;foreign-keys&gt;&lt;key app="EN" db-id="5xwt9zxa6r5fesevwr5xzp97r95ev9wx9zpw" timestamp="1466984155"&gt;730&lt;/key&gt;&lt;key app="ENWeb" db-id=""&gt;0&lt;/key&gt;&lt;/foreign-keys&gt;&lt;ref-type name="AAA ICRC Water References"&gt;40&lt;/ref-type&gt;&lt;contributors&gt;&lt;authors&gt;&lt;author&gt;Rae, Jason&lt;/author&gt;&lt;/authors&gt;&lt;/contributors&gt;&lt;titles&gt;&lt;title&gt;Submission No 2 to the 2016 Tariff Review&lt;/title&gt;&lt;/titles&gt;&lt;dates&gt;&lt;year&gt;2016&lt;/year&gt;&lt;/dates&gt;&lt;pub-location&gt;Canberra&lt;/pub-location&gt;&lt;urls&gt;&lt;/urls&gt;&lt;/record&gt;&lt;/Cite&gt;&lt;/EndNote&gt;</w:instrText>
      </w:r>
      <w:r>
        <w:fldChar w:fldCharType="separate"/>
      </w:r>
      <w:r>
        <w:rPr>
          <w:noProof/>
        </w:rPr>
        <w:t xml:space="preserve">Rae, 2016: </w:t>
      </w:r>
      <w:r>
        <w:fldChar w:fldCharType="end"/>
      </w:r>
      <w:r>
        <w:t>1.</w:t>
      </w:r>
    </w:p>
  </w:footnote>
  <w:footnote w:id="133">
    <w:p w14:paraId="4D1ED7E3" w14:textId="77777777" w:rsidR="00E41BC3" w:rsidRDefault="00E41BC3" w:rsidP="003C372F">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2016a: </w:t>
      </w:r>
      <w:r>
        <w:fldChar w:fldCharType="end"/>
      </w:r>
      <w:r>
        <w:t>1–2.</w:t>
      </w:r>
    </w:p>
  </w:footnote>
  <w:footnote w:id="134">
    <w:p w14:paraId="334D078B"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2016b: </w:t>
      </w:r>
      <w:r>
        <w:fldChar w:fldCharType="end"/>
      </w:r>
      <w:proofErr w:type="gramStart"/>
      <w:r>
        <w:t>1</w:t>
      </w:r>
      <w:proofErr w:type="gramEnd"/>
      <w:r>
        <w:t>.</w:t>
      </w:r>
    </w:p>
  </w:footnote>
  <w:footnote w:id="135">
    <w:p w14:paraId="2D271E7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2016b: </w:t>
      </w:r>
      <w:r>
        <w:fldChar w:fldCharType="end"/>
      </w:r>
      <w:proofErr w:type="gramStart"/>
      <w:r>
        <w:t>1</w:t>
      </w:r>
      <w:proofErr w:type="gramEnd"/>
      <w:r>
        <w:t>.</w:t>
      </w:r>
    </w:p>
  </w:footnote>
  <w:footnote w:id="136">
    <w:p w14:paraId="50C77857"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2016b: </w:t>
      </w:r>
      <w:r>
        <w:fldChar w:fldCharType="end"/>
      </w:r>
      <w:r>
        <w:t>2–3.</w:t>
      </w:r>
    </w:p>
  </w:footnote>
  <w:footnote w:id="137">
    <w:p w14:paraId="0F6090A7"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2016b: </w:t>
      </w:r>
      <w:r>
        <w:fldChar w:fldCharType="end"/>
      </w:r>
      <w:proofErr w:type="gramStart"/>
      <w:r>
        <w:t>2</w:t>
      </w:r>
      <w:proofErr w:type="gramEnd"/>
      <w:r>
        <w:t>.</w:t>
      </w:r>
    </w:p>
  </w:footnote>
  <w:footnote w:id="138">
    <w:p w14:paraId="069A117E" w14:textId="77777777" w:rsidR="00E41BC3" w:rsidRPr="00EF0834" w:rsidRDefault="00E41BC3" w:rsidP="00B27A6F">
      <w:pPr>
        <w:pStyle w:val="FootnoteText"/>
        <w:rPr>
          <w:lang w:val="en-US"/>
        </w:rPr>
      </w:pPr>
      <w:r>
        <w:rPr>
          <w:rStyle w:val="FootnoteReference"/>
        </w:rPr>
        <w:footnoteRef/>
      </w:r>
      <w:r>
        <w:t xml:space="preserve"> Falconer, 2016: 1.</w:t>
      </w:r>
    </w:p>
  </w:footnote>
  <w:footnote w:id="139">
    <w:p w14:paraId="5F9DB270"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1.</w:t>
      </w:r>
    </w:p>
  </w:footnote>
  <w:footnote w:id="140">
    <w:p w14:paraId="3FD35E36" w14:textId="77777777" w:rsidR="00E41BC3" w:rsidRDefault="00E41BC3" w:rsidP="0020583E">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2.</w:t>
      </w:r>
    </w:p>
  </w:footnote>
  <w:footnote w:id="141">
    <w:p w14:paraId="2AD20A32"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3.</w:t>
      </w:r>
    </w:p>
  </w:footnote>
  <w:footnote w:id="142">
    <w:p w14:paraId="56DDEC11" w14:textId="77777777" w:rsidR="00E41BC3" w:rsidRDefault="00E41BC3" w:rsidP="00B27A6F">
      <w:pPr>
        <w:pStyle w:val="FootnoteText"/>
      </w:pPr>
      <w:r>
        <w:rPr>
          <w:rStyle w:val="FootnoteReference"/>
        </w:rPr>
        <w:footnoteRef/>
      </w:r>
      <w:r>
        <w:t xml:space="preserve"> Dwyer, 2016: 1.</w:t>
      </w:r>
    </w:p>
  </w:footnote>
  <w:footnote w:id="143">
    <w:p w14:paraId="1AB62218" w14:textId="77777777" w:rsidR="00E41BC3" w:rsidRDefault="00E41BC3" w:rsidP="00B27A6F">
      <w:pPr>
        <w:pStyle w:val="FootnoteText"/>
      </w:pPr>
      <w:r>
        <w:rPr>
          <w:rStyle w:val="FootnoteReference"/>
        </w:rPr>
        <w:footnoteRef/>
      </w:r>
      <w:r>
        <w:t xml:space="preserve"> </w:t>
      </w:r>
      <w:r>
        <w:fldChar w:fldCharType="begin"/>
      </w:r>
      <w:r>
        <w:instrText xml:space="preserve"> ADDIN EN.CITE &lt;EndNote&gt;&lt;Cite&gt;&lt;Author&gt;Klugman&lt;/Author&gt;&lt;Year&gt;2016&lt;/Year&gt;&lt;RecNum&gt;731&lt;/RecNum&gt;&lt;DisplayText&gt;Klugman, 2016: &lt;/DisplayText&gt;&lt;record&gt;&lt;rec-number&gt;731&lt;/rec-number&gt;&lt;foreign-keys&gt;&lt;key app="EN" db-id="5xwt9zxa6r5fesevwr5xzp97r95ev9wx9zpw" timestamp="1466984264"&gt;731&lt;/key&gt;&lt;/foreign-keys&gt;&lt;ref-type name="AAA ICRC Water References"&gt;40&lt;/ref-type&gt;&lt;contributors&gt;&lt;authors&gt;&lt;author&gt;Klugman, Kristine&lt;/author&gt;&lt;/authors&gt;&lt;/contributors&gt;&lt;titles&gt;&lt;title&gt;Submission No 3 to the 2016 Tariff Review&lt;/title&gt;&lt;/titles&gt;&lt;dates&gt;&lt;year&gt;2016&lt;/year&gt;&lt;/dates&gt;&lt;pub-location&gt;Canberra&lt;/pub-location&gt;&lt;urls&gt;&lt;/urls&gt;&lt;/record&gt;&lt;/Cite&gt;&lt;/EndNote&gt;</w:instrText>
      </w:r>
      <w:r>
        <w:fldChar w:fldCharType="separate"/>
      </w:r>
      <w:r>
        <w:rPr>
          <w:noProof/>
        </w:rPr>
        <w:t xml:space="preserve">Klugman, 2016: </w:t>
      </w:r>
      <w:r>
        <w:fldChar w:fldCharType="end"/>
      </w:r>
      <w:r>
        <w:t>1.</w:t>
      </w:r>
    </w:p>
  </w:footnote>
  <w:footnote w:id="144">
    <w:p w14:paraId="5846A4FF" w14:textId="77777777" w:rsidR="00E41BC3" w:rsidRDefault="00E41BC3" w:rsidP="00B27A6F">
      <w:pPr>
        <w:pStyle w:val="FootnoteText"/>
      </w:pPr>
      <w:r>
        <w:rPr>
          <w:rStyle w:val="FootnoteReference"/>
        </w:rPr>
        <w:footnoteRef/>
      </w:r>
      <w:r>
        <w:t xml:space="preserve"> Parkin, 2016: 1–3.</w:t>
      </w:r>
    </w:p>
  </w:footnote>
  <w:footnote w:id="145">
    <w:p w14:paraId="29349FE8" w14:textId="77777777" w:rsidR="00E41BC3" w:rsidRPr="00065944" w:rsidRDefault="00E41BC3" w:rsidP="00B27A6F">
      <w:pPr>
        <w:pStyle w:val="FootnoteText"/>
        <w:rPr>
          <w:lang w:val="en-US"/>
        </w:rPr>
      </w:pPr>
      <w:r>
        <w:rPr>
          <w:rStyle w:val="FootnoteReference"/>
        </w:rPr>
        <w:footnoteRef/>
      </w:r>
      <w:r>
        <w:t xml:space="preserve"> </w:t>
      </w:r>
      <w:r w:rsidRPr="005A50E4">
        <w:rPr>
          <w:lang w:val="en-US"/>
        </w:rPr>
        <w:t>http://www.icrc.act.gov.au/water-</w:t>
      </w:r>
      <w:r>
        <w:rPr>
          <w:lang w:val="en-US"/>
        </w:rPr>
        <w:t>and-sewerage/tariff-review-2016.</w:t>
      </w:r>
    </w:p>
  </w:footnote>
  <w:footnote w:id="146">
    <w:p w14:paraId="62E755E1" w14:textId="77777777" w:rsidR="00E41BC3" w:rsidRDefault="00E41BC3" w:rsidP="003A7D85">
      <w:pPr>
        <w:pStyle w:val="FootnoteText"/>
      </w:pPr>
      <w:r>
        <w:rPr>
          <w:rStyle w:val="FootnoteReference"/>
        </w:rPr>
        <w:footnoteRef/>
      </w:r>
      <w:r>
        <w:t xml:space="preserve"> </w:t>
      </w:r>
      <w:proofErr w:type="gramStart"/>
      <w:r>
        <w:t>The National Water Initiative defines upper bound pricing as</w:t>
      </w:r>
      <w:r w:rsidRPr="00494DC3">
        <w:t xml:space="preserve"> </w:t>
      </w:r>
      <w:r>
        <w:t>‘</w:t>
      </w:r>
      <w:r w:rsidRPr="00494DC3">
        <w:t xml:space="preserve">the level at which, to avoid monopoly rents, a water business should not recover more than the operational, maintenance and administrative costs, externalities, </w:t>
      </w:r>
      <w:r>
        <w:t>taxes or tax equivalent regimes</w:t>
      </w:r>
      <w:r w:rsidRPr="00494DC3">
        <w:t>, provision for the cost of asset consumption and cost of capital, the latter being calculated using a weighted average cost of capital</w:t>
      </w:r>
      <w:r>
        <w:t>’ (</w:t>
      </w:r>
      <w:r>
        <w:rPr>
          <w:noProof/>
        </w:rPr>
        <w:t xml:space="preserve">COAG, 2004: </w:t>
      </w:r>
      <w:r>
        <w:t>30)</w:t>
      </w:r>
      <w:r w:rsidRPr="00494DC3">
        <w:t>.</w:t>
      </w:r>
      <w:proofErr w:type="gramEnd"/>
    </w:p>
  </w:footnote>
  <w:footnote w:id="147">
    <w:p w14:paraId="5FD68755" w14:textId="77777777" w:rsidR="00E41BC3" w:rsidRDefault="00E41BC3" w:rsidP="008E6581">
      <w:pPr>
        <w:pStyle w:val="FootnoteText"/>
      </w:pPr>
      <w:r>
        <w:rPr>
          <w:rStyle w:val="FootnoteReference"/>
        </w:rPr>
        <w:footnoteRef/>
      </w:r>
      <w:r>
        <w:t xml:space="preserve"> ICRC, 2016c: 21.</w:t>
      </w:r>
    </w:p>
  </w:footnote>
  <w:footnote w:id="148">
    <w:p w14:paraId="4412A59D" w14:textId="77777777" w:rsidR="00E41BC3" w:rsidRDefault="00E41BC3" w:rsidP="008E6581">
      <w:pPr>
        <w:pStyle w:val="FootnoteText"/>
      </w:pPr>
      <w:r>
        <w:rPr>
          <w:rStyle w:val="FootnoteReference"/>
        </w:rPr>
        <w:footnoteRef/>
      </w:r>
      <w:r>
        <w:t xml:space="preserve"> </w:t>
      </w:r>
      <w:r>
        <w:fldChar w:fldCharType="begin"/>
      </w:r>
      <w:r>
        <w:instrText xml:space="preserve"> ADDIN EN.CITE &lt;EndNote&gt;&lt;Cite&gt;&lt;Author&gt;NWC&lt;/Author&gt;&lt;Year&gt;2011&lt;/Year&gt;&lt;RecNum&gt;210&lt;/RecNum&gt;&lt;DisplayText&gt;NWC, 2011: &lt;/DisplayText&gt;&lt;record&gt;&lt;rec-number&gt;210&lt;/rec-number&gt;&lt;foreign-keys&gt;&lt;key app="EN" db-id="5xwt9zxa6r5fesevwr5xzp97r95ev9wx9zpw" timestamp="1375249247"&gt;210&lt;/key&gt;&lt;/foreign-keys&gt;&lt;ref-type name="AAA ICRC Water References"&gt;40&lt;/ref-type&gt;&lt;contributors&gt;&lt;authors&gt;&lt;author&gt;NWC,&lt;/author&gt;&lt;/authors&gt;&lt;/contributors&gt;&lt;titles&gt;&lt;title&gt;Efficient water resource pricing in Australia: an assessment of administered scarcity pricing in urban areas&lt;/title&gt;&lt;/titles&gt;&lt;volume&gt;Waterlines Report Series No 44&lt;/volume&gt;&lt;dates&gt;&lt;year&gt;2011&lt;/year&gt;&lt;pub-dates&gt;&lt;date&gt;April 2011&lt;/date&gt;&lt;/pub-dates&gt;&lt;/dates&gt;&lt;pub-location&gt;Canberra&lt;/pub-location&gt;&lt;publisher&gt;National Water Commission&lt;/publisher&gt;&lt;urls&gt;&lt;/urls&gt;&lt;/record&gt;&lt;/Cite&gt;&lt;/EndNote&gt;</w:instrText>
      </w:r>
      <w:r>
        <w:fldChar w:fldCharType="separate"/>
      </w:r>
      <w:r>
        <w:rPr>
          <w:noProof/>
        </w:rPr>
        <w:t xml:space="preserve">NWC, 2011: </w:t>
      </w:r>
      <w:r>
        <w:fldChar w:fldCharType="end"/>
      </w:r>
      <w:r>
        <w:t>5.</w:t>
      </w:r>
    </w:p>
  </w:footnote>
  <w:footnote w:id="149">
    <w:p w14:paraId="1A685ACB" w14:textId="77777777" w:rsidR="00E41BC3" w:rsidRDefault="00E41BC3" w:rsidP="008E6581">
      <w:pPr>
        <w:pStyle w:val="FootnoteText"/>
      </w:pPr>
      <w:r>
        <w:rPr>
          <w:rStyle w:val="FootnoteReference"/>
        </w:rPr>
        <w:footnoteRef/>
      </w:r>
      <w:r>
        <w:t xml:space="preserve"> </w:t>
      </w:r>
      <w:r>
        <w:fldChar w:fldCharType="begin"/>
      </w:r>
      <w:r>
        <w:instrText xml:space="preserve"> ADDIN EN.CITE &lt;EndNote&gt;&lt;Cite&gt;&lt;Author&gt;Grafton&lt;/Author&gt;&lt;Year&gt;2010&lt;/Year&gt;&lt;RecNum&gt;584&lt;/RecNum&gt;&lt;DisplayText&gt;Grafton and Ward, 2010: &lt;/DisplayText&gt;&lt;record&gt;&lt;rec-number&gt;584&lt;/rec-number&gt;&lt;foreign-keys&gt;&lt;key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fldChar w:fldCharType="separate"/>
      </w:r>
      <w:r>
        <w:rPr>
          <w:noProof/>
        </w:rPr>
        <w:t xml:space="preserve">Grafton and Ward, 2010: </w:t>
      </w:r>
      <w:r>
        <w:fldChar w:fldCharType="end"/>
      </w:r>
      <w:r>
        <w:t>1.</w:t>
      </w:r>
    </w:p>
  </w:footnote>
  <w:footnote w:id="150">
    <w:p w14:paraId="306FE0A9" w14:textId="77777777" w:rsidR="00E41BC3" w:rsidRDefault="00E41BC3" w:rsidP="008E6581">
      <w:pPr>
        <w:pStyle w:val="FootnoteText"/>
      </w:pPr>
      <w:r>
        <w:rPr>
          <w:rStyle w:val="FootnoteReference"/>
        </w:rPr>
        <w:footnoteRef/>
      </w:r>
      <w:r>
        <w:t xml:space="preserve"> The l</w:t>
      </w:r>
      <w:r w:rsidRPr="007949B4">
        <w:t>ong</w:t>
      </w:r>
      <w:r>
        <w:t>-</w:t>
      </w:r>
      <w:r w:rsidRPr="007949B4">
        <w:t xml:space="preserve">run marginal cost in relation to the supply of water is the measure of marginal cost when capacity </w:t>
      </w:r>
      <w:proofErr w:type="gramStart"/>
      <w:r w:rsidRPr="007949B4">
        <w:t>can be varied</w:t>
      </w:r>
      <w:proofErr w:type="gramEnd"/>
      <w:r w:rsidRPr="007949B4">
        <w:t xml:space="preserve"> incrementally.</w:t>
      </w:r>
      <w:r>
        <w:t xml:space="preserve"> </w:t>
      </w:r>
      <w:r w:rsidRPr="007949B4">
        <w:t xml:space="preserve">It can be calculated as the marginal capacity cost divided by the increase in capacity (which is </w:t>
      </w:r>
      <w:proofErr w:type="gramStart"/>
      <w:r w:rsidRPr="007949B4">
        <w:t>really average</w:t>
      </w:r>
      <w:proofErr w:type="gramEnd"/>
      <w:r w:rsidRPr="007949B4">
        <w:t xml:space="preserve"> incremental cost) or the incremental increase in capital to satisfy an incremental increase in demand.</w:t>
      </w:r>
      <w:r>
        <w:t xml:space="preserve"> The l</w:t>
      </w:r>
      <w:r w:rsidRPr="007949B4">
        <w:t>ong</w:t>
      </w:r>
      <w:r>
        <w:t>-</w:t>
      </w:r>
      <w:r w:rsidRPr="007949B4">
        <w:t xml:space="preserve">run marginal cost represents the efficient price when capital </w:t>
      </w:r>
      <w:proofErr w:type="gramStart"/>
      <w:r w:rsidRPr="007949B4">
        <w:t>is adjusted</w:t>
      </w:r>
      <w:proofErr w:type="gramEnd"/>
      <w:r w:rsidRPr="007949B4">
        <w:t xml:space="preserve"> to its optimal level at a point in time that corresponds to the price that clears the market.</w:t>
      </w:r>
      <w:r>
        <w:t xml:space="preserve"> </w:t>
      </w:r>
      <w:r w:rsidRPr="007949B4">
        <w:t>At th</w:t>
      </w:r>
      <w:r>
        <w:t>at</w:t>
      </w:r>
      <w:r w:rsidRPr="007949B4">
        <w:t xml:space="preserve"> point</w:t>
      </w:r>
      <w:r>
        <w:t>, the</w:t>
      </w:r>
      <w:r w:rsidRPr="007949B4">
        <w:t xml:space="preserve"> long</w:t>
      </w:r>
      <w:r>
        <w:t>-</w:t>
      </w:r>
      <w:r w:rsidRPr="007949B4">
        <w:t xml:space="preserve">run marginal cost equals </w:t>
      </w:r>
      <w:r>
        <w:t xml:space="preserve">the </w:t>
      </w:r>
      <w:r w:rsidRPr="007949B4">
        <w:t>short</w:t>
      </w:r>
      <w:r>
        <w:t>-</w:t>
      </w:r>
      <w:r w:rsidRPr="007949B4">
        <w:t>run marginal cost.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E5A34" w14:textId="77777777" w:rsidR="00E41BC3" w:rsidRDefault="00E41BC3">
    <w:pPr>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53F45" w14:textId="77777777" w:rsidR="00E41BC3" w:rsidRDefault="00E41BC3" w:rsidP="00CF59A9">
    <w:pPr>
      <w:spacing w:after="0"/>
    </w:pPr>
  </w:p>
  <w:p w14:paraId="0B891EA0" w14:textId="77777777" w:rsidR="00E41BC3" w:rsidRDefault="00E41BC3" w:rsidP="00CF59A9">
    <w:pPr>
      <w:spacing w:after="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0D547" w14:textId="77777777" w:rsidR="00E41BC3" w:rsidRDefault="00E41BC3" w:rsidP="00D67976">
    <w:pPr>
      <w:spacing w:after="0"/>
      <w:jc w:val="right"/>
    </w:pPr>
  </w:p>
  <w:p w14:paraId="23F2D126" w14:textId="77777777" w:rsidR="00E41BC3" w:rsidRDefault="00E41BC3" w:rsidP="00D67976">
    <w:pPr>
      <w:spacing w:after="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E7FC1" w14:textId="77777777" w:rsidR="00E41BC3" w:rsidRDefault="00E41BC3" w:rsidP="00D67976">
    <w:pPr>
      <w:spacing w:after="0"/>
    </w:pPr>
  </w:p>
  <w:p w14:paraId="0DB7C045" w14:textId="77777777" w:rsidR="00E41BC3" w:rsidRDefault="00E41BC3" w:rsidP="00D67976">
    <w:pPr>
      <w:spacing w:after="0"/>
    </w:pPr>
  </w:p>
  <w:p w14:paraId="5D57D089" w14:textId="77777777" w:rsidR="00E41BC3" w:rsidRDefault="00E41BC3" w:rsidP="00502D80">
    <w:pPr>
      <w:pStyle w:val="Headereven"/>
    </w:pPr>
    <w:r>
      <w:fldChar w:fldCharType="begin"/>
    </w:r>
    <w:r>
      <w:instrText xml:space="preserve"> REF _Ref338172668 \r \h </w:instrText>
    </w:r>
    <w:r>
      <w:fldChar w:fldCharType="separate"/>
    </w:r>
    <w:r>
      <w:rPr>
        <w:b/>
        <w:bCs/>
        <w:lang w:val="en-US"/>
      </w:rPr>
      <w:t>Error! Reference source not found.</w:t>
    </w:r>
    <w:r>
      <w:fldChar w:fldCharType="end"/>
    </w:r>
    <w:r>
      <w:t xml:space="preserve"> – </w:t>
    </w:r>
    <w:r>
      <w:fldChar w:fldCharType="begin"/>
    </w:r>
    <w:r>
      <w:instrText xml:space="preserve"> REF _Ref338172668 \h </w:instrText>
    </w:r>
    <w:r>
      <w:fldChar w:fldCharType="separate"/>
    </w:r>
    <w:r>
      <w:rPr>
        <w:b/>
        <w:bCs/>
        <w:lang w:val="en-US"/>
      </w:rPr>
      <w:t>Error! Reference source not found.</w:t>
    </w:r>
    <w:r>
      <w:fldChar w:fldCharType="end"/>
    </w:r>
  </w:p>
  <w:p w14:paraId="0CE7FDD3" w14:textId="77777777" w:rsidR="00E41BC3" w:rsidRDefault="00E41BC3" w:rsidP="00502D80">
    <w:pPr>
      <w:pStyle w:val="Headereven"/>
    </w:pPr>
    <w:r>
      <w:fldChar w:fldCharType="begin"/>
    </w:r>
    <w:r>
      <w:instrText xml:space="preserve"> REF _Ref349552358 \r \h </w:instrText>
    </w:r>
    <w:r>
      <w:fldChar w:fldCharType="separate"/>
    </w:r>
    <w:r>
      <w:rPr>
        <w:b/>
        <w:bCs/>
        <w:lang w:val="en-US"/>
      </w:rPr>
      <w:t>Error! Reference source not found.</w:t>
    </w:r>
    <w:r>
      <w:fldChar w:fldCharType="end"/>
    </w:r>
    <w:r>
      <w:t xml:space="preserve"> – </w:t>
    </w:r>
    <w:r>
      <w:fldChar w:fldCharType="begin"/>
    </w:r>
    <w:r>
      <w:instrText xml:space="preserve"> REF _Ref349552358 \h </w:instrText>
    </w:r>
    <w:r>
      <w:fldChar w:fldCharType="separate"/>
    </w:r>
    <w:r>
      <w:rPr>
        <w:b/>
        <w:bCs/>
        <w:lang w:val="en-US"/>
      </w:rPr>
      <w:t>Error! Reference source not found.</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AD889" w14:textId="77777777" w:rsidR="00E41BC3" w:rsidRPr="00790F62" w:rsidRDefault="00E41BC3" w:rsidP="00502D80">
    <w:pPr>
      <w:pStyle w:val="Headerod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F7434" w14:textId="77777777" w:rsidR="00E41BC3" w:rsidRDefault="00E41BC3" w:rsidP="00D67976">
    <w:pPr>
      <w:spacing w:after="0"/>
    </w:pPr>
  </w:p>
  <w:p w14:paraId="12A9CC2E" w14:textId="77777777" w:rsidR="00E41BC3" w:rsidRDefault="00E41BC3" w:rsidP="00D67976">
    <w:pPr>
      <w:spacing w:after="0"/>
    </w:pPr>
  </w:p>
  <w:p w14:paraId="170AB9A9" w14:textId="77777777" w:rsidR="00E41BC3" w:rsidRDefault="00E41BC3" w:rsidP="00502D80">
    <w:pPr>
      <w:pStyle w:val="Headereven"/>
    </w:pPr>
    <w:r>
      <w:fldChar w:fldCharType="begin"/>
    </w:r>
    <w:r>
      <w:instrText xml:space="preserve"> REF _Ref364695177 \h </w:instrText>
    </w:r>
    <w:r>
      <w:fldChar w:fldCharType="separate"/>
    </w:r>
    <w:r>
      <w:t>Executive summary</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7A895" w14:textId="77777777" w:rsidR="00E41BC3" w:rsidRDefault="00E41BC3" w:rsidP="00D67976">
    <w:pPr>
      <w:spacing w:after="0"/>
      <w:jc w:val="right"/>
    </w:pPr>
  </w:p>
  <w:p w14:paraId="5A7B1F57" w14:textId="77777777" w:rsidR="00E41BC3" w:rsidRDefault="00E41BC3" w:rsidP="00D67976">
    <w:pPr>
      <w:spacing w:after="0"/>
      <w:jc w:val="right"/>
    </w:pPr>
  </w:p>
  <w:p w14:paraId="406E23D3" w14:textId="77777777" w:rsidR="00E41BC3" w:rsidRPr="00790F62" w:rsidRDefault="00E41BC3" w:rsidP="00502D80">
    <w:pPr>
      <w:pStyle w:val="Headerodd"/>
    </w:pPr>
    <w:r>
      <w:fldChar w:fldCharType="begin"/>
    </w:r>
    <w:r>
      <w:instrText xml:space="preserve"> REF _Ref364695177 \h </w:instrText>
    </w:r>
    <w:r>
      <w:fldChar w:fldCharType="separate"/>
    </w:r>
    <w:r>
      <w:t>Executive summary</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06C36" w14:textId="77777777" w:rsidR="00E41BC3" w:rsidRDefault="00E41BC3" w:rsidP="00D67976">
    <w:pPr>
      <w:spacing w:after="0"/>
      <w:jc w:val="right"/>
    </w:pPr>
  </w:p>
  <w:p w14:paraId="3AE414BB" w14:textId="77777777" w:rsidR="00E41BC3" w:rsidRDefault="00E41BC3" w:rsidP="00D67976">
    <w:pPr>
      <w:spacing w:after="0"/>
      <w:jc w:val="right"/>
    </w:pPr>
  </w:p>
  <w:p w14:paraId="5AFC1DDA" w14:textId="77777777" w:rsidR="00E41BC3" w:rsidRPr="00790F62" w:rsidRDefault="00E41BC3" w:rsidP="00502D80">
    <w:pPr>
      <w:pStyle w:val="Headerod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523F8" w14:textId="77777777" w:rsidR="00E41BC3" w:rsidRDefault="00E41BC3">
    <w:pPr>
      <w:pStyle w:val="Headereven"/>
    </w:pPr>
  </w:p>
  <w:p w14:paraId="58B1DE73" w14:textId="77777777" w:rsidR="00E41BC3" w:rsidRDefault="00E41BC3">
    <w:pPr>
      <w:pStyle w:val="Headereven"/>
    </w:pPr>
  </w:p>
  <w:p w14:paraId="3AAFB745" w14:textId="77777777" w:rsidR="00E41BC3" w:rsidRDefault="00E41BC3">
    <w:pPr>
      <w:pStyle w:val="Headereven"/>
    </w:pPr>
    <w:r>
      <w:fldChar w:fldCharType="begin"/>
    </w:r>
    <w:r>
      <w:instrText xml:space="preserve"> REF _Ref476129605 \r \h </w:instrText>
    </w:r>
    <w:r>
      <w:fldChar w:fldCharType="separate"/>
    </w:r>
    <w:r>
      <w:t>1</w:t>
    </w:r>
    <w:r>
      <w:fldChar w:fldCharType="end"/>
    </w:r>
    <w:r>
      <w:t xml:space="preserve"> – </w:t>
    </w:r>
    <w:r>
      <w:fldChar w:fldCharType="begin"/>
    </w:r>
    <w:r>
      <w:instrText xml:space="preserve"> REF _Ref476129605 \h </w:instrText>
    </w:r>
    <w:r>
      <w:fldChar w:fldCharType="separate"/>
    </w:r>
    <w:r>
      <w:t>Introduction</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8445" w14:textId="77777777" w:rsidR="00E41BC3" w:rsidRDefault="00E41BC3" w:rsidP="00F922F1">
    <w:pPr>
      <w:pStyle w:val="Headerodd"/>
    </w:pPr>
  </w:p>
  <w:p w14:paraId="121F29EE" w14:textId="77777777" w:rsidR="00E41BC3" w:rsidRDefault="00E41BC3" w:rsidP="00F922F1">
    <w:pPr>
      <w:pStyle w:val="Headerodd"/>
    </w:pPr>
  </w:p>
  <w:p w14:paraId="5098584A" w14:textId="77777777" w:rsidR="00E41BC3" w:rsidRDefault="00E41BC3" w:rsidP="00F922F1">
    <w:pPr>
      <w:pStyle w:val="Headerodd"/>
    </w:pPr>
    <w:r>
      <w:fldChar w:fldCharType="begin"/>
    </w:r>
    <w:r>
      <w:instrText xml:space="preserve"> REF _Ref476129605 \r \h </w:instrText>
    </w:r>
    <w:r>
      <w:fldChar w:fldCharType="separate"/>
    </w:r>
    <w:r>
      <w:t>1</w:t>
    </w:r>
    <w:r>
      <w:fldChar w:fldCharType="end"/>
    </w:r>
    <w:r>
      <w:t xml:space="preserve"> – </w:t>
    </w:r>
    <w:r>
      <w:fldChar w:fldCharType="begin"/>
    </w:r>
    <w:r>
      <w:instrText xml:space="preserve"> REF _Ref476129605 \h </w:instrText>
    </w:r>
    <w:r>
      <w:fldChar w:fldCharType="separate"/>
    </w:r>
    <w:r>
      <w:t>Introduction</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2E26" w14:textId="77777777" w:rsidR="00E41BC3" w:rsidRDefault="00E41BC3" w:rsidP="003A7D85">
    <w:pPr>
      <w:pStyle w:val="Headereven"/>
    </w:pPr>
  </w:p>
  <w:p w14:paraId="75375439" w14:textId="77777777" w:rsidR="00E41BC3" w:rsidRDefault="00E41BC3" w:rsidP="003A7D85">
    <w:pPr>
      <w:pStyle w:val="Headereven"/>
    </w:pPr>
  </w:p>
  <w:p w14:paraId="66A7089D" w14:textId="77777777" w:rsidR="00E41BC3" w:rsidRPr="00187840" w:rsidRDefault="00E41BC3" w:rsidP="003A7D85">
    <w:pPr>
      <w:pStyle w:val="Headereven"/>
    </w:pPr>
    <w:r>
      <w:fldChar w:fldCharType="begin"/>
    </w:r>
    <w:r>
      <w:instrText xml:space="preserve"> REF _Ref468442548 \r \h  \* MERGEFORMAT </w:instrText>
    </w:r>
    <w:r>
      <w:fldChar w:fldCharType="separate"/>
    </w:r>
    <w:r>
      <w:t>2</w:t>
    </w:r>
    <w:r>
      <w:fldChar w:fldCharType="end"/>
    </w:r>
    <w:r w:rsidRPr="00187840">
      <w:t xml:space="preserve"> - </w:t>
    </w:r>
    <w:r>
      <w:fldChar w:fldCharType="begin"/>
    </w:r>
    <w:r>
      <w:instrText xml:space="preserve"> REF _Ref468442559 \h  \* MERGEFORMAT </w:instrText>
    </w:r>
    <w:r>
      <w:fldChar w:fldCharType="separate"/>
    </w:r>
    <w:r w:rsidRPr="00CA7AFB">
      <w:t>Public policy and regulatory objectives</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F9A43" w14:textId="77777777" w:rsidR="00E41BC3" w:rsidRPr="00EC19F8" w:rsidRDefault="00EB59C9" w:rsidP="00EF6AF3">
    <w:pPr>
      <w:jc w:val="center"/>
      <w:rPr>
        <w:sz w:val="44"/>
      </w:rPr>
    </w:pPr>
    <w:r>
      <w:rPr>
        <w:noProof/>
        <w:sz w:val="44"/>
        <w:lang w:val="en-AU" w:eastAsia="en-AU"/>
      </w:rPr>
      <w:pict w14:anchorId="59432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050" type="#_x0000_t75" style="position:absolute;left:0;text-align:left;margin-left:0;margin-top:0;width:416.3pt;height:662.55pt;z-index:-251661312;mso-position-horizontal:center;mso-position-horizontal-relative:margin;mso-position-vertical:center;mso-position-vertical-relative:margin" o:allowincell="f">
          <v:imagedata r:id="rId1" o:title="ICRC_reports_cover"/>
          <w10:wrap anchorx="margin" anchory="margin"/>
        </v:shape>
      </w:pict>
    </w:r>
    <w:r w:rsidR="00E41BC3" w:rsidRPr="00EC19F8">
      <w:rPr>
        <w:sz w:val="44"/>
      </w:rPr>
      <w:t>Commission-in-Confidence</w:t>
    </w:r>
  </w:p>
  <w:p w14:paraId="46DDD0A2" w14:textId="77777777" w:rsidR="00E41BC3" w:rsidRDefault="00E41BC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067DF" w14:textId="77777777" w:rsidR="00E41BC3" w:rsidRPr="005A501E" w:rsidRDefault="00E41BC3" w:rsidP="005A501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CDF21" w14:textId="77777777" w:rsidR="00E41BC3" w:rsidRDefault="00E41BC3" w:rsidP="00791149">
    <w:pPr>
      <w:pStyle w:val="Header"/>
      <w:jc w:val="right"/>
    </w:pPr>
  </w:p>
  <w:p w14:paraId="2568C1F1" w14:textId="77777777" w:rsidR="00E41BC3" w:rsidRDefault="00E41BC3" w:rsidP="00791149">
    <w:pPr>
      <w:pStyle w:val="Header"/>
      <w:jc w:val="right"/>
    </w:pPr>
  </w:p>
  <w:p w14:paraId="3EE502EF" w14:textId="77777777" w:rsidR="00E41BC3" w:rsidRDefault="00E41BC3" w:rsidP="005A501E">
    <w:pPr>
      <w:pStyle w:val="Header"/>
      <w:jc w:val="right"/>
    </w:pPr>
    <w:r>
      <w:fldChar w:fldCharType="begin"/>
    </w:r>
    <w:r>
      <w:instrText xml:space="preserve"> REF _Ref468441553 \r \h </w:instrText>
    </w:r>
    <w:r>
      <w:fldChar w:fldCharType="separate"/>
    </w:r>
    <w:r>
      <w:t>2</w:t>
    </w:r>
    <w:r>
      <w:fldChar w:fldCharType="end"/>
    </w:r>
    <w:r>
      <w:t xml:space="preserve"> – </w:t>
    </w:r>
    <w:r>
      <w:fldChar w:fldCharType="begin"/>
    </w:r>
    <w:r>
      <w:instrText xml:space="preserve"> REF _Ref468441553 \h </w:instrText>
    </w:r>
    <w:r>
      <w:fldChar w:fldCharType="separate"/>
    </w:r>
    <w:r w:rsidRPr="00CA7AFB">
      <w:t>Public policy and regulatory objectives</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02DE" w14:textId="77777777" w:rsidR="00E41BC3" w:rsidRPr="00771A94" w:rsidRDefault="00E41BC3" w:rsidP="00791149">
    <w:pPr>
      <w:pStyle w:val="Headereven"/>
    </w:pPr>
    <w:r>
      <w:t>3 – Pricing principles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A2B5D" w14:textId="77777777" w:rsidR="00E41BC3" w:rsidRPr="003438CE" w:rsidRDefault="00E41BC3" w:rsidP="003438C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46206" w14:textId="77777777" w:rsidR="00E41BC3" w:rsidRDefault="00E41BC3" w:rsidP="00791149">
    <w:pPr>
      <w:pStyle w:val="Headereven"/>
    </w:pPr>
  </w:p>
  <w:p w14:paraId="18C15287" w14:textId="77777777" w:rsidR="00E41BC3" w:rsidRDefault="00E41BC3" w:rsidP="00791149">
    <w:pPr>
      <w:pStyle w:val="Headereven"/>
    </w:pPr>
  </w:p>
  <w:p w14:paraId="4B87D06C" w14:textId="77777777" w:rsidR="00E41BC3" w:rsidRDefault="00E41BC3" w:rsidP="005A501E">
    <w:pPr>
      <w:pStyle w:val="Headereven"/>
    </w:pPr>
    <w:r>
      <w:t>3 – Pricing principles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7916D" w14:textId="77777777" w:rsidR="00E41BC3" w:rsidRDefault="00E41BC3" w:rsidP="003438CE">
    <w:pPr>
      <w:pStyle w:val="Header"/>
      <w:jc w:val="right"/>
    </w:pPr>
  </w:p>
  <w:p w14:paraId="45B2AEE1" w14:textId="77777777" w:rsidR="00E41BC3" w:rsidRDefault="00E41BC3" w:rsidP="003438CE">
    <w:pPr>
      <w:pStyle w:val="Header"/>
      <w:jc w:val="right"/>
    </w:pPr>
  </w:p>
  <w:p w14:paraId="72EBD4FD" w14:textId="77777777" w:rsidR="00E41BC3" w:rsidRDefault="00E41BC3" w:rsidP="005A501E">
    <w:pPr>
      <w:pStyle w:val="Header"/>
      <w:jc w:val="right"/>
    </w:pPr>
    <w:r>
      <w:fldChar w:fldCharType="begin"/>
    </w:r>
    <w:r>
      <w:instrText xml:space="preserve"> REF _Ref477266898 \r \h </w:instrText>
    </w:r>
    <w:r>
      <w:fldChar w:fldCharType="separate"/>
    </w:r>
    <w:r>
      <w:t>3</w:t>
    </w:r>
    <w:r>
      <w:fldChar w:fldCharType="end"/>
    </w:r>
    <w:r>
      <w:t xml:space="preserve"> – </w:t>
    </w:r>
    <w:r>
      <w:fldChar w:fldCharType="begin"/>
    </w:r>
    <w:r>
      <w:instrText xml:space="preserve"> REF _Ref477266906 \h </w:instrText>
    </w:r>
    <w:r>
      <w:fldChar w:fldCharType="separate"/>
    </w:r>
    <w:r w:rsidRPr="00CA7AFB">
      <w:t>Pricing principles</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48E96" w14:textId="77777777" w:rsidR="00E41BC3" w:rsidRPr="00095B75" w:rsidRDefault="00E41BC3" w:rsidP="00095B7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CB77" w14:textId="77777777" w:rsidR="00E41BC3" w:rsidRDefault="00E41BC3" w:rsidP="003438CE">
    <w:pPr>
      <w:pStyle w:val="Header"/>
    </w:pPr>
  </w:p>
  <w:p w14:paraId="4599817A" w14:textId="77777777" w:rsidR="00E41BC3" w:rsidRDefault="00E41BC3" w:rsidP="003438CE">
    <w:pPr>
      <w:pStyle w:val="Header"/>
    </w:pPr>
  </w:p>
  <w:p w14:paraId="2D08F8DE" w14:textId="6CFA6B94" w:rsidR="00E41BC3" w:rsidRDefault="00E41BC3" w:rsidP="005A501E">
    <w:pPr>
      <w:pStyle w:val="Header"/>
    </w:pPr>
    <w:r>
      <w:fldChar w:fldCharType="begin"/>
    </w:r>
    <w:r>
      <w:instrText xml:space="preserve"> REF _Ref468431864 \r \h </w:instrText>
    </w:r>
    <w:r>
      <w:fldChar w:fldCharType="separate"/>
    </w:r>
    <w:r>
      <w:t>4</w:t>
    </w:r>
    <w:r>
      <w:fldChar w:fldCharType="end"/>
    </w:r>
    <w:r>
      <w:t xml:space="preserve"> – </w:t>
    </w:r>
    <w:r>
      <w:fldChar w:fldCharType="begin"/>
    </w:r>
    <w:r>
      <w:instrText xml:space="preserve"> REF _Ref468431864 \h </w:instrText>
    </w:r>
    <w:r>
      <w:fldChar w:fldCharType="separate"/>
    </w:r>
    <w:r>
      <w:t>Assessment of t</w:t>
    </w:r>
    <w:r w:rsidRPr="00B735F2">
      <w:t>he current water</w:t>
    </w:r>
    <w:r>
      <w:t xml:space="preserve"> services</w:t>
    </w:r>
    <w:r w:rsidRPr="00B735F2">
      <w:t xml:space="preserve"> tariff structure</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26A40" w14:textId="613FBBE1" w:rsidR="00E41BC3" w:rsidRPr="00095B75" w:rsidRDefault="00E41BC3" w:rsidP="00095B75">
    <w:pPr>
      <w:pStyle w:val="Header"/>
      <w:jc w:val="right"/>
    </w:pPr>
    <w:r>
      <w:fldChar w:fldCharType="begin"/>
    </w:r>
    <w:r>
      <w:instrText xml:space="preserve"> REF _Ref468431864 \r \h </w:instrText>
    </w:r>
    <w:r>
      <w:fldChar w:fldCharType="separate"/>
    </w:r>
    <w:r>
      <w:t>4</w:t>
    </w:r>
    <w:r>
      <w:fldChar w:fldCharType="end"/>
    </w:r>
    <w:r>
      <w:t xml:space="preserve"> – </w:t>
    </w:r>
    <w:r>
      <w:fldChar w:fldCharType="begin"/>
    </w:r>
    <w:r>
      <w:instrText xml:space="preserve"> REF _Ref468431864 \h </w:instrText>
    </w:r>
    <w:r>
      <w:fldChar w:fldCharType="separate"/>
    </w:r>
    <w:r>
      <w:t>Assessment of t</w:t>
    </w:r>
    <w:r w:rsidRPr="00B735F2">
      <w:t>he current water</w:t>
    </w:r>
    <w:r>
      <w:t xml:space="preserve"> services</w:t>
    </w:r>
    <w:r w:rsidRPr="00B735F2">
      <w:t xml:space="preserve"> tariff structure</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F732D" w14:textId="77777777" w:rsidR="00E41BC3" w:rsidRPr="00095B75" w:rsidRDefault="00E41BC3" w:rsidP="00ED2CCF">
    <w:pPr>
      <w:spacing w:after="0"/>
      <w:rPr>
        <w:i/>
        <w:color w:val="808080"/>
        <w:sz w:val="18"/>
        <w:szCs w:val="18"/>
      </w:rPr>
    </w:pPr>
  </w:p>
  <w:p w14:paraId="3F6255D2" w14:textId="77777777" w:rsidR="00E41BC3" w:rsidRDefault="00E41BC3" w:rsidP="003A7D85">
    <w:pPr>
      <w:pStyle w:val="Headerodd"/>
      <w:jc w:val="left"/>
    </w:pPr>
  </w:p>
  <w:p w14:paraId="3A833647" w14:textId="77777777" w:rsidR="00E41BC3" w:rsidRDefault="00E41BC3" w:rsidP="003A7D85">
    <w:pPr>
      <w:pStyle w:val="Headerodd"/>
      <w:jc w:val="left"/>
    </w:pPr>
    <w:r>
      <w:t xml:space="preserve">5 - </w:t>
    </w:r>
    <w:r>
      <w:fldChar w:fldCharType="begin"/>
    </w:r>
    <w:r>
      <w:instrText xml:space="preserve"> REF _Ref454886877 \h </w:instrText>
    </w:r>
    <w:r>
      <w:fldChar w:fldCharType="separate"/>
    </w:r>
    <w:r>
      <w:t>Directions for improving</w:t>
    </w:r>
    <w:r>
      <w:fldChar w:fldCharType="end"/>
    </w:r>
    <w:r>
      <w:t xml:space="preserve"> the water services tariff structure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61340" w14:textId="77777777" w:rsidR="00E41BC3" w:rsidRDefault="00EB59C9">
    <w:r>
      <w:rPr>
        <w:noProof/>
        <w:lang w:val="en-AU" w:eastAsia="en-AU"/>
      </w:rPr>
      <w:pict w14:anchorId="6B886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049" type="#_x0000_t75" style="position:absolute;margin-left:0;margin-top:0;width:457.8pt;height:728.6pt;z-index:-251662336;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36E32" w14:textId="77777777" w:rsidR="00E41BC3" w:rsidRPr="00095B75" w:rsidRDefault="00E41BC3" w:rsidP="00095B7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6A923" w14:textId="77777777" w:rsidR="00E41BC3" w:rsidRDefault="00E41BC3" w:rsidP="00095B75">
    <w:pPr>
      <w:pStyle w:val="Header"/>
      <w:jc w:val="right"/>
    </w:pPr>
  </w:p>
  <w:p w14:paraId="649380A0" w14:textId="77777777" w:rsidR="00E41BC3" w:rsidRDefault="00E41BC3" w:rsidP="00095B75">
    <w:pPr>
      <w:pStyle w:val="Header"/>
      <w:jc w:val="right"/>
    </w:pPr>
  </w:p>
  <w:p w14:paraId="09BA5CF6" w14:textId="77777777" w:rsidR="00E41BC3" w:rsidRPr="00095B75" w:rsidRDefault="00E41BC3" w:rsidP="00095B75">
    <w:pPr>
      <w:pStyle w:val="Header"/>
      <w:jc w:val="right"/>
    </w:pPr>
    <w:r>
      <w:fldChar w:fldCharType="begin"/>
    </w:r>
    <w:r>
      <w:instrText xml:space="preserve"> REF _Ref477267509 \r \h </w:instrText>
    </w:r>
    <w:r>
      <w:fldChar w:fldCharType="separate"/>
    </w:r>
    <w:r>
      <w:t>5</w:t>
    </w:r>
    <w:r>
      <w:fldChar w:fldCharType="end"/>
    </w:r>
    <w:r>
      <w:t xml:space="preserve"> – </w:t>
    </w:r>
    <w:r>
      <w:fldChar w:fldCharType="begin"/>
    </w:r>
    <w:r>
      <w:instrText xml:space="preserve"> REF _Ref477267518 \h </w:instrText>
    </w:r>
    <w:r>
      <w:fldChar w:fldCharType="separate"/>
    </w:r>
    <w:r>
      <w:t>Directions for improving the water services tariff structure</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877B0" w14:textId="77777777" w:rsidR="00E41BC3" w:rsidRDefault="00E41BC3" w:rsidP="00ED2CCF">
    <w:pPr>
      <w:spacing w:after="0"/>
      <w:rPr>
        <w:i/>
        <w:color w:val="808080"/>
        <w:sz w:val="18"/>
        <w:szCs w:val="18"/>
      </w:rPr>
    </w:pPr>
  </w:p>
  <w:p w14:paraId="6CC46FC1" w14:textId="77777777" w:rsidR="00E41BC3" w:rsidRDefault="00E41BC3" w:rsidP="00ED2CCF">
    <w:pPr>
      <w:spacing w:after="0"/>
      <w:rPr>
        <w:i/>
        <w:color w:val="808080"/>
        <w:sz w:val="18"/>
        <w:szCs w:val="18"/>
      </w:rPr>
    </w:pPr>
  </w:p>
  <w:p w14:paraId="470030A1" w14:textId="0D158223" w:rsidR="00E41BC3" w:rsidRPr="001F14B8" w:rsidRDefault="00E41BC3" w:rsidP="001743C2">
    <w:pPr>
      <w:pStyle w:val="Headereven"/>
    </w:pPr>
    <w:r>
      <w:fldChar w:fldCharType="begin"/>
    </w:r>
    <w:r>
      <w:instrText xml:space="preserve"> REF _Ref477267822 \r \h  \* MERGEFORMAT </w:instrText>
    </w:r>
    <w:r>
      <w:fldChar w:fldCharType="separate"/>
    </w:r>
    <w:r>
      <w:t>6</w:t>
    </w:r>
    <w:r>
      <w:fldChar w:fldCharType="end"/>
    </w:r>
    <w:r>
      <w:t xml:space="preserve"> – </w:t>
    </w:r>
    <w:r>
      <w:fldChar w:fldCharType="begin"/>
    </w:r>
    <w:r>
      <w:instrText xml:space="preserve"> REF _Ref477267829 \h  \* MERGEFORMAT </w:instrText>
    </w:r>
    <w:r>
      <w:fldChar w:fldCharType="separate"/>
    </w:r>
    <w:r w:rsidRPr="009003E5">
      <w:t>Assessment of the current sewerage</w:t>
    </w:r>
    <w:r>
      <w:t xml:space="preserve"> services tariff structure</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DDDC6" w14:textId="77777777" w:rsidR="00E41BC3" w:rsidRDefault="00E41BC3" w:rsidP="00095B75">
    <w:pPr>
      <w:pStyle w:val="Header"/>
      <w:jc w:val="right"/>
    </w:pPr>
  </w:p>
  <w:p w14:paraId="4E41C27B" w14:textId="77777777" w:rsidR="00E41BC3" w:rsidRDefault="00E41BC3" w:rsidP="00095B75">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807B" w14:textId="77777777" w:rsidR="00E41BC3" w:rsidRDefault="00E41BC3" w:rsidP="000B5553">
    <w:pPr>
      <w:spacing w:after="0"/>
      <w:rPr>
        <w:i/>
        <w:color w:val="808080"/>
        <w:sz w:val="18"/>
        <w:szCs w:val="18"/>
      </w:rPr>
    </w:pPr>
  </w:p>
  <w:p w14:paraId="527BCC31" w14:textId="77777777" w:rsidR="00E41BC3" w:rsidRPr="001F14B8" w:rsidRDefault="00E41BC3" w:rsidP="000B5553">
    <w:pPr>
      <w:spacing w:after="0"/>
      <w:rPr>
        <w:i/>
        <w:color w:val="808080"/>
        <w:sz w:val="18"/>
        <w:szCs w:val="18"/>
      </w:rPr>
    </w:pPr>
  </w:p>
  <w:p w14:paraId="72556803" w14:textId="0D2E2560" w:rsidR="00E41BC3" w:rsidRDefault="00E41BC3" w:rsidP="000B5553">
    <w:pPr>
      <w:pStyle w:val="Oddheaderauthorname"/>
    </w:pPr>
    <w:r>
      <w:fldChar w:fldCharType="begin"/>
    </w:r>
    <w:r>
      <w:instrText xml:space="preserve"> REF _Ref477267822 \r \h  \* MERGEFORMAT </w:instrText>
    </w:r>
    <w:r>
      <w:fldChar w:fldCharType="separate"/>
    </w:r>
    <w:r>
      <w:t>6</w:t>
    </w:r>
    <w:r>
      <w:fldChar w:fldCharType="end"/>
    </w:r>
    <w:r>
      <w:rPr>
        <w:i w:val="0"/>
      </w:rPr>
      <w:t xml:space="preserve"> – </w:t>
    </w:r>
    <w:r>
      <w:fldChar w:fldCharType="begin"/>
    </w:r>
    <w:r>
      <w:instrText xml:space="preserve"> REF _Ref477267829 \h  \* MERGEFORMAT </w:instrText>
    </w:r>
    <w:r>
      <w:fldChar w:fldCharType="separate"/>
    </w:r>
    <w:r>
      <w:t>Assessment of the current sewerage services tariff structure</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304D" w14:textId="77777777" w:rsidR="00E41BC3" w:rsidRDefault="00E41BC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3A9A8" w14:textId="77777777" w:rsidR="00E41BC3" w:rsidRDefault="00E41BC3" w:rsidP="00ED2CCF">
    <w:pPr>
      <w:spacing w:after="0"/>
      <w:rPr>
        <w:i/>
        <w:color w:val="808080"/>
        <w:sz w:val="18"/>
        <w:szCs w:val="18"/>
      </w:rPr>
    </w:pPr>
  </w:p>
  <w:p w14:paraId="5080710A" w14:textId="77777777" w:rsidR="00E41BC3" w:rsidRDefault="00E41BC3" w:rsidP="00ED2CCF">
    <w:pPr>
      <w:spacing w:after="0"/>
      <w:rPr>
        <w:i/>
        <w:color w:val="808080"/>
        <w:sz w:val="18"/>
        <w:szCs w:val="18"/>
      </w:rPr>
    </w:pPr>
  </w:p>
  <w:p w14:paraId="6A7D72C2" w14:textId="78E7D7D8" w:rsidR="00E41BC3" w:rsidRDefault="00E41BC3" w:rsidP="00F73FC3">
    <w:pPr>
      <w:pStyle w:val="Headereven"/>
    </w:pPr>
    <w:r>
      <w:fldChar w:fldCharType="begin"/>
    </w:r>
    <w:r>
      <w:instrText xml:space="preserve"> REF _Ref477267966 \r \h  \* MERGEFORMAT </w:instrText>
    </w:r>
    <w:r>
      <w:fldChar w:fldCharType="separate"/>
    </w:r>
    <w:r>
      <w:t>7</w:t>
    </w:r>
    <w:r>
      <w:fldChar w:fldCharType="end"/>
    </w:r>
    <w:r>
      <w:t xml:space="preserve"> – Next steps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42CF1" w14:textId="77777777" w:rsidR="00E41BC3" w:rsidRDefault="00E41BC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71259" w14:textId="77777777" w:rsidR="00E41BC3" w:rsidRDefault="00E41BC3" w:rsidP="00ED2CCF">
    <w:pPr>
      <w:spacing w:after="0"/>
      <w:rPr>
        <w:i/>
        <w:color w:val="808080"/>
        <w:sz w:val="18"/>
        <w:szCs w:val="18"/>
      </w:rPr>
    </w:pPr>
  </w:p>
  <w:p w14:paraId="3E278FC3" w14:textId="77777777" w:rsidR="00E41BC3" w:rsidRDefault="00E41BC3" w:rsidP="00ED2CCF">
    <w:pPr>
      <w:spacing w:after="0"/>
      <w:rPr>
        <w:i/>
        <w:color w:val="808080"/>
        <w:sz w:val="18"/>
        <w:szCs w:val="18"/>
      </w:rPr>
    </w:pPr>
  </w:p>
  <w:p w14:paraId="0EC304DC" w14:textId="77777777" w:rsidR="00E41BC3" w:rsidRDefault="00E41BC3" w:rsidP="00ED2CCF">
    <w:pPr>
      <w:spacing w:after="0"/>
      <w:rPr>
        <w:i/>
        <w:color w:val="808080"/>
        <w:sz w:val="18"/>
        <w:szCs w:val="18"/>
      </w:rPr>
    </w:pPr>
    <w:r>
      <w:rPr>
        <w:i/>
        <w:color w:val="808080"/>
        <w:sz w:val="18"/>
        <w:szCs w:val="18"/>
      </w:rPr>
      <w:t>Appendix 1 – Summary of submissions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0EBB1" w14:textId="77777777" w:rsidR="00E41BC3" w:rsidRDefault="00E41BC3" w:rsidP="008964EA">
    <w:pPr>
      <w:spacing w:after="0"/>
      <w:jc w:val="right"/>
      <w:rPr>
        <w:i/>
        <w:color w:val="808080"/>
        <w:sz w:val="18"/>
        <w:szCs w:val="18"/>
      </w:rPr>
    </w:pPr>
  </w:p>
  <w:p w14:paraId="2E8ED5C5" w14:textId="77777777" w:rsidR="00E41BC3" w:rsidRDefault="00E41BC3" w:rsidP="008964EA">
    <w:pPr>
      <w:spacing w:after="0"/>
      <w:jc w:val="right"/>
      <w:rPr>
        <w:i/>
        <w:color w:val="808080"/>
        <w:sz w:val="18"/>
        <w:szCs w:val="18"/>
      </w:rPr>
    </w:pPr>
  </w:p>
  <w:p w14:paraId="38ABB2B2" w14:textId="77777777" w:rsidR="00E41BC3" w:rsidRDefault="00E41BC3" w:rsidP="008964EA">
    <w:pPr>
      <w:spacing w:after="0"/>
      <w:jc w:val="right"/>
      <w:rPr>
        <w:i/>
        <w:color w:val="808080"/>
        <w:sz w:val="18"/>
        <w:szCs w:val="18"/>
      </w:rPr>
    </w:pPr>
    <w:r>
      <w:rPr>
        <w:i/>
        <w:color w:val="808080"/>
        <w:sz w:val="18"/>
        <w:szCs w:val="18"/>
      </w:rPr>
      <w:t>Appendix 1 – Summary of submissions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4791" w14:textId="77777777" w:rsidR="00E41BC3" w:rsidRDefault="00E41BC3"/>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B489" w14:textId="77777777" w:rsidR="00E41BC3" w:rsidRDefault="00E41BC3" w:rsidP="008964EA">
    <w:pPr>
      <w:spacing w:after="0"/>
      <w:jc w:val="right"/>
      <w:rPr>
        <w:i/>
        <w:color w:val="808080"/>
        <w:sz w:val="18"/>
        <w:szCs w:val="18"/>
      </w:rPr>
    </w:pPr>
  </w:p>
  <w:p w14:paraId="3A03E887" w14:textId="77777777" w:rsidR="00E41BC3" w:rsidRDefault="00E41BC3" w:rsidP="008964EA">
    <w:pPr>
      <w:spacing w:after="0"/>
      <w:jc w:val="right"/>
      <w:rPr>
        <w:i/>
        <w:color w:val="808080"/>
        <w:sz w:val="18"/>
        <w:szCs w:val="18"/>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A168" w14:textId="77777777" w:rsidR="00E41BC3" w:rsidRDefault="00E41BC3" w:rsidP="00ED2CCF">
    <w:pPr>
      <w:spacing w:after="0"/>
      <w:rPr>
        <w:i/>
        <w:color w:val="808080"/>
        <w:sz w:val="18"/>
        <w:szCs w:val="18"/>
      </w:rPr>
    </w:pPr>
  </w:p>
  <w:p w14:paraId="1B1FF624" w14:textId="77777777" w:rsidR="00E41BC3" w:rsidRDefault="00E41BC3" w:rsidP="00ED2CCF">
    <w:pPr>
      <w:spacing w:after="0"/>
      <w:rPr>
        <w:i/>
        <w:color w:val="808080"/>
        <w:sz w:val="18"/>
        <w:szCs w:val="18"/>
      </w:rPr>
    </w:pPr>
  </w:p>
  <w:p w14:paraId="6D180E22" w14:textId="2E86D016" w:rsidR="00E41BC3" w:rsidRDefault="00E41BC3" w:rsidP="00D10789">
    <w:pPr>
      <w:pStyle w:val="Headereven"/>
    </w:pPr>
    <w:r>
      <w:fldChar w:fldCharType="begin"/>
    </w:r>
    <w:r>
      <w:instrText xml:space="preserve"> REF _Ref456688407 \r \h  \* MERGEFORMAT </w:instrText>
    </w:r>
    <w:r>
      <w:fldChar w:fldCharType="separate"/>
    </w:r>
    <w:r>
      <w:t>Appendix 2</w:t>
    </w:r>
    <w:r>
      <w:fldChar w:fldCharType="end"/>
    </w:r>
    <w:r>
      <w:t xml:space="preserve"> – </w:t>
    </w:r>
    <w:r>
      <w:fldChar w:fldCharType="begin"/>
    </w:r>
    <w:r>
      <w:instrText xml:space="preserve"> REF _Ref456688407 \h  \* MERGEFORMAT </w:instrText>
    </w:r>
    <w:r>
      <w:fldChar w:fldCharType="separate"/>
    </w:r>
    <w:r>
      <w:t>National water initiative pricing principles</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1DC74" w14:textId="77777777" w:rsidR="00E41BC3" w:rsidRDefault="00E41BC3" w:rsidP="008964EA">
    <w:pPr>
      <w:spacing w:after="0"/>
      <w:jc w:val="right"/>
      <w:rPr>
        <w:i/>
        <w:color w:val="808080"/>
        <w:sz w:val="18"/>
        <w:szCs w:val="18"/>
      </w:rPr>
    </w:pPr>
  </w:p>
  <w:p w14:paraId="32C34D5F" w14:textId="77777777" w:rsidR="00E41BC3" w:rsidRDefault="00E41BC3" w:rsidP="008964EA">
    <w:pPr>
      <w:spacing w:after="0"/>
      <w:jc w:val="right"/>
      <w:rPr>
        <w:i/>
        <w:color w:val="808080"/>
        <w:sz w:val="18"/>
        <w:szCs w:val="18"/>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6721" w14:textId="77777777" w:rsidR="00E41BC3" w:rsidRDefault="00E41BC3" w:rsidP="00ED2CCF">
    <w:pPr>
      <w:spacing w:after="0"/>
      <w:rPr>
        <w:i/>
        <w:color w:val="808080"/>
        <w:sz w:val="18"/>
        <w:szCs w:val="18"/>
      </w:rPr>
    </w:pPr>
  </w:p>
  <w:p w14:paraId="4D674477" w14:textId="77777777" w:rsidR="00E41BC3" w:rsidRDefault="00E41BC3" w:rsidP="00ED2CCF">
    <w:pPr>
      <w:spacing w:after="0"/>
      <w:rPr>
        <w:i/>
        <w:color w:val="808080"/>
        <w:sz w:val="18"/>
        <w:szCs w:val="18"/>
      </w:rPr>
    </w:pPr>
  </w:p>
  <w:p w14:paraId="0DBA5D3A" w14:textId="3B46FD3A" w:rsidR="00E41BC3" w:rsidRDefault="00E41BC3" w:rsidP="00ED2CCF">
    <w:pPr>
      <w:spacing w:after="0"/>
      <w:rPr>
        <w:i/>
        <w:color w:val="808080"/>
        <w:sz w:val="18"/>
        <w:szCs w:val="18"/>
      </w:rPr>
    </w:pPr>
    <w:r>
      <w:fldChar w:fldCharType="begin"/>
    </w:r>
    <w:r>
      <w:instrText xml:space="preserve"> REF _Ref477268465 \r \h  \* MERGEFORMAT </w:instrText>
    </w:r>
    <w:r>
      <w:fldChar w:fldCharType="separate"/>
    </w:r>
    <w:r>
      <w:rPr>
        <w:i/>
        <w:color w:val="808080"/>
        <w:sz w:val="18"/>
        <w:szCs w:val="18"/>
      </w:rPr>
      <w:t xml:space="preserve">Appendix </w:t>
    </w:r>
    <w:r>
      <w:fldChar w:fldCharType="end"/>
    </w:r>
    <w:r>
      <w:rPr>
        <w:i/>
        <w:color w:val="808080"/>
        <w:sz w:val="18"/>
        <w:szCs w:val="18"/>
      </w:rPr>
      <w:t xml:space="preserve">3 – </w:t>
    </w:r>
    <w:r>
      <w:fldChar w:fldCharType="begin"/>
    </w:r>
    <w:r>
      <w:instrText xml:space="preserve"> REF _Ref459984914 \h  \* MERGEFORMAT </w:instrText>
    </w:r>
    <w:r>
      <w:fldChar w:fldCharType="separate"/>
    </w:r>
    <w:r w:rsidRPr="0021253C">
      <w:rPr>
        <w:i/>
        <w:color w:val="808080"/>
        <w:sz w:val="18"/>
        <w:szCs w:val="18"/>
      </w:rPr>
      <w:t>Water tariffs in other jurisdictions</w:t>
    </w:r>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A5C88" w14:textId="77777777" w:rsidR="00E41BC3" w:rsidRDefault="00E41BC3" w:rsidP="008964EA">
    <w:pPr>
      <w:spacing w:after="0"/>
      <w:jc w:val="right"/>
      <w:rPr>
        <w:i/>
        <w:color w:val="808080"/>
        <w:sz w:val="18"/>
        <w:szCs w:val="18"/>
      </w:rPr>
    </w:pPr>
  </w:p>
  <w:p w14:paraId="36CCCB23" w14:textId="77777777" w:rsidR="00E41BC3" w:rsidRDefault="00E41BC3" w:rsidP="008964EA">
    <w:pPr>
      <w:spacing w:after="0"/>
      <w:jc w:val="right"/>
      <w:rPr>
        <w:i/>
        <w:color w:val="808080"/>
        <w:sz w:val="18"/>
        <w:szCs w:val="18"/>
      </w:rPr>
    </w:pPr>
  </w:p>
  <w:p w14:paraId="6999CF9C" w14:textId="77777777" w:rsidR="00E41BC3" w:rsidRDefault="00E41BC3" w:rsidP="008964EA">
    <w:pPr>
      <w:spacing w:after="0"/>
      <w:jc w:val="right"/>
      <w:rPr>
        <w:i/>
        <w:color w:val="808080"/>
        <w:sz w:val="18"/>
        <w:szCs w:val="18"/>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CC8F5" w14:textId="77777777" w:rsidR="00E41BC3" w:rsidRDefault="00E41BC3" w:rsidP="00ED2CCF">
    <w:pPr>
      <w:spacing w:after="0"/>
      <w:rPr>
        <w:i/>
        <w:color w:val="808080"/>
        <w:sz w:val="18"/>
        <w:szCs w:val="18"/>
      </w:rPr>
    </w:pPr>
  </w:p>
  <w:p w14:paraId="0B062BE2" w14:textId="77777777" w:rsidR="00E41BC3" w:rsidRDefault="00E41BC3" w:rsidP="00ED2CCF">
    <w:pPr>
      <w:spacing w:after="0"/>
      <w:rPr>
        <w:i/>
        <w:color w:val="808080"/>
        <w:sz w:val="18"/>
        <w:szCs w:val="18"/>
      </w:rPr>
    </w:pPr>
  </w:p>
  <w:p w14:paraId="06CE3E85" w14:textId="13F6E667" w:rsidR="00E41BC3" w:rsidRDefault="00E41BC3" w:rsidP="00ED2CCF">
    <w:pPr>
      <w:spacing w:after="0"/>
      <w:rPr>
        <w:i/>
        <w:color w:val="808080"/>
        <w:sz w:val="18"/>
        <w:szCs w:val="18"/>
      </w:rPr>
    </w:pPr>
    <w:r>
      <w:fldChar w:fldCharType="begin"/>
    </w:r>
    <w:r>
      <w:instrText xml:space="preserve"> REF _Ref477268465 \r \h  \* MERGEFORMAT </w:instrText>
    </w:r>
    <w:r>
      <w:fldChar w:fldCharType="separate"/>
    </w:r>
    <w:r>
      <w:rPr>
        <w:i/>
        <w:color w:val="808080"/>
        <w:sz w:val="18"/>
        <w:szCs w:val="18"/>
      </w:rPr>
      <w:t xml:space="preserve">Appendix </w:t>
    </w:r>
    <w:r>
      <w:fldChar w:fldCharType="end"/>
    </w:r>
    <w:r>
      <w:rPr>
        <w:i/>
        <w:color w:val="808080"/>
        <w:sz w:val="18"/>
        <w:szCs w:val="18"/>
      </w:rPr>
      <w:t xml:space="preserve">4 – </w:t>
    </w:r>
    <w:r>
      <w:fldChar w:fldCharType="begin"/>
    </w:r>
    <w:r>
      <w:instrText xml:space="preserve"> REF _Ref477269252 \h  \* MERGEFORMAT </w:instrText>
    </w:r>
    <w:r>
      <w:fldChar w:fldCharType="separate"/>
    </w:r>
    <w:r w:rsidRPr="004050E4">
      <w:rPr>
        <w:i/>
        <w:color w:val="808080"/>
        <w:sz w:val="18"/>
        <w:szCs w:val="18"/>
      </w:rPr>
      <w:t>Short-run marginal cost or long-run marginal cost as the marginal usage charge</w:t>
    </w:r>
    <w: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AE4BE" w14:textId="77777777" w:rsidR="00E41BC3" w:rsidRDefault="00E41BC3" w:rsidP="008964EA">
    <w:pPr>
      <w:spacing w:after="0"/>
      <w:jc w:val="right"/>
      <w:rPr>
        <w:i/>
        <w:color w:val="808080"/>
        <w:sz w:val="18"/>
        <w:szCs w:val="18"/>
      </w:rPr>
    </w:pPr>
  </w:p>
  <w:p w14:paraId="6D961434" w14:textId="77777777" w:rsidR="00E41BC3" w:rsidRDefault="00E41BC3" w:rsidP="008964EA">
    <w:pPr>
      <w:spacing w:after="0"/>
      <w:jc w:val="right"/>
      <w:rPr>
        <w:i/>
        <w:color w:val="808080"/>
        <w:sz w:val="18"/>
        <w:szCs w:val="18"/>
      </w:rPr>
    </w:pPr>
  </w:p>
  <w:p w14:paraId="3191FE29" w14:textId="1E803986" w:rsidR="00E41BC3" w:rsidRDefault="00E41BC3" w:rsidP="008964EA">
    <w:pPr>
      <w:spacing w:after="0"/>
      <w:jc w:val="right"/>
      <w:rPr>
        <w:i/>
        <w:color w:val="808080"/>
        <w:sz w:val="18"/>
        <w:szCs w:val="18"/>
      </w:rPr>
    </w:pPr>
    <w:r>
      <w:fldChar w:fldCharType="begin"/>
    </w:r>
    <w:r>
      <w:instrText xml:space="preserve"> REF _Ref477269299 \r \h  \* MERGEFORMAT </w:instrText>
    </w:r>
    <w:r>
      <w:fldChar w:fldCharType="separate"/>
    </w:r>
    <w:r>
      <w:rPr>
        <w:i/>
        <w:color w:val="808080"/>
        <w:sz w:val="18"/>
        <w:szCs w:val="18"/>
      </w:rPr>
      <w:t>Appendix 4</w:t>
    </w:r>
    <w:r>
      <w:fldChar w:fldCharType="end"/>
    </w:r>
    <w:r>
      <w:rPr>
        <w:i/>
        <w:color w:val="808080"/>
        <w:sz w:val="18"/>
        <w:szCs w:val="18"/>
      </w:rPr>
      <w:t xml:space="preserve"> – </w:t>
    </w:r>
    <w:r>
      <w:fldChar w:fldCharType="begin"/>
    </w:r>
    <w:r>
      <w:instrText xml:space="preserve"> REF _Ref477269307 \h  \* MERGEFORMAT </w:instrText>
    </w:r>
    <w:r>
      <w:fldChar w:fldCharType="separate"/>
    </w:r>
    <w:r w:rsidRPr="004050E4">
      <w:rPr>
        <w:i/>
        <w:color w:val="808080"/>
        <w:sz w:val="18"/>
        <w:szCs w:val="18"/>
      </w:rPr>
      <w:t>Short-run marginal cost or long-run marginal cost as the marginal usage charge</w:t>
    </w:r>
    <w: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8834C" w14:textId="77777777" w:rsidR="00E41BC3" w:rsidRDefault="00E41BC3" w:rsidP="008964EA">
    <w:pPr>
      <w:spacing w:after="0"/>
      <w:jc w:val="right"/>
      <w:rPr>
        <w:i/>
        <w:color w:val="808080"/>
        <w:sz w:val="18"/>
        <w:szCs w:val="18"/>
      </w:rPr>
    </w:pPr>
  </w:p>
  <w:p w14:paraId="7F81E321" w14:textId="77777777" w:rsidR="00E41BC3" w:rsidRDefault="00E41BC3" w:rsidP="008964EA">
    <w:pPr>
      <w:spacing w:after="0"/>
      <w:jc w:val="right"/>
      <w:rPr>
        <w:i/>
        <w:color w:val="808080"/>
        <w:sz w:val="18"/>
        <w:szCs w:val="18"/>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634AE" w14:textId="77777777" w:rsidR="00E41BC3" w:rsidRDefault="00E41BC3" w:rsidP="00D641A8">
    <w:pPr>
      <w:spacing w:after="0"/>
    </w:pPr>
  </w:p>
  <w:p w14:paraId="352FEB5A" w14:textId="77777777" w:rsidR="00E41BC3" w:rsidRDefault="00E41BC3" w:rsidP="00D641A8">
    <w:pPr>
      <w:spacing w:after="0"/>
    </w:pPr>
  </w:p>
  <w:p w14:paraId="0A64A428" w14:textId="77777777" w:rsidR="00E41BC3" w:rsidRDefault="00E41BC3" w:rsidP="00D641A8">
    <w:pPr>
      <w:spacing w:after="0"/>
    </w:pPr>
  </w:p>
  <w:p w14:paraId="51FA3872" w14:textId="77777777" w:rsidR="00E41BC3" w:rsidRPr="00E67D26" w:rsidRDefault="00E41BC3" w:rsidP="00034E5E">
    <w:pPr>
      <w:pStyle w:val="Headereven"/>
    </w:pPr>
    <w:r>
      <w:fldChar w:fldCharType="begin"/>
    </w:r>
    <w:r>
      <w:instrText xml:space="preserve"> REF References \h </w:instrText>
    </w:r>
    <w:r>
      <w:fldChar w:fldCharType="separate"/>
    </w:r>
    <w:r>
      <w:rPr>
        <w:b/>
        <w:bCs/>
        <w:lang w:val="en-US"/>
      </w:rPr>
      <w:t>Error! Reference source not found.</w:t>
    </w:r>
    <w: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A203C" w14:textId="77777777" w:rsidR="00E41BC3" w:rsidRDefault="00E41BC3" w:rsidP="00D641A8">
    <w:pPr>
      <w:spacing w:after="0"/>
      <w:jc w:val="right"/>
    </w:pPr>
  </w:p>
  <w:p w14:paraId="6D7374F0" w14:textId="77777777" w:rsidR="00E41BC3" w:rsidRDefault="00E41BC3" w:rsidP="00D641A8">
    <w:pPr>
      <w:spacing w:after="0"/>
      <w:jc w:val="right"/>
    </w:pPr>
  </w:p>
  <w:p w14:paraId="0159FE8C" w14:textId="77777777" w:rsidR="00E41BC3" w:rsidRDefault="00E41BC3" w:rsidP="00D641A8">
    <w:pPr>
      <w:spacing w:after="0"/>
      <w:jc w:val="right"/>
    </w:pPr>
  </w:p>
  <w:p w14:paraId="7486EEF0" w14:textId="77777777" w:rsidR="00E41BC3" w:rsidRDefault="00E41BC3" w:rsidP="003C49C5">
    <w:pPr>
      <w:pStyle w:val="Headerodd"/>
    </w:pPr>
  </w:p>
  <w:p w14:paraId="77896239" w14:textId="77777777" w:rsidR="00E41BC3" w:rsidRDefault="00E41BC3" w:rsidP="00E42FAB">
    <w:pPr>
      <w:pStyle w:val="Headerod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3E09E" w14:textId="77777777" w:rsidR="00E41BC3" w:rsidRPr="00E42160" w:rsidRDefault="00E41BC3" w:rsidP="00E42160"/>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4ED8" w14:textId="77777777" w:rsidR="00E41BC3" w:rsidRDefault="00E41BC3">
    <w:pPr>
      <w:pStyle w:val="Headereven"/>
    </w:pPr>
  </w:p>
  <w:p w14:paraId="4DB26373" w14:textId="77777777" w:rsidR="00E41BC3" w:rsidRDefault="00E41BC3">
    <w:pPr>
      <w:pStyle w:val="Headereven"/>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30270" w14:textId="77777777" w:rsidR="00E41BC3" w:rsidRDefault="00E41BC3" w:rsidP="00F922F1">
    <w:pPr>
      <w:pStyle w:val="Headerodd"/>
    </w:pPr>
  </w:p>
  <w:p w14:paraId="7A718728" w14:textId="77777777" w:rsidR="00E41BC3" w:rsidRDefault="00E41BC3" w:rsidP="00F922F1">
    <w:pPr>
      <w:pStyle w:val="Headerodd"/>
    </w:pPr>
  </w:p>
  <w:p w14:paraId="705B0F20" w14:textId="77777777" w:rsidR="00E41BC3" w:rsidRDefault="00E41BC3" w:rsidP="00F922F1">
    <w:pPr>
      <w:pStyle w:val="Headerod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84477" w14:textId="2AA0E889" w:rsidR="00E41BC3" w:rsidRDefault="00E41BC3">
    <w:r>
      <w:rPr>
        <w:noProof/>
        <w:lang w:val="en-AU" w:eastAsia="en-AU"/>
      </w:rPr>
      <w:drawing>
        <wp:anchor distT="0" distB="0" distL="114300" distR="114300" simplePos="0" relativeHeight="251651072" behindDoc="1" locked="0" layoutInCell="0" allowOverlap="1" wp14:anchorId="0DC4B60D" wp14:editId="3F408E53">
          <wp:simplePos x="0" y="0"/>
          <wp:positionH relativeFrom="margin">
            <wp:align>center</wp:align>
          </wp:positionH>
          <wp:positionV relativeFrom="margin">
            <wp:align>center</wp:align>
          </wp:positionV>
          <wp:extent cx="5287010" cy="8414385"/>
          <wp:effectExtent l="0" t="0" r="8890" b="5715"/>
          <wp:wrapNone/>
          <wp:docPr id="1" name="Picture 57" descr="Description: Description: 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ICRC_reports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7010" cy="8414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013B7" w14:textId="77777777" w:rsidR="00E41BC3" w:rsidRDefault="00E41BC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F62C2" w14:textId="77777777" w:rsidR="00E41BC3" w:rsidRPr="00E42160" w:rsidRDefault="00E41BC3" w:rsidP="00E421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E195E" w14:textId="77777777" w:rsidR="00E41BC3" w:rsidRDefault="00E41B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F9E56BC"/>
    <w:lvl w:ilvl="0">
      <w:numFmt w:val="decimal"/>
      <w:pStyle w:val="QuoteBullet"/>
      <w:lvlText w:val="*"/>
      <w:lvlJc w:val="left"/>
      <w:rPr>
        <w:rFonts w:cs="Times New Roman"/>
      </w:rPr>
    </w:lvl>
  </w:abstractNum>
  <w:abstractNum w:abstractNumId="2" w15:restartNumberingAfterBreak="0">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FB25ED"/>
    <w:multiLevelType w:val="hybridMultilevel"/>
    <w:tmpl w:val="464E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22AB6"/>
    <w:multiLevelType w:val="hybridMultilevel"/>
    <w:tmpl w:val="797AB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35A20"/>
    <w:multiLevelType w:val="hybridMultilevel"/>
    <w:tmpl w:val="8960AD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360639"/>
    <w:multiLevelType w:val="hybridMultilevel"/>
    <w:tmpl w:val="CDA6D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E66432"/>
    <w:multiLevelType w:val="hybridMultilevel"/>
    <w:tmpl w:val="431AC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1C4BE3"/>
    <w:multiLevelType w:val="hybridMultilevel"/>
    <w:tmpl w:val="28D6EEFE"/>
    <w:lvl w:ilvl="0" w:tplc="0C128B44">
      <w:start w:val="1"/>
      <w:numFmt w:val="lowerLetter"/>
      <w:pStyle w:val="QuoteList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1E3609"/>
    <w:multiLevelType w:val="multilevel"/>
    <w:tmpl w:val="F8FC608C"/>
    <w:lvl w:ilvl="0">
      <w:start w:val="1"/>
      <w:numFmt w:val="bullet"/>
      <w:lvlText w:val=""/>
      <w:lvlJc w:val="left"/>
      <w:pPr>
        <w:ind w:left="680" w:hanging="396"/>
      </w:pPr>
      <w:rPr>
        <w:rFonts w:ascii="Symbol" w:hAnsi="Symbol"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0" w15:restartNumberingAfterBreak="0">
    <w:nsid w:val="30C52FB6"/>
    <w:multiLevelType w:val="hybridMultilevel"/>
    <w:tmpl w:val="238067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F2544A"/>
    <w:multiLevelType w:val="multilevel"/>
    <w:tmpl w:val="F8FC608C"/>
    <w:lvl w:ilvl="0">
      <w:start w:val="1"/>
      <w:numFmt w:val="bullet"/>
      <w:lvlText w:val=""/>
      <w:lvlJc w:val="left"/>
      <w:pPr>
        <w:ind w:left="680" w:hanging="396"/>
      </w:pPr>
      <w:rPr>
        <w:rFonts w:ascii="Symbol" w:hAnsi="Symbol"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3DA94C11"/>
    <w:multiLevelType w:val="multilevel"/>
    <w:tmpl w:val="F8FC608C"/>
    <w:lvl w:ilvl="0">
      <w:start w:val="1"/>
      <w:numFmt w:val="bullet"/>
      <w:lvlText w:val=""/>
      <w:lvlJc w:val="left"/>
      <w:pPr>
        <w:ind w:left="680" w:hanging="396"/>
      </w:pPr>
      <w:rPr>
        <w:rFonts w:ascii="Symbol" w:hAnsi="Symbol"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3DF06DED"/>
    <w:multiLevelType w:val="hybridMultilevel"/>
    <w:tmpl w:val="DDC6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C06547"/>
    <w:multiLevelType w:val="hybridMultilevel"/>
    <w:tmpl w:val="48DEF070"/>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5" w15:restartNumberingAfterBreak="0">
    <w:nsid w:val="493B1461"/>
    <w:multiLevelType w:val="hybridMultilevel"/>
    <w:tmpl w:val="1794FE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CF2B83"/>
    <w:multiLevelType w:val="multilevel"/>
    <w:tmpl w:val="DDCA09A2"/>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5125"/>
        </w:tabs>
        <w:ind w:left="4405"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4DF456F3"/>
    <w:multiLevelType w:val="hybridMultilevel"/>
    <w:tmpl w:val="C4E4D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C589C"/>
    <w:multiLevelType w:val="multilevel"/>
    <w:tmpl w:val="261A0C00"/>
    <w:lvl w:ilvl="0">
      <w:start w:val="2"/>
      <w:numFmt w:val="decimal"/>
      <w:lvlText w:val="Appendix %1"/>
      <w:lvlJc w:val="left"/>
      <w:pPr>
        <w:ind w:left="4677" w:hanging="2693"/>
      </w:pPr>
      <w:rPr>
        <w:rFonts w:hint="default"/>
      </w:rPr>
    </w:lvl>
    <w:lvl w:ilvl="1">
      <w:start w:val="1"/>
      <w:numFmt w:val="decimal"/>
      <w:lvlText w:val="A%1.%2"/>
      <w:lvlJc w:val="left"/>
      <w:pPr>
        <w:ind w:left="907" w:hanging="907"/>
      </w:pPr>
      <w:rPr>
        <w:rFonts w:cs="Times New Roman" w:hint="default"/>
        <w:bCs w:val="0"/>
        <w:i w:val="0"/>
        <w:iCs w:val="0"/>
        <w:caps w:val="0"/>
        <w:smallCaps w:val="0"/>
        <w:strike w:val="0"/>
        <w:dstrike w:val="0"/>
        <w:noProof w:val="0"/>
        <w:vanish w:val="0"/>
        <w:color w:val="000000"/>
        <w:spacing w:val="0"/>
        <w:position w:val="0"/>
        <w:u w:val="none"/>
        <w:vertAlign w:val="baseline"/>
        <w:em w:val="none"/>
      </w:rPr>
    </w:lvl>
    <w:lvl w:ilvl="2">
      <w:start w:val="1"/>
      <w:numFmt w:val="decimal"/>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9" w15:restartNumberingAfterBreak="0">
    <w:nsid w:val="56F41838"/>
    <w:multiLevelType w:val="multilevel"/>
    <w:tmpl w:val="F8FC608C"/>
    <w:lvl w:ilvl="0">
      <w:start w:val="1"/>
      <w:numFmt w:val="bullet"/>
      <w:lvlText w:val=""/>
      <w:lvlJc w:val="left"/>
      <w:pPr>
        <w:ind w:left="680" w:hanging="396"/>
      </w:pPr>
      <w:rPr>
        <w:rFonts w:ascii="Symbol" w:hAnsi="Symbol"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5A565032"/>
    <w:multiLevelType w:val="multilevel"/>
    <w:tmpl w:val="C72EB762"/>
    <w:lvl w:ilvl="0">
      <w:start w:val="1"/>
      <w:numFmt w:val="lowerLetter"/>
      <w:lvlText w:val="(%1)"/>
      <w:lvlJc w:val="left"/>
      <w:pPr>
        <w:ind w:left="680" w:hanging="396"/>
      </w:pPr>
      <w:rPr>
        <w:rFonts w:hint="default"/>
        <w:b w:val="0"/>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1" w15:restartNumberingAfterBreak="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1A127F"/>
    <w:multiLevelType w:val="hybridMultilevel"/>
    <w:tmpl w:val="82F09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AB11EF"/>
    <w:multiLevelType w:val="multilevel"/>
    <w:tmpl w:val="F8FC608C"/>
    <w:lvl w:ilvl="0">
      <w:start w:val="1"/>
      <w:numFmt w:val="bullet"/>
      <w:lvlText w:val=""/>
      <w:lvlJc w:val="left"/>
      <w:pPr>
        <w:ind w:left="680" w:hanging="396"/>
      </w:pPr>
      <w:rPr>
        <w:rFonts w:ascii="Symbol" w:hAnsi="Symbol" w:hint="default"/>
        <w:b/>
        <w:i w:val="0"/>
        <w:color w:val="auto"/>
        <w:sz w:val="22"/>
      </w:rPr>
    </w:lvl>
    <w:lvl w:ilvl="1">
      <w:start w:val="1"/>
      <w:numFmt w:val="bullet"/>
      <w:lvlText w:val=""/>
      <w:lvlJc w:val="left"/>
      <w:pPr>
        <w:ind w:left="1701" w:hanging="624"/>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4" w15:restartNumberingAfterBreak="0">
    <w:nsid w:val="6ABC7145"/>
    <w:multiLevelType w:val="hybridMultilevel"/>
    <w:tmpl w:val="9BBC0144"/>
    <w:lvl w:ilvl="0" w:tplc="E1D40B88">
      <w:start w:val="1"/>
      <w:numFmt w:val="decimal"/>
      <w:pStyle w:val="ListNumber"/>
      <w:lvlText w:val="%1."/>
      <w:lvlJc w:val="left"/>
      <w:pPr>
        <w:tabs>
          <w:tab w:val="num" w:pos="360"/>
        </w:tabs>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9BD0C96"/>
    <w:multiLevelType w:val="hybridMultilevel"/>
    <w:tmpl w:val="21E49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3">
    <w:abstractNumId w:val="2"/>
  </w:num>
  <w:num w:numId="4">
    <w:abstractNumId w:val="14"/>
  </w:num>
  <w:num w:numId="5">
    <w:abstractNumId w:val="18"/>
  </w:num>
  <w:num w:numId="6">
    <w:abstractNumId w:val="16"/>
  </w:num>
  <w:num w:numId="7">
    <w:abstractNumId w:val="0"/>
  </w:num>
  <w:num w:numId="8">
    <w:abstractNumId w:val="25"/>
  </w:num>
  <w:num w:numId="9">
    <w:abstractNumId w:val="24"/>
  </w:num>
  <w:num w:numId="10">
    <w:abstractNumId w:val="27"/>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4"/>
  </w:num>
  <w:num w:numId="14">
    <w:abstractNumId w:val="7"/>
  </w:num>
  <w:num w:numId="15">
    <w:abstractNumId w:val="20"/>
  </w:num>
  <w:num w:numId="16">
    <w:abstractNumId w:val="6"/>
  </w:num>
  <w:num w:numId="17">
    <w:abstractNumId w:val="17"/>
  </w:num>
  <w:num w:numId="18">
    <w:abstractNumId w:val="3"/>
  </w:num>
  <w:num w:numId="19">
    <w:abstractNumId w:val="26"/>
  </w:num>
  <w:num w:numId="20">
    <w:abstractNumId w:val="22"/>
  </w:num>
  <w:num w:numId="21">
    <w:abstractNumId w:val="13"/>
  </w:num>
  <w:num w:numId="22">
    <w:abstractNumId w:val="15"/>
  </w:num>
  <w:num w:numId="23">
    <w:abstractNumId w:val="5"/>
  </w:num>
  <w:num w:numId="24">
    <w:abstractNumId w:val="10"/>
  </w:num>
  <w:num w:numId="25">
    <w:abstractNumId w:val="14"/>
  </w:num>
  <w:num w:numId="26">
    <w:abstractNumId w:val="12"/>
  </w:num>
  <w:num w:numId="27">
    <w:abstractNumId w:val="9"/>
  </w:num>
  <w:num w:numId="28">
    <w:abstractNumId w:val="11"/>
  </w:num>
  <w:num w:numId="29">
    <w:abstractNumId w:val="19"/>
  </w:num>
  <w:num w:numId="30">
    <w:abstractNumId w:val="8"/>
  </w:num>
  <w:num w:numId="31">
    <w:abstractNumId w:val="8"/>
    <w:lvlOverride w:ilvl="0">
      <w:startOverride w:val="1"/>
    </w:lvlOverride>
  </w:num>
  <w:num w:numId="3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proofState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revisionView w:markup="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051"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xfx5d9ss0wzred9wbpa5e4zwfrepsaw0v9&quot;&gt;Jayanthi EndNote Library&lt;record-ids&gt;&lt;item&gt;141&lt;/item&gt;&lt;item&gt;443&lt;/item&gt;&lt;item&gt;459&lt;/item&gt;&lt;item&gt;461&lt;/item&gt;&lt;item&gt;481&lt;/item&gt;&lt;item&gt;490&lt;/item&gt;&lt;item&gt;571&lt;/item&gt;&lt;item&gt;623&lt;/item&gt;&lt;item&gt;626&lt;/item&gt;&lt;item&gt;629&lt;/item&gt;&lt;item&gt;641&lt;/item&gt;&lt;item&gt;642&lt;/item&gt;&lt;item&gt;643&lt;/item&gt;&lt;item&gt;644&lt;/item&gt;&lt;item&gt;645&lt;/item&gt;&lt;item&gt;646&lt;/item&gt;&lt;item&gt;647&lt;/item&gt;&lt;/record-ids&gt;&lt;/item&gt;&lt;/Libraries&gt;"/>
  </w:docVars>
  <w:rsids>
    <w:rsidRoot w:val="005123B8"/>
    <w:rsid w:val="0000003A"/>
    <w:rsid w:val="0000005F"/>
    <w:rsid w:val="00000086"/>
    <w:rsid w:val="0000019A"/>
    <w:rsid w:val="0000019F"/>
    <w:rsid w:val="000003CD"/>
    <w:rsid w:val="00000594"/>
    <w:rsid w:val="00000646"/>
    <w:rsid w:val="00000798"/>
    <w:rsid w:val="000008FF"/>
    <w:rsid w:val="0000091B"/>
    <w:rsid w:val="0000092A"/>
    <w:rsid w:val="00000ABE"/>
    <w:rsid w:val="00000AEF"/>
    <w:rsid w:val="00000B8D"/>
    <w:rsid w:val="00000C99"/>
    <w:rsid w:val="00000CB8"/>
    <w:rsid w:val="00000CF1"/>
    <w:rsid w:val="00000E58"/>
    <w:rsid w:val="00000EEE"/>
    <w:rsid w:val="000010D0"/>
    <w:rsid w:val="00001196"/>
    <w:rsid w:val="00001248"/>
    <w:rsid w:val="000014DB"/>
    <w:rsid w:val="00001571"/>
    <w:rsid w:val="000015BB"/>
    <w:rsid w:val="00001610"/>
    <w:rsid w:val="0000165D"/>
    <w:rsid w:val="00001706"/>
    <w:rsid w:val="00001719"/>
    <w:rsid w:val="00001961"/>
    <w:rsid w:val="000019D0"/>
    <w:rsid w:val="00001A64"/>
    <w:rsid w:val="00001B4C"/>
    <w:rsid w:val="00001B56"/>
    <w:rsid w:val="00001BA4"/>
    <w:rsid w:val="00001C65"/>
    <w:rsid w:val="00001DC3"/>
    <w:rsid w:val="00001E01"/>
    <w:rsid w:val="00001FB0"/>
    <w:rsid w:val="0000210F"/>
    <w:rsid w:val="00002137"/>
    <w:rsid w:val="0000220C"/>
    <w:rsid w:val="00002215"/>
    <w:rsid w:val="000023D0"/>
    <w:rsid w:val="0000240B"/>
    <w:rsid w:val="0000240F"/>
    <w:rsid w:val="000025E5"/>
    <w:rsid w:val="0000266D"/>
    <w:rsid w:val="00002767"/>
    <w:rsid w:val="000028E1"/>
    <w:rsid w:val="00002A16"/>
    <w:rsid w:val="00002BAF"/>
    <w:rsid w:val="00002C07"/>
    <w:rsid w:val="00002CE1"/>
    <w:rsid w:val="00002D86"/>
    <w:rsid w:val="00002F3E"/>
    <w:rsid w:val="00002F3F"/>
    <w:rsid w:val="000031A3"/>
    <w:rsid w:val="00003227"/>
    <w:rsid w:val="000032D2"/>
    <w:rsid w:val="00003375"/>
    <w:rsid w:val="000033C7"/>
    <w:rsid w:val="00003449"/>
    <w:rsid w:val="00003470"/>
    <w:rsid w:val="0000385D"/>
    <w:rsid w:val="000039C7"/>
    <w:rsid w:val="00003AA7"/>
    <w:rsid w:val="00003AD0"/>
    <w:rsid w:val="00003C22"/>
    <w:rsid w:val="00003C33"/>
    <w:rsid w:val="00003C3C"/>
    <w:rsid w:val="00003C6F"/>
    <w:rsid w:val="00003DA5"/>
    <w:rsid w:val="00003DDD"/>
    <w:rsid w:val="00003E12"/>
    <w:rsid w:val="000040CD"/>
    <w:rsid w:val="00004112"/>
    <w:rsid w:val="000042B1"/>
    <w:rsid w:val="00004331"/>
    <w:rsid w:val="00004345"/>
    <w:rsid w:val="000043A5"/>
    <w:rsid w:val="000044CC"/>
    <w:rsid w:val="000044F9"/>
    <w:rsid w:val="0000455F"/>
    <w:rsid w:val="000045D1"/>
    <w:rsid w:val="0000462F"/>
    <w:rsid w:val="0000471C"/>
    <w:rsid w:val="0000476E"/>
    <w:rsid w:val="00004B0B"/>
    <w:rsid w:val="00004B79"/>
    <w:rsid w:val="00004B81"/>
    <w:rsid w:val="00004BFB"/>
    <w:rsid w:val="00004D00"/>
    <w:rsid w:val="00004E3A"/>
    <w:rsid w:val="00004F11"/>
    <w:rsid w:val="00004F1F"/>
    <w:rsid w:val="000050AA"/>
    <w:rsid w:val="00005116"/>
    <w:rsid w:val="00005127"/>
    <w:rsid w:val="00005150"/>
    <w:rsid w:val="000051F1"/>
    <w:rsid w:val="000052D0"/>
    <w:rsid w:val="0000542D"/>
    <w:rsid w:val="00005543"/>
    <w:rsid w:val="00005554"/>
    <w:rsid w:val="0000567C"/>
    <w:rsid w:val="000057D1"/>
    <w:rsid w:val="0000595F"/>
    <w:rsid w:val="00005AEE"/>
    <w:rsid w:val="00005B3D"/>
    <w:rsid w:val="00005B3E"/>
    <w:rsid w:val="00005B70"/>
    <w:rsid w:val="00005B7D"/>
    <w:rsid w:val="00005BA2"/>
    <w:rsid w:val="00005D62"/>
    <w:rsid w:val="00005E98"/>
    <w:rsid w:val="00006000"/>
    <w:rsid w:val="000061FA"/>
    <w:rsid w:val="000063B5"/>
    <w:rsid w:val="000064A9"/>
    <w:rsid w:val="00006535"/>
    <w:rsid w:val="000065B5"/>
    <w:rsid w:val="00006666"/>
    <w:rsid w:val="00006859"/>
    <w:rsid w:val="0000695B"/>
    <w:rsid w:val="00006A2C"/>
    <w:rsid w:val="00006A62"/>
    <w:rsid w:val="00006B34"/>
    <w:rsid w:val="00006C61"/>
    <w:rsid w:val="00006CE7"/>
    <w:rsid w:val="00006D70"/>
    <w:rsid w:val="00006EA7"/>
    <w:rsid w:val="00007041"/>
    <w:rsid w:val="000070A2"/>
    <w:rsid w:val="000070C2"/>
    <w:rsid w:val="00007198"/>
    <w:rsid w:val="0000726C"/>
    <w:rsid w:val="0000732B"/>
    <w:rsid w:val="000074E3"/>
    <w:rsid w:val="00007844"/>
    <w:rsid w:val="0000787A"/>
    <w:rsid w:val="00007880"/>
    <w:rsid w:val="00007A2C"/>
    <w:rsid w:val="00007BEA"/>
    <w:rsid w:val="00007E1C"/>
    <w:rsid w:val="00007E23"/>
    <w:rsid w:val="00007FB5"/>
    <w:rsid w:val="00010370"/>
    <w:rsid w:val="00010436"/>
    <w:rsid w:val="00010458"/>
    <w:rsid w:val="000106D8"/>
    <w:rsid w:val="00010857"/>
    <w:rsid w:val="00010A8E"/>
    <w:rsid w:val="00010AD0"/>
    <w:rsid w:val="00010B28"/>
    <w:rsid w:val="00010D99"/>
    <w:rsid w:val="00010EAE"/>
    <w:rsid w:val="00011266"/>
    <w:rsid w:val="000112FF"/>
    <w:rsid w:val="000113AB"/>
    <w:rsid w:val="00011457"/>
    <w:rsid w:val="00011515"/>
    <w:rsid w:val="00011611"/>
    <w:rsid w:val="0001166E"/>
    <w:rsid w:val="000116EA"/>
    <w:rsid w:val="00011A94"/>
    <w:rsid w:val="00011B91"/>
    <w:rsid w:val="00011BB5"/>
    <w:rsid w:val="00011DFB"/>
    <w:rsid w:val="00011E35"/>
    <w:rsid w:val="00011E8B"/>
    <w:rsid w:val="00012018"/>
    <w:rsid w:val="00012182"/>
    <w:rsid w:val="000124A9"/>
    <w:rsid w:val="000125D0"/>
    <w:rsid w:val="00012870"/>
    <w:rsid w:val="00012AAB"/>
    <w:rsid w:val="00012AEE"/>
    <w:rsid w:val="00012CB5"/>
    <w:rsid w:val="00012CC1"/>
    <w:rsid w:val="00012D17"/>
    <w:rsid w:val="00012DF0"/>
    <w:rsid w:val="00012E87"/>
    <w:rsid w:val="00012EDE"/>
    <w:rsid w:val="00012F28"/>
    <w:rsid w:val="00012F43"/>
    <w:rsid w:val="00012F88"/>
    <w:rsid w:val="000130ED"/>
    <w:rsid w:val="0001321D"/>
    <w:rsid w:val="00013477"/>
    <w:rsid w:val="00013767"/>
    <w:rsid w:val="0001391F"/>
    <w:rsid w:val="00013B51"/>
    <w:rsid w:val="00013B77"/>
    <w:rsid w:val="00013BA5"/>
    <w:rsid w:val="00013CC4"/>
    <w:rsid w:val="00013D87"/>
    <w:rsid w:val="00013E0E"/>
    <w:rsid w:val="00013EBE"/>
    <w:rsid w:val="00013F00"/>
    <w:rsid w:val="00014108"/>
    <w:rsid w:val="00014150"/>
    <w:rsid w:val="000141CA"/>
    <w:rsid w:val="00014224"/>
    <w:rsid w:val="000143C0"/>
    <w:rsid w:val="0001440E"/>
    <w:rsid w:val="00014453"/>
    <w:rsid w:val="00014476"/>
    <w:rsid w:val="00014665"/>
    <w:rsid w:val="00014771"/>
    <w:rsid w:val="0001481B"/>
    <w:rsid w:val="00014B1C"/>
    <w:rsid w:val="00014D0B"/>
    <w:rsid w:val="00014D13"/>
    <w:rsid w:val="000150CA"/>
    <w:rsid w:val="0001510D"/>
    <w:rsid w:val="000151F3"/>
    <w:rsid w:val="0001532C"/>
    <w:rsid w:val="00015376"/>
    <w:rsid w:val="00015481"/>
    <w:rsid w:val="0001550D"/>
    <w:rsid w:val="0001551E"/>
    <w:rsid w:val="000155B6"/>
    <w:rsid w:val="000155EA"/>
    <w:rsid w:val="0001566A"/>
    <w:rsid w:val="000158FC"/>
    <w:rsid w:val="00015A5F"/>
    <w:rsid w:val="00015D63"/>
    <w:rsid w:val="00015EBD"/>
    <w:rsid w:val="00015F3F"/>
    <w:rsid w:val="0001603E"/>
    <w:rsid w:val="0001604F"/>
    <w:rsid w:val="000160C6"/>
    <w:rsid w:val="00016146"/>
    <w:rsid w:val="0001644E"/>
    <w:rsid w:val="0001647F"/>
    <w:rsid w:val="0001660A"/>
    <w:rsid w:val="00016818"/>
    <w:rsid w:val="000168AD"/>
    <w:rsid w:val="00016A55"/>
    <w:rsid w:val="00016A76"/>
    <w:rsid w:val="00016AF3"/>
    <w:rsid w:val="00016F25"/>
    <w:rsid w:val="00016FB1"/>
    <w:rsid w:val="0001742D"/>
    <w:rsid w:val="000174D7"/>
    <w:rsid w:val="0001756A"/>
    <w:rsid w:val="00017736"/>
    <w:rsid w:val="0001776B"/>
    <w:rsid w:val="00017944"/>
    <w:rsid w:val="00017C31"/>
    <w:rsid w:val="00017D71"/>
    <w:rsid w:val="00017E64"/>
    <w:rsid w:val="00017EA3"/>
    <w:rsid w:val="00017F87"/>
    <w:rsid w:val="000201AB"/>
    <w:rsid w:val="0002044A"/>
    <w:rsid w:val="00020545"/>
    <w:rsid w:val="00020689"/>
    <w:rsid w:val="000206F9"/>
    <w:rsid w:val="00020C52"/>
    <w:rsid w:val="00020D0B"/>
    <w:rsid w:val="00020E71"/>
    <w:rsid w:val="00020F0D"/>
    <w:rsid w:val="00020FF9"/>
    <w:rsid w:val="000210DB"/>
    <w:rsid w:val="000210E3"/>
    <w:rsid w:val="00021228"/>
    <w:rsid w:val="000212A6"/>
    <w:rsid w:val="0002137B"/>
    <w:rsid w:val="000214AA"/>
    <w:rsid w:val="000218ED"/>
    <w:rsid w:val="0002192E"/>
    <w:rsid w:val="00021984"/>
    <w:rsid w:val="00021A4F"/>
    <w:rsid w:val="00021A67"/>
    <w:rsid w:val="00021CB1"/>
    <w:rsid w:val="00022038"/>
    <w:rsid w:val="000220A9"/>
    <w:rsid w:val="00022261"/>
    <w:rsid w:val="000222EB"/>
    <w:rsid w:val="0002235D"/>
    <w:rsid w:val="0002249A"/>
    <w:rsid w:val="00022533"/>
    <w:rsid w:val="00022567"/>
    <w:rsid w:val="00022594"/>
    <w:rsid w:val="0002271B"/>
    <w:rsid w:val="0002280B"/>
    <w:rsid w:val="0002290B"/>
    <w:rsid w:val="00022960"/>
    <w:rsid w:val="000229DE"/>
    <w:rsid w:val="000229E6"/>
    <w:rsid w:val="00022CFE"/>
    <w:rsid w:val="00022D23"/>
    <w:rsid w:val="00022DBD"/>
    <w:rsid w:val="0002312F"/>
    <w:rsid w:val="00023202"/>
    <w:rsid w:val="00023211"/>
    <w:rsid w:val="0002322E"/>
    <w:rsid w:val="00023244"/>
    <w:rsid w:val="0002326B"/>
    <w:rsid w:val="000232DD"/>
    <w:rsid w:val="000232FB"/>
    <w:rsid w:val="0002347A"/>
    <w:rsid w:val="000234C6"/>
    <w:rsid w:val="000235DB"/>
    <w:rsid w:val="000236CD"/>
    <w:rsid w:val="00023AC7"/>
    <w:rsid w:val="00023B9D"/>
    <w:rsid w:val="00023D8C"/>
    <w:rsid w:val="00023EDB"/>
    <w:rsid w:val="00023F46"/>
    <w:rsid w:val="00023FD6"/>
    <w:rsid w:val="000240B7"/>
    <w:rsid w:val="000240C2"/>
    <w:rsid w:val="00024225"/>
    <w:rsid w:val="0002426C"/>
    <w:rsid w:val="0002438D"/>
    <w:rsid w:val="00024454"/>
    <w:rsid w:val="00024566"/>
    <w:rsid w:val="0002459B"/>
    <w:rsid w:val="00024A76"/>
    <w:rsid w:val="00024B1B"/>
    <w:rsid w:val="00024B97"/>
    <w:rsid w:val="00024C2B"/>
    <w:rsid w:val="00024CED"/>
    <w:rsid w:val="00024F42"/>
    <w:rsid w:val="0002512A"/>
    <w:rsid w:val="000253E1"/>
    <w:rsid w:val="000254AE"/>
    <w:rsid w:val="00025534"/>
    <w:rsid w:val="00025809"/>
    <w:rsid w:val="000258A3"/>
    <w:rsid w:val="00025B1F"/>
    <w:rsid w:val="00025ECA"/>
    <w:rsid w:val="00025EDE"/>
    <w:rsid w:val="00025F2C"/>
    <w:rsid w:val="0002603C"/>
    <w:rsid w:val="000261BB"/>
    <w:rsid w:val="000261DC"/>
    <w:rsid w:val="00026318"/>
    <w:rsid w:val="00026426"/>
    <w:rsid w:val="0002648B"/>
    <w:rsid w:val="000264A8"/>
    <w:rsid w:val="000264FD"/>
    <w:rsid w:val="0002673A"/>
    <w:rsid w:val="000267A9"/>
    <w:rsid w:val="00026BC5"/>
    <w:rsid w:val="00026FE8"/>
    <w:rsid w:val="000270F3"/>
    <w:rsid w:val="000271A9"/>
    <w:rsid w:val="000271FD"/>
    <w:rsid w:val="000273BF"/>
    <w:rsid w:val="000274CD"/>
    <w:rsid w:val="0002766E"/>
    <w:rsid w:val="00027784"/>
    <w:rsid w:val="000277A0"/>
    <w:rsid w:val="00027A14"/>
    <w:rsid w:val="00027B74"/>
    <w:rsid w:val="00027C8D"/>
    <w:rsid w:val="00027D13"/>
    <w:rsid w:val="00027D28"/>
    <w:rsid w:val="00027DFB"/>
    <w:rsid w:val="00027F53"/>
    <w:rsid w:val="000302BE"/>
    <w:rsid w:val="00030428"/>
    <w:rsid w:val="00030474"/>
    <w:rsid w:val="0003052F"/>
    <w:rsid w:val="00030590"/>
    <w:rsid w:val="0003062E"/>
    <w:rsid w:val="000307A1"/>
    <w:rsid w:val="00030A01"/>
    <w:rsid w:val="00030A9B"/>
    <w:rsid w:val="00030BAA"/>
    <w:rsid w:val="00030D19"/>
    <w:rsid w:val="00030D9D"/>
    <w:rsid w:val="00030F2C"/>
    <w:rsid w:val="00030F4B"/>
    <w:rsid w:val="00030F6B"/>
    <w:rsid w:val="0003101E"/>
    <w:rsid w:val="0003115F"/>
    <w:rsid w:val="000313D6"/>
    <w:rsid w:val="000314DD"/>
    <w:rsid w:val="00031730"/>
    <w:rsid w:val="00031790"/>
    <w:rsid w:val="000318F8"/>
    <w:rsid w:val="00031B28"/>
    <w:rsid w:val="00031BCC"/>
    <w:rsid w:val="00031D64"/>
    <w:rsid w:val="00031E16"/>
    <w:rsid w:val="00031ECB"/>
    <w:rsid w:val="00032001"/>
    <w:rsid w:val="000320B2"/>
    <w:rsid w:val="000323F1"/>
    <w:rsid w:val="00032439"/>
    <w:rsid w:val="000325A2"/>
    <w:rsid w:val="0003262B"/>
    <w:rsid w:val="0003269D"/>
    <w:rsid w:val="0003276A"/>
    <w:rsid w:val="000328D8"/>
    <w:rsid w:val="00032A42"/>
    <w:rsid w:val="00032AA1"/>
    <w:rsid w:val="00032AB4"/>
    <w:rsid w:val="00032B9B"/>
    <w:rsid w:val="00032CED"/>
    <w:rsid w:val="00032DDF"/>
    <w:rsid w:val="00032E4A"/>
    <w:rsid w:val="00032E68"/>
    <w:rsid w:val="00032FB5"/>
    <w:rsid w:val="00033398"/>
    <w:rsid w:val="00033592"/>
    <w:rsid w:val="0003377C"/>
    <w:rsid w:val="000337FD"/>
    <w:rsid w:val="0003386F"/>
    <w:rsid w:val="000339C1"/>
    <w:rsid w:val="000339CA"/>
    <w:rsid w:val="00033C37"/>
    <w:rsid w:val="00033E03"/>
    <w:rsid w:val="00033F1E"/>
    <w:rsid w:val="0003404E"/>
    <w:rsid w:val="0003406A"/>
    <w:rsid w:val="000341B1"/>
    <w:rsid w:val="0003426C"/>
    <w:rsid w:val="000344C0"/>
    <w:rsid w:val="0003463D"/>
    <w:rsid w:val="00034649"/>
    <w:rsid w:val="000346B8"/>
    <w:rsid w:val="00034876"/>
    <w:rsid w:val="000348BC"/>
    <w:rsid w:val="00034CF7"/>
    <w:rsid w:val="00034E32"/>
    <w:rsid w:val="00034E5E"/>
    <w:rsid w:val="00034FC4"/>
    <w:rsid w:val="000350BB"/>
    <w:rsid w:val="00035499"/>
    <w:rsid w:val="0003560C"/>
    <w:rsid w:val="00035A44"/>
    <w:rsid w:val="00035A6B"/>
    <w:rsid w:val="00035A9E"/>
    <w:rsid w:val="00035C19"/>
    <w:rsid w:val="00035C2A"/>
    <w:rsid w:val="00035C38"/>
    <w:rsid w:val="00035CE5"/>
    <w:rsid w:val="00035F3F"/>
    <w:rsid w:val="00035FB2"/>
    <w:rsid w:val="0003608F"/>
    <w:rsid w:val="000360DB"/>
    <w:rsid w:val="0003626B"/>
    <w:rsid w:val="00036289"/>
    <w:rsid w:val="00036312"/>
    <w:rsid w:val="000364A1"/>
    <w:rsid w:val="000368C5"/>
    <w:rsid w:val="00036920"/>
    <w:rsid w:val="00036988"/>
    <w:rsid w:val="000369E5"/>
    <w:rsid w:val="00036BA5"/>
    <w:rsid w:val="00036CB6"/>
    <w:rsid w:val="0003706E"/>
    <w:rsid w:val="000372BB"/>
    <w:rsid w:val="000372FE"/>
    <w:rsid w:val="000373A1"/>
    <w:rsid w:val="000373B0"/>
    <w:rsid w:val="0003745D"/>
    <w:rsid w:val="000374B1"/>
    <w:rsid w:val="0003760E"/>
    <w:rsid w:val="00037624"/>
    <w:rsid w:val="00037640"/>
    <w:rsid w:val="00037658"/>
    <w:rsid w:val="000376F6"/>
    <w:rsid w:val="000376FE"/>
    <w:rsid w:val="000377B5"/>
    <w:rsid w:val="000377BF"/>
    <w:rsid w:val="000377E3"/>
    <w:rsid w:val="00037820"/>
    <w:rsid w:val="000378E3"/>
    <w:rsid w:val="0003799E"/>
    <w:rsid w:val="00037D3C"/>
    <w:rsid w:val="00037D50"/>
    <w:rsid w:val="00037E18"/>
    <w:rsid w:val="00037E55"/>
    <w:rsid w:val="00037E8B"/>
    <w:rsid w:val="00037EB4"/>
    <w:rsid w:val="00037FB0"/>
    <w:rsid w:val="00040071"/>
    <w:rsid w:val="00040097"/>
    <w:rsid w:val="0004023F"/>
    <w:rsid w:val="0004055B"/>
    <w:rsid w:val="00040609"/>
    <w:rsid w:val="00040852"/>
    <w:rsid w:val="000408DB"/>
    <w:rsid w:val="00040925"/>
    <w:rsid w:val="00040943"/>
    <w:rsid w:val="00040C1F"/>
    <w:rsid w:val="00040DC1"/>
    <w:rsid w:val="00040E42"/>
    <w:rsid w:val="0004104A"/>
    <w:rsid w:val="00041065"/>
    <w:rsid w:val="000412E8"/>
    <w:rsid w:val="00041660"/>
    <w:rsid w:val="000416F6"/>
    <w:rsid w:val="000417B2"/>
    <w:rsid w:val="00041885"/>
    <w:rsid w:val="000418F1"/>
    <w:rsid w:val="00041988"/>
    <w:rsid w:val="00041A2B"/>
    <w:rsid w:val="00041B48"/>
    <w:rsid w:val="00041C58"/>
    <w:rsid w:val="00041E43"/>
    <w:rsid w:val="00041EA2"/>
    <w:rsid w:val="00041ED4"/>
    <w:rsid w:val="000421E6"/>
    <w:rsid w:val="000422FB"/>
    <w:rsid w:val="00042330"/>
    <w:rsid w:val="000423E2"/>
    <w:rsid w:val="00042495"/>
    <w:rsid w:val="0004260D"/>
    <w:rsid w:val="0004260E"/>
    <w:rsid w:val="00042859"/>
    <w:rsid w:val="00042896"/>
    <w:rsid w:val="000428A8"/>
    <w:rsid w:val="00042ACE"/>
    <w:rsid w:val="00042D7B"/>
    <w:rsid w:val="00042D97"/>
    <w:rsid w:val="00042FA7"/>
    <w:rsid w:val="000430DF"/>
    <w:rsid w:val="00043249"/>
    <w:rsid w:val="00043276"/>
    <w:rsid w:val="000432EC"/>
    <w:rsid w:val="00043481"/>
    <w:rsid w:val="000435B7"/>
    <w:rsid w:val="00043897"/>
    <w:rsid w:val="00043929"/>
    <w:rsid w:val="00043AC6"/>
    <w:rsid w:val="00043BA3"/>
    <w:rsid w:val="00043BCD"/>
    <w:rsid w:val="00043D30"/>
    <w:rsid w:val="00043D38"/>
    <w:rsid w:val="00044122"/>
    <w:rsid w:val="00044333"/>
    <w:rsid w:val="0004440A"/>
    <w:rsid w:val="00044476"/>
    <w:rsid w:val="0004450B"/>
    <w:rsid w:val="000445A5"/>
    <w:rsid w:val="0004485D"/>
    <w:rsid w:val="000449A5"/>
    <w:rsid w:val="00044DD2"/>
    <w:rsid w:val="00044F7D"/>
    <w:rsid w:val="00045002"/>
    <w:rsid w:val="00045065"/>
    <w:rsid w:val="000450AE"/>
    <w:rsid w:val="00045325"/>
    <w:rsid w:val="0004554D"/>
    <w:rsid w:val="00045718"/>
    <w:rsid w:val="000457F4"/>
    <w:rsid w:val="00045809"/>
    <w:rsid w:val="00045924"/>
    <w:rsid w:val="00045942"/>
    <w:rsid w:val="00045D9E"/>
    <w:rsid w:val="00045E9B"/>
    <w:rsid w:val="00045F1E"/>
    <w:rsid w:val="00046279"/>
    <w:rsid w:val="000464FC"/>
    <w:rsid w:val="000465BA"/>
    <w:rsid w:val="000465EC"/>
    <w:rsid w:val="000466E7"/>
    <w:rsid w:val="00046A2E"/>
    <w:rsid w:val="00046B0F"/>
    <w:rsid w:val="00046B64"/>
    <w:rsid w:val="00046BAA"/>
    <w:rsid w:val="00046C59"/>
    <w:rsid w:val="00046CFC"/>
    <w:rsid w:val="00046E5C"/>
    <w:rsid w:val="00046E6A"/>
    <w:rsid w:val="00046E75"/>
    <w:rsid w:val="00046F16"/>
    <w:rsid w:val="00046FFE"/>
    <w:rsid w:val="00047141"/>
    <w:rsid w:val="0004725A"/>
    <w:rsid w:val="00047330"/>
    <w:rsid w:val="000473E6"/>
    <w:rsid w:val="00047570"/>
    <w:rsid w:val="00047710"/>
    <w:rsid w:val="000477B6"/>
    <w:rsid w:val="0004783F"/>
    <w:rsid w:val="000478B4"/>
    <w:rsid w:val="000479E8"/>
    <w:rsid w:val="00047A02"/>
    <w:rsid w:val="00047A76"/>
    <w:rsid w:val="00047CB1"/>
    <w:rsid w:val="00047D2C"/>
    <w:rsid w:val="00047F67"/>
    <w:rsid w:val="00050032"/>
    <w:rsid w:val="000500C9"/>
    <w:rsid w:val="00050146"/>
    <w:rsid w:val="000501AB"/>
    <w:rsid w:val="000501B8"/>
    <w:rsid w:val="000504D2"/>
    <w:rsid w:val="000506C5"/>
    <w:rsid w:val="000506E8"/>
    <w:rsid w:val="00050803"/>
    <w:rsid w:val="0005090D"/>
    <w:rsid w:val="00050A26"/>
    <w:rsid w:val="00050AFF"/>
    <w:rsid w:val="00050B8C"/>
    <w:rsid w:val="00050CDE"/>
    <w:rsid w:val="00050D20"/>
    <w:rsid w:val="00050E4C"/>
    <w:rsid w:val="00050F70"/>
    <w:rsid w:val="000510E1"/>
    <w:rsid w:val="0005118B"/>
    <w:rsid w:val="000512ED"/>
    <w:rsid w:val="00051325"/>
    <w:rsid w:val="0005133D"/>
    <w:rsid w:val="000514BB"/>
    <w:rsid w:val="000514CF"/>
    <w:rsid w:val="0005174A"/>
    <w:rsid w:val="000518A0"/>
    <w:rsid w:val="00051A80"/>
    <w:rsid w:val="00051B01"/>
    <w:rsid w:val="0005211F"/>
    <w:rsid w:val="0005234F"/>
    <w:rsid w:val="00052350"/>
    <w:rsid w:val="00052383"/>
    <w:rsid w:val="00052646"/>
    <w:rsid w:val="000526C9"/>
    <w:rsid w:val="000527F9"/>
    <w:rsid w:val="00052815"/>
    <w:rsid w:val="00052910"/>
    <w:rsid w:val="00052972"/>
    <w:rsid w:val="00052B34"/>
    <w:rsid w:val="00052D6E"/>
    <w:rsid w:val="00052E19"/>
    <w:rsid w:val="0005326C"/>
    <w:rsid w:val="000532AA"/>
    <w:rsid w:val="00053458"/>
    <w:rsid w:val="000535C8"/>
    <w:rsid w:val="00053694"/>
    <w:rsid w:val="00053733"/>
    <w:rsid w:val="000537D0"/>
    <w:rsid w:val="0005383A"/>
    <w:rsid w:val="000538EC"/>
    <w:rsid w:val="00053A51"/>
    <w:rsid w:val="00053B10"/>
    <w:rsid w:val="00053B4C"/>
    <w:rsid w:val="00053CC9"/>
    <w:rsid w:val="00053D5C"/>
    <w:rsid w:val="00053D9F"/>
    <w:rsid w:val="00053DEC"/>
    <w:rsid w:val="00053E26"/>
    <w:rsid w:val="00053E54"/>
    <w:rsid w:val="00053F82"/>
    <w:rsid w:val="00054007"/>
    <w:rsid w:val="0005437B"/>
    <w:rsid w:val="000546AA"/>
    <w:rsid w:val="00054827"/>
    <w:rsid w:val="000549A4"/>
    <w:rsid w:val="00054BE2"/>
    <w:rsid w:val="00054C1D"/>
    <w:rsid w:val="00054E41"/>
    <w:rsid w:val="00054E6C"/>
    <w:rsid w:val="00054EED"/>
    <w:rsid w:val="00054EF0"/>
    <w:rsid w:val="00054F1A"/>
    <w:rsid w:val="00054F5F"/>
    <w:rsid w:val="00054FB4"/>
    <w:rsid w:val="0005510A"/>
    <w:rsid w:val="00055110"/>
    <w:rsid w:val="0005553E"/>
    <w:rsid w:val="0005569B"/>
    <w:rsid w:val="0005594C"/>
    <w:rsid w:val="00055C8E"/>
    <w:rsid w:val="00055DE3"/>
    <w:rsid w:val="00055E25"/>
    <w:rsid w:val="00055EC3"/>
    <w:rsid w:val="0005609F"/>
    <w:rsid w:val="00056526"/>
    <w:rsid w:val="0005682F"/>
    <w:rsid w:val="00056A97"/>
    <w:rsid w:val="00056AD3"/>
    <w:rsid w:val="00056C52"/>
    <w:rsid w:val="00056C65"/>
    <w:rsid w:val="00056D90"/>
    <w:rsid w:val="00056FF5"/>
    <w:rsid w:val="0005708E"/>
    <w:rsid w:val="0005714B"/>
    <w:rsid w:val="0005714C"/>
    <w:rsid w:val="000571A7"/>
    <w:rsid w:val="00057497"/>
    <w:rsid w:val="000575D4"/>
    <w:rsid w:val="00057644"/>
    <w:rsid w:val="00057698"/>
    <w:rsid w:val="000576DE"/>
    <w:rsid w:val="00057FCF"/>
    <w:rsid w:val="0006029A"/>
    <w:rsid w:val="00060305"/>
    <w:rsid w:val="0006051B"/>
    <w:rsid w:val="000605E7"/>
    <w:rsid w:val="000605F6"/>
    <w:rsid w:val="000607FA"/>
    <w:rsid w:val="000608A0"/>
    <w:rsid w:val="000608F8"/>
    <w:rsid w:val="000609DF"/>
    <w:rsid w:val="00060A00"/>
    <w:rsid w:val="00060A67"/>
    <w:rsid w:val="00060B08"/>
    <w:rsid w:val="00060D25"/>
    <w:rsid w:val="00060F70"/>
    <w:rsid w:val="00060F87"/>
    <w:rsid w:val="0006101F"/>
    <w:rsid w:val="00061066"/>
    <w:rsid w:val="0006109E"/>
    <w:rsid w:val="0006118A"/>
    <w:rsid w:val="0006133B"/>
    <w:rsid w:val="000613A8"/>
    <w:rsid w:val="00061542"/>
    <w:rsid w:val="00061566"/>
    <w:rsid w:val="0006156B"/>
    <w:rsid w:val="000615C7"/>
    <w:rsid w:val="00061817"/>
    <w:rsid w:val="000618E9"/>
    <w:rsid w:val="000619C3"/>
    <w:rsid w:val="00061A43"/>
    <w:rsid w:val="00061AA5"/>
    <w:rsid w:val="00061B28"/>
    <w:rsid w:val="00061B34"/>
    <w:rsid w:val="00061B7F"/>
    <w:rsid w:val="00061B83"/>
    <w:rsid w:val="00061C62"/>
    <w:rsid w:val="00061C88"/>
    <w:rsid w:val="00061D30"/>
    <w:rsid w:val="00061E3D"/>
    <w:rsid w:val="00061E47"/>
    <w:rsid w:val="0006229D"/>
    <w:rsid w:val="000623CC"/>
    <w:rsid w:val="000623ED"/>
    <w:rsid w:val="000626C4"/>
    <w:rsid w:val="0006273E"/>
    <w:rsid w:val="000627FD"/>
    <w:rsid w:val="00062A15"/>
    <w:rsid w:val="00062AC5"/>
    <w:rsid w:val="00062B04"/>
    <w:rsid w:val="00062E89"/>
    <w:rsid w:val="00062FAE"/>
    <w:rsid w:val="0006302B"/>
    <w:rsid w:val="0006309C"/>
    <w:rsid w:val="00063108"/>
    <w:rsid w:val="00063283"/>
    <w:rsid w:val="00063330"/>
    <w:rsid w:val="000633C3"/>
    <w:rsid w:val="000634F3"/>
    <w:rsid w:val="00063627"/>
    <w:rsid w:val="0006376F"/>
    <w:rsid w:val="000638D2"/>
    <w:rsid w:val="0006394A"/>
    <w:rsid w:val="00063A1F"/>
    <w:rsid w:val="00063A81"/>
    <w:rsid w:val="00063BB7"/>
    <w:rsid w:val="00063D9D"/>
    <w:rsid w:val="00063E32"/>
    <w:rsid w:val="00063EA4"/>
    <w:rsid w:val="00063EB5"/>
    <w:rsid w:val="0006421A"/>
    <w:rsid w:val="00064291"/>
    <w:rsid w:val="00064460"/>
    <w:rsid w:val="000644CB"/>
    <w:rsid w:val="0006452C"/>
    <w:rsid w:val="00064599"/>
    <w:rsid w:val="00064678"/>
    <w:rsid w:val="0006477D"/>
    <w:rsid w:val="000648FD"/>
    <w:rsid w:val="00064C82"/>
    <w:rsid w:val="00064D43"/>
    <w:rsid w:val="00064F13"/>
    <w:rsid w:val="00065062"/>
    <w:rsid w:val="00065183"/>
    <w:rsid w:val="0006522C"/>
    <w:rsid w:val="00065578"/>
    <w:rsid w:val="0006558A"/>
    <w:rsid w:val="00065609"/>
    <w:rsid w:val="00065628"/>
    <w:rsid w:val="00065A5A"/>
    <w:rsid w:val="00065A86"/>
    <w:rsid w:val="00065CA6"/>
    <w:rsid w:val="00065D6E"/>
    <w:rsid w:val="00066052"/>
    <w:rsid w:val="0006609B"/>
    <w:rsid w:val="00066191"/>
    <w:rsid w:val="0006630E"/>
    <w:rsid w:val="0006662B"/>
    <w:rsid w:val="00066679"/>
    <w:rsid w:val="000667D7"/>
    <w:rsid w:val="000668F0"/>
    <w:rsid w:val="0006698E"/>
    <w:rsid w:val="00066B3E"/>
    <w:rsid w:val="00066C6B"/>
    <w:rsid w:val="00066CEA"/>
    <w:rsid w:val="00066E53"/>
    <w:rsid w:val="00066F06"/>
    <w:rsid w:val="00066F0E"/>
    <w:rsid w:val="00066F42"/>
    <w:rsid w:val="00066FB3"/>
    <w:rsid w:val="00066FBC"/>
    <w:rsid w:val="0006715C"/>
    <w:rsid w:val="0006723A"/>
    <w:rsid w:val="000672D2"/>
    <w:rsid w:val="00067A3A"/>
    <w:rsid w:val="00067AF0"/>
    <w:rsid w:val="00067C5F"/>
    <w:rsid w:val="00067CF8"/>
    <w:rsid w:val="00067DB8"/>
    <w:rsid w:val="00067DD4"/>
    <w:rsid w:val="00067F52"/>
    <w:rsid w:val="0007003E"/>
    <w:rsid w:val="00070125"/>
    <w:rsid w:val="0007031B"/>
    <w:rsid w:val="000703B8"/>
    <w:rsid w:val="0007046B"/>
    <w:rsid w:val="00070530"/>
    <w:rsid w:val="0007054E"/>
    <w:rsid w:val="0007055A"/>
    <w:rsid w:val="00070640"/>
    <w:rsid w:val="000706F0"/>
    <w:rsid w:val="00070729"/>
    <w:rsid w:val="0007080F"/>
    <w:rsid w:val="0007082C"/>
    <w:rsid w:val="0007087A"/>
    <w:rsid w:val="00070A90"/>
    <w:rsid w:val="00070B08"/>
    <w:rsid w:val="00070CDC"/>
    <w:rsid w:val="00070E61"/>
    <w:rsid w:val="00070EF6"/>
    <w:rsid w:val="00071030"/>
    <w:rsid w:val="00071222"/>
    <w:rsid w:val="0007127B"/>
    <w:rsid w:val="0007138E"/>
    <w:rsid w:val="0007141C"/>
    <w:rsid w:val="0007142E"/>
    <w:rsid w:val="00071656"/>
    <w:rsid w:val="000716D9"/>
    <w:rsid w:val="000716E8"/>
    <w:rsid w:val="0007183F"/>
    <w:rsid w:val="0007192C"/>
    <w:rsid w:val="0007194E"/>
    <w:rsid w:val="00071A1D"/>
    <w:rsid w:val="00071A9F"/>
    <w:rsid w:val="00071AC1"/>
    <w:rsid w:val="00071D3A"/>
    <w:rsid w:val="00071E33"/>
    <w:rsid w:val="00071EA3"/>
    <w:rsid w:val="00072029"/>
    <w:rsid w:val="0007209F"/>
    <w:rsid w:val="000721C4"/>
    <w:rsid w:val="00072257"/>
    <w:rsid w:val="00072281"/>
    <w:rsid w:val="000723C6"/>
    <w:rsid w:val="000726A0"/>
    <w:rsid w:val="00072736"/>
    <w:rsid w:val="000728BE"/>
    <w:rsid w:val="000728D6"/>
    <w:rsid w:val="00072997"/>
    <w:rsid w:val="00072A72"/>
    <w:rsid w:val="00072A8C"/>
    <w:rsid w:val="00072C3A"/>
    <w:rsid w:val="00073142"/>
    <w:rsid w:val="00073593"/>
    <w:rsid w:val="000736E0"/>
    <w:rsid w:val="0007370F"/>
    <w:rsid w:val="00073991"/>
    <w:rsid w:val="000739AE"/>
    <w:rsid w:val="00073A5B"/>
    <w:rsid w:val="00073B88"/>
    <w:rsid w:val="00073CC2"/>
    <w:rsid w:val="00073D58"/>
    <w:rsid w:val="00073E37"/>
    <w:rsid w:val="00073E45"/>
    <w:rsid w:val="00073F73"/>
    <w:rsid w:val="0007406C"/>
    <w:rsid w:val="000740A5"/>
    <w:rsid w:val="00074145"/>
    <w:rsid w:val="0007426A"/>
    <w:rsid w:val="000743D8"/>
    <w:rsid w:val="00074439"/>
    <w:rsid w:val="00074647"/>
    <w:rsid w:val="00074738"/>
    <w:rsid w:val="00074925"/>
    <w:rsid w:val="00074AC4"/>
    <w:rsid w:val="00074B05"/>
    <w:rsid w:val="00074C26"/>
    <w:rsid w:val="00074CA0"/>
    <w:rsid w:val="00074CD8"/>
    <w:rsid w:val="00074E24"/>
    <w:rsid w:val="00074E71"/>
    <w:rsid w:val="00074F10"/>
    <w:rsid w:val="0007522A"/>
    <w:rsid w:val="00075231"/>
    <w:rsid w:val="000752C0"/>
    <w:rsid w:val="000754BA"/>
    <w:rsid w:val="000754D9"/>
    <w:rsid w:val="000754DD"/>
    <w:rsid w:val="000755AA"/>
    <w:rsid w:val="000755E9"/>
    <w:rsid w:val="00075617"/>
    <w:rsid w:val="00075765"/>
    <w:rsid w:val="000757EC"/>
    <w:rsid w:val="00075868"/>
    <w:rsid w:val="00075D91"/>
    <w:rsid w:val="00075DAB"/>
    <w:rsid w:val="00075FA9"/>
    <w:rsid w:val="000761DA"/>
    <w:rsid w:val="00076556"/>
    <w:rsid w:val="00076601"/>
    <w:rsid w:val="00076638"/>
    <w:rsid w:val="0007686C"/>
    <w:rsid w:val="00076875"/>
    <w:rsid w:val="00076C6B"/>
    <w:rsid w:val="00076C7B"/>
    <w:rsid w:val="00076CBA"/>
    <w:rsid w:val="00076D22"/>
    <w:rsid w:val="00076DAA"/>
    <w:rsid w:val="00076F86"/>
    <w:rsid w:val="00076FAB"/>
    <w:rsid w:val="00076FDF"/>
    <w:rsid w:val="00077215"/>
    <w:rsid w:val="0007730C"/>
    <w:rsid w:val="000775F7"/>
    <w:rsid w:val="00077792"/>
    <w:rsid w:val="00077BA3"/>
    <w:rsid w:val="00077DFC"/>
    <w:rsid w:val="00077E77"/>
    <w:rsid w:val="00077F0A"/>
    <w:rsid w:val="00080161"/>
    <w:rsid w:val="00080197"/>
    <w:rsid w:val="00080284"/>
    <w:rsid w:val="000803FE"/>
    <w:rsid w:val="00080677"/>
    <w:rsid w:val="000806D9"/>
    <w:rsid w:val="0008076B"/>
    <w:rsid w:val="00080822"/>
    <w:rsid w:val="0008098F"/>
    <w:rsid w:val="000809BA"/>
    <w:rsid w:val="00080C73"/>
    <w:rsid w:val="00080ECD"/>
    <w:rsid w:val="00080F18"/>
    <w:rsid w:val="00081014"/>
    <w:rsid w:val="00081155"/>
    <w:rsid w:val="00081712"/>
    <w:rsid w:val="00081716"/>
    <w:rsid w:val="000817D7"/>
    <w:rsid w:val="0008183F"/>
    <w:rsid w:val="00081970"/>
    <w:rsid w:val="00081D0E"/>
    <w:rsid w:val="00081E66"/>
    <w:rsid w:val="00081EAB"/>
    <w:rsid w:val="00081F46"/>
    <w:rsid w:val="00081FA6"/>
    <w:rsid w:val="0008209B"/>
    <w:rsid w:val="000820D5"/>
    <w:rsid w:val="0008210C"/>
    <w:rsid w:val="00082211"/>
    <w:rsid w:val="000823D4"/>
    <w:rsid w:val="000824F6"/>
    <w:rsid w:val="000825E1"/>
    <w:rsid w:val="00082606"/>
    <w:rsid w:val="000826F9"/>
    <w:rsid w:val="00082895"/>
    <w:rsid w:val="000828CD"/>
    <w:rsid w:val="00082974"/>
    <w:rsid w:val="000829A4"/>
    <w:rsid w:val="000829FA"/>
    <w:rsid w:val="00082ACC"/>
    <w:rsid w:val="00082B1A"/>
    <w:rsid w:val="00082CCA"/>
    <w:rsid w:val="00082D1C"/>
    <w:rsid w:val="00082DD2"/>
    <w:rsid w:val="00082DFE"/>
    <w:rsid w:val="00082F49"/>
    <w:rsid w:val="00082F80"/>
    <w:rsid w:val="000830BB"/>
    <w:rsid w:val="0008315B"/>
    <w:rsid w:val="00083224"/>
    <w:rsid w:val="00083390"/>
    <w:rsid w:val="0008339A"/>
    <w:rsid w:val="000835B9"/>
    <w:rsid w:val="000835F4"/>
    <w:rsid w:val="00083659"/>
    <w:rsid w:val="00083753"/>
    <w:rsid w:val="00083ACC"/>
    <w:rsid w:val="00083AF7"/>
    <w:rsid w:val="00083B10"/>
    <w:rsid w:val="00083B8E"/>
    <w:rsid w:val="00083E72"/>
    <w:rsid w:val="00083F05"/>
    <w:rsid w:val="00083F81"/>
    <w:rsid w:val="00083FE9"/>
    <w:rsid w:val="000840EB"/>
    <w:rsid w:val="00084204"/>
    <w:rsid w:val="000842A1"/>
    <w:rsid w:val="00084397"/>
    <w:rsid w:val="000843BE"/>
    <w:rsid w:val="00084586"/>
    <w:rsid w:val="00084632"/>
    <w:rsid w:val="000846AB"/>
    <w:rsid w:val="00084703"/>
    <w:rsid w:val="0008472C"/>
    <w:rsid w:val="00084776"/>
    <w:rsid w:val="000848AE"/>
    <w:rsid w:val="00084C95"/>
    <w:rsid w:val="00084D5B"/>
    <w:rsid w:val="00084E09"/>
    <w:rsid w:val="0008501B"/>
    <w:rsid w:val="00085151"/>
    <w:rsid w:val="00085490"/>
    <w:rsid w:val="0008579A"/>
    <w:rsid w:val="000857AF"/>
    <w:rsid w:val="00085860"/>
    <w:rsid w:val="00085A03"/>
    <w:rsid w:val="00085A41"/>
    <w:rsid w:val="00085AB6"/>
    <w:rsid w:val="00085ACC"/>
    <w:rsid w:val="00085B78"/>
    <w:rsid w:val="00085BC5"/>
    <w:rsid w:val="00085D96"/>
    <w:rsid w:val="00085E55"/>
    <w:rsid w:val="00086185"/>
    <w:rsid w:val="000862E7"/>
    <w:rsid w:val="000863AD"/>
    <w:rsid w:val="0008673F"/>
    <w:rsid w:val="00086755"/>
    <w:rsid w:val="0008683B"/>
    <w:rsid w:val="00086887"/>
    <w:rsid w:val="000868E4"/>
    <w:rsid w:val="00086900"/>
    <w:rsid w:val="00086934"/>
    <w:rsid w:val="000869DB"/>
    <w:rsid w:val="00086A90"/>
    <w:rsid w:val="00086CB0"/>
    <w:rsid w:val="00086F07"/>
    <w:rsid w:val="00087096"/>
    <w:rsid w:val="00087176"/>
    <w:rsid w:val="0008753B"/>
    <w:rsid w:val="000875AD"/>
    <w:rsid w:val="00087679"/>
    <w:rsid w:val="0008767E"/>
    <w:rsid w:val="0008773A"/>
    <w:rsid w:val="000878D9"/>
    <w:rsid w:val="000879DA"/>
    <w:rsid w:val="00087A6B"/>
    <w:rsid w:val="00087A9B"/>
    <w:rsid w:val="00087AA5"/>
    <w:rsid w:val="00087ABE"/>
    <w:rsid w:val="00087B9F"/>
    <w:rsid w:val="00087C3B"/>
    <w:rsid w:val="00087C52"/>
    <w:rsid w:val="00087C54"/>
    <w:rsid w:val="00087D65"/>
    <w:rsid w:val="00087F95"/>
    <w:rsid w:val="00087FDB"/>
    <w:rsid w:val="0009007F"/>
    <w:rsid w:val="000901D9"/>
    <w:rsid w:val="0009025C"/>
    <w:rsid w:val="0009032A"/>
    <w:rsid w:val="000903F2"/>
    <w:rsid w:val="000907D5"/>
    <w:rsid w:val="000909C3"/>
    <w:rsid w:val="00090BF3"/>
    <w:rsid w:val="00090D3B"/>
    <w:rsid w:val="00090D8C"/>
    <w:rsid w:val="00090E77"/>
    <w:rsid w:val="00090F60"/>
    <w:rsid w:val="00090F7A"/>
    <w:rsid w:val="0009116B"/>
    <w:rsid w:val="00091331"/>
    <w:rsid w:val="000914F3"/>
    <w:rsid w:val="00091621"/>
    <w:rsid w:val="000916B1"/>
    <w:rsid w:val="0009193A"/>
    <w:rsid w:val="0009197B"/>
    <w:rsid w:val="000919AD"/>
    <w:rsid w:val="00091A04"/>
    <w:rsid w:val="00091A1D"/>
    <w:rsid w:val="00091A4A"/>
    <w:rsid w:val="00091AC6"/>
    <w:rsid w:val="00091BB9"/>
    <w:rsid w:val="00091BC1"/>
    <w:rsid w:val="00091DF5"/>
    <w:rsid w:val="00091FF2"/>
    <w:rsid w:val="0009202C"/>
    <w:rsid w:val="00092349"/>
    <w:rsid w:val="000923F0"/>
    <w:rsid w:val="00092694"/>
    <w:rsid w:val="000926A4"/>
    <w:rsid w:val="00092756"/>
    <w:rsid w:val="000927E1"/>
    <w:rsid w:val="00092930"/>
    <w:rsid w:val="00092B5C"/>
    <w:rsid w:val="00092CC5"/>
    <w:rsid w:val="00092D0D"/>
    <w:rsid w:val="00092D12"/>
    <w:rsid w:val="00092D73"/>
    <w:rsid w:val="00092E37"/>
    <w:rsid w:val="00092E49"/>
    <w:rsid w:val="00093078"/>
    <w:rsid w:val="0009307D"/>
    <w:rsid w:val="0009308C"/>
    <w:rsid w:val="000930DA"/>
    <w:rsid w:val="000931EB"/>
    <w:rsid w:val="000932F9"/>
    <w:rsid w:val="00093382"/>
    <w:rsid w:val="000933C9"/>
    <w:rsid w:val="0009345D"/>
    <w:rsid w:val="00093550"/>
    <w:rsid w:val="00093985"/>
    <w:rsid w:val="000939A7"/>
    <w:rsid w:val="00093A5F"/>
    <w:rsid w:val="00093C27"/>
    <w:rsid w:val="00093EDE"/>
    <w:rsid w:val="00093FF4"/>
    <w:rsid w:val="0009408D"/>
    <w:rsid w:val="000941B8"/>
    <w:rsid w:val="00094280"/>
    <w:rsid w:val="0009441A"/>
    <w:rsid w:val="00094450"/>
    <w:rsid w:val="000945C6"/>
    <w:rsid w:val="0009470F"/>
    <w:rsid w:val="00094733"/>
    <w:rsid w:val="0009491A"/>
    <w:rsid w:val="00094AC3"/>
    <w:rsid w:val="00094D5F"/>
    <w:rsid w:val="00094EE2"/>
    <w:rsid w:val="00094F74"/>
    <w:rsid w:val="00095099"/>
    <w:rsid w:val="000950C9"/>
    <w:rsid w:val="00095472"/>
    <w:rsid w:val="00095611"/>
    <w:rsid w:val="00095839"/>
    <w:rsid w:val="000958D1"/>
    <w:rsid w:val="0009593B"/>
    <w:rsid w:val="000959DE"/>
    <w:rsid w:val="00095A92"/>
    <w:rsid w:val="00095B75"/>
    <w:rsid w:val="00095D94"/>
    <w:rsid w:val="00095DC3"/>
    <w:rsid w:val="00095EC1"/>
    <w:rsid w:val="00095FC6"/>
    <w:rsid w:val="00095FED"/>
    <w:rsid w:val="00096110"/>
    <w:rsid w:val="0009621D"/>
    <w:rsid w:val="000962AE"/>
    <w:rsid w:val="000963B8"/>
    <w:rsid w:val="00096430"/>
    <w:rsid w:val="00096502"/>
    <w:rsid w:val="0009677E"/>
    <w:rsid w:val="00096901"/>
    <w:rsid w:val="00096977"/>
    <w:rsid w:val="00096B95"/>
    <w:rsid w:val="00096C0A"/>
    <w:rsid w:val="00096C1B"/>
    <w:rsid w:val="00096CDC"/>
    <w:rsid w:val="00096DB4"/>
    <w:rsid w:val="00096E5E"/>
    <w:rsid w:val="00096EE9"/>
    <w:rsid w:val="00096F84"/>
    <w:rsid w:val="00096FC7"/>
    <w:rsid w:val="000975D0"/>
    <w:rsid w:val="000976F3"/>
    <w:rsid w:val="000976FD"/>
    <w:rsid w:val="0009770D"/>
    <w:rsid w:val="0009777B"/>
    <w:rsid w:val="0009782A"/>
    <w:rsid w:val="000978A4"/>
    <w:rsid w:val="000978B4"/>
    <w:rsid w:val="00097B40"/>
    <w:rsid w:val="00097D6D"/>
    <w:rsid w:val="00097FEB"/>
    <w:rsid w:val="000A0093"/>
    <w:rsid w:val="000A013B"/>
    <w:rsid w:val="000A01BD"/>
    <w:rsid w:val="000A01E9"/>
    <w:rsid w:val="000A04E8"/>
    <w:rsid w:val="000A073E"/>
    <w:rsid w:val="000A07CE"/>
    <w:rsid w:val="000A080B"/>
    <w:rsid w:val="000A080C"/>
    <w:rsid w:val="000A098B"/>
    <w:rsid w:val="000A0A38"/>
    <w:rsid w:val="000A0B9C"/>
    <w:rsid w:val="000A0C5D"/>
    <w:rsid w:val="000A0CAD"/>
    <w:rsid w:val="000A0CBD"/>
    <w:rsid w:val="000A0D18"/>
    <w:rsid w:val="000A0EC5"/>
    <w:rsid w:val="000A0F17"/>
    <w:rsid w:val="000A148C"/>
    <w:rsid w:val="000A14EF"/>
    <w:rsid w:val="000A1523"/>
    <w:rsid w:val="000A179F"/>
    <w:rsid w:val="000A1951"/>
    <w:rsid w:val="000A1CC3"/>
    <w:rsid w:val="000A1E29"/>
    <w:rsid w:val="000A1F1A"/>
    <w:rsid w:val="000A207C"/>
    <w:rsid w:val="000A209F"/>
    <w:rsid w:val="000A20CA"/>
    <w:rsid w:val="000A22BD"/>
    <w:rsid w:val="000A231E"/>
    <w:rsid w:val="000A24A5"/>
    <w:rsid w:val="000A2525"/>
    <w:rsid w:val="000A25DD"/>
    <w:rsid w:val="000A260E"/>
    <w:rsid w:val="000A26BD"/>
    <w:rsid w:val="000A28EE"/>
    <w:rsid w:val="000A290D"/>
    <w:rsid w:val="000A29A8"/>
    <w:rsid w:val="000A2A37"/>
    <w:rsid w:val="000A2BC7"/>
    <w:rsid w:val="000A2CEA"/>
    <w:rsid w:val="000A2E0D"/>
    <w:rsid w:val="000A36B9"/>
    <w:rsid w:val="000A3738"/>
    <w:rsid w:val="000A39D5"/>
    <w:rsid w:val="000A3C5E"/>
    <w:rsid w:val="000A3D3E"/>
    <w:rsid w:val="000A3E80"/>
    <w:rsid w:val="000A3F9C"/>
    <w:rsid w:val="000A402F"/>
    <w:rsid w:val="000A4145"/>
    <w:rsid w:val="000A4392"/>
    <w:rsid w:val="000A4433"/>
    <w:rsid w:val="000A444E"/>
    <w:rsid w:val="000A45CE"/>
    <w:rsid w:val="000A480A"/>
    <w:rsid w:val="000A48D1"/>
    <w:rsid w:val="000A495D"/>
    <w:rsid w:val="000A4AC8"/>
    <w:rsid w:val="000A4B32"/>
    <w:rsid w:val="000A4C61"/>
    <w:rsid w:val="000A4D58"/>
    <w:rsid w:val="000A4F54"/>
    <w:rsid w:val="000A4F89"/>
    <w:rsid w:val="000A514F"/>
    <w:rsid w:val="000A5153"/>
    <w:rsid w:val="000A5309"/>
    <w:rsid w:val="000A5313"/>
    <w:rsid w:val="000A5332"/>
    <w:rsid w:val="000A5463"/>
    <w:rsid w:val="000A555F"/>
    <w:rsid w:val="000A55C5"/>
    <w:rsid w:val="000A57E2"/>
    <w:rsid w:val="000A5802"/>
    <w:rsid w:val="000A580C"/>
    <w:rsid w:val="000A5825"/>
    <w:rsid w:val="000A596A"/>
    <w:rsid w:val="000A5B8E"/>
    <w:rsid w:val="000A5CE0"/>
    <w:rsid w:val="000A6017"/>
    <w:rsid w:val="000A616F"/>
    <w:rsid w:val="000A62D3"/>
    <w:rsid w:val="000A64DD"/>
    <w:rsid w:val="000A661C"/>
    <w:rsid w:val="000A674B"/>
    <w:rsid w:val="000A677D"/>
    <w:rsid w:val="000A679F"/>
    <w:rsid w:val="000A67A2"/>
    <w:rsid w:val="000A694F"/>
    <w:rsid w:val="000A6990"/>
    <w:rsid w:val="000A6C73"/>
    <w:rsid w:val="000A6E61"/>
    <w:rsid w:val="000A6E89"/>
    <w:rsid w:val="000A7099"/>
    <w:rsid w:val="000A709B"/>
    <w:rsid w:val="000A71A5"/>
    <w:rsid w:val="000A71DF"/>
    <w:rsid w:val="000A72D7"/>
    <w:rsid w:val="000A7502"/>
    <w:rsid w:val="000A750C"/>
    <w:rsid w:val="000A76D0"/>
    <w:rsid w:val="000A7720"/>
    <w:rsid w:val="000A778F"/>
    <w:rsid w:val="000A7837"/>
    <w:rsid w:val="000A787C"/>
    <w:rsid w:val="000A799F"/>
    <w:rsid w:val="000A7A68"/>
    <w:rsid w:val="000A7AB4"/>
    <w:rsid w:val="000A7ADF"/>
    <w:rsid w:val="000A7B37"/>
    <w:rsid w:val="000A7E5E"/>
    <w:rsid w:val="000A7FEA"/>
    <w:rsid w:val="000B0027"/>
    <w:rsid w:val="000B0064"/>
    <w:rsid w:val="000B00AF"/>
    <w:rsid w:val="000B017A"/>
    <w:rsid w:val="000B02A7"/>
    <w:rsid w:val="000B03CA"/>
    <w:rsid w:val="000B04F3"/>
    <w:rsid w:val="000B05DB"/>
    <w:rsid w:val="000B07D1"/>
    <w:rsid w:val="000B088A"/>
    <w:rsid w:val="000B09E4"/>
    <w:rsid w:val="000B0A18"/>
    <w:rsid w:val="000B0A57"/>
    <w:rsid w:val="000B0B0D"/>
    <w:rsid w:val="000B0B8E"/>
    <w:rsid w:val="000B0B93"/>
    <w:rsid w:val="000B0CF4"/>
    <w:rsid w:val="000B0EB9"/>
    <w:rsid w:val="000B1106"/>
    <w:rsid w:val="000B11AA"/>
    <w:rsid w:val="000B1253"/>
    <w:rsid w:val="000B127F"/>
    <w:rsid w:val="000B12F6"/>
    <w:rsid w:val="000B144B"/>
    <w:rsid w:val="000B158F"/>
    <w:rsid w:val="000B1616"/>
    <w:rsid w:val="000B161D"/>
    <w:rsid w:val="000B179B"/>
    <w:rsid w:val="000B1ADD"/>
    <w:rsid w:val="000B1B5A"/>
    <w:rsid w:val="000B1CBD"/>
    <w:rsid w:val="000B1E1B"/>
    <w:rsid w:val="000B1E48"/>
    <w:rsid w:val="000B20B1"/>
    <w:rsid w:val="000B2101"/>
    <w:rsid w:val="000B237D"/>
    <w:rsid w:val="000B23B6"/>
    <w:rsid w:val="000B23BA"/>
    <w:rsid w:val="000B2402"/>
    <w:rsid w:val="000B2430"/>
    <w:rsid w:val="000B261E"/>
    <w:rsid w:val="000B27AE"/>
    <w:rsid w:val="000B27CA"/>
    <w:rsid w:val="000B2ADF"/>
    <w:rsid w:val="000B2BF1"/>
    <w:rsid w:val="000B2EB9"/>
    <w:rsid w:val="000B2ED4"/>
    <w:rsid w:val="000B31A2"/>
    <w:rsid w:val="000B328C"/>
    <w:rsid w:val="000B3336"/>
    <w:rsid w:val="000B36B8"/>
    <w:rsid w:val="000B36C4"/>
    <w:rsid w:val="000B374B"/>
    <w:rsid w:val="000B37B7"/>
    <w:rsid w:val="000B3A75"/>
    <w:rsid w:val="000B3B16"/>
    <w:rsid w:val="000B3BE8"/>
    <w:rsid w:val="000B3DB8"/>
    <w:rsid w:val="000B3E7F"/>
    <w:rsid w:val="000B3EB4"/>
    <w:rsid w:val="000B3F05"/>
    <w:rsid w:val="000B4015"/>
    <w:rsid w:val="000B4206"/>
    <w:rsid w:val="000B42A2"/>
    <w:rsid w:val="000B4394"/>
    <w:rsid w:val="000B4613"/>
    <w:rsid w:val="000B46DF"/>
    <w:rsid w:val="000B4747"/>
    <w:rsid w:val="000B4A76"/>
    <w:rsid w:val="000B4AB0"/>
    <w:rsid w:val="000B4AB2"/>
    <w:rsid w:val="000B4B69"/>
    <w:rsid w:val="000B4DB1"/>
    <w:rsid w:val="000B4DF6"/>
    <w:rsid w:val="000B4FA8"/>
    <w:rsid w:val="000B4FC4"/>
    <w:rsid w:val="000B50AE"/>
    <w:rsid w:val="000B50CF"/>
    <w:rsid w:val="000B50F4"/>
    <w:rsid w:val="000B515A"/>
    <w:rsid w:val="000B5302"/>
    <w:rsid w:val="000B5332"/>
    <w:rsid w:val="000B5553"/>
    <w:rsid w:val="000B57C6"/>
    <w:rsid w:val="000B5995"/>
    <w:rsid w:val="000B5C90"/>
    <w:rsid w:val="000B5E06"/>
    <w:rsid w:val="000B5E6B"/>
    <w:rsid w:val="000B5ED4"/>
    <w:rsid w:val="000B612F"/>
    <w:rsid w:val="000B6168"/>
    <w:rsid w:val="000B6339"/>
    <w:rsid w:val="000B66A7"/>
    <w:rsid w:val="000B6795"/>
    <w:rsid w:val="000B680A"/>
    <w:rsid w:val="000B6826"/>
    <w:rsid w:val="000B68F4"/>
    <w:rsid w:val="000B69A3"/>
    <w:rsid w:val="000B6A70"/>
    <w:rsid w:val="000B6B37"/>
    <w:rsid w:val="000B6DC3"/>
    <w:rsid w:val="000B702C"/>
    <w:rsid w:val="000B7103"/>
    <w:rsid w:val="000B7187"/>
    <w:rsid w:val="000B719B"/>
    <w:rsid w:val="000B7429"/>
    <w:rsid w:val="000B746E"/>
    <w:rsid w:val="000B74A3"/>
    <w:rsid w:val="000B7671"/>
    <w:rsid w:val="000B7723"/>
    <w:rsid w:val="000B77E2"/>
    <w:rsid w:val="000B791F"/>
    <w:rsid w:val="000B7982"/>
    <w:rsid w:val="000B7CA4"/>
    <w:rsid w:val="000B7DA0"/>
    <w:rsid w:val="000B7DB9"/>
    <w:rsid w:val="000B7ED5"/>
    <w:rsid w:val="000B7EE9"/>
    <w:rsid w:val="000C019D"/>
    <w:rsid w:val="000C01FB"/>
    <w:rsid w:val="000C02FC"/>
    <w:rsid w:val="000C0356"/>
    <w:rsid w:val="000C03EE"/>
    <w:rsid w:val="000C042D"/>
    <w:rsid w:val="000C0475"/>
    <w:rsid w:val="000C04B3"/>
    <w:rsid w:val="000C05B0"/>
    <w:rsid w:val="000C0609"/>
    <w:rsid w:val="000C060F"/>
    <w:rsid w:val="000C065C"/>
    <w:rsid w:val="000C068F"/>
    <w:rsid w:val="000C0866"/>
    <w:rsid w:val="000C08B4"/>
    <w:rsid w:val="000C0902"/>
    <w:rsid w:val="000C0C6A"/>
    <w:rsid w:val="000C0D43"/>
    <w:rsid w:val="000C0DD5"/>
    <w:rsid w:val="000C10DB"/>
    <w:rsid w:val="000C10FA"/>
    <w:rsid w:val="000C112D"/>
    <w:rsid w:val="000C1148"/>
    <w:rsid w:val="000C11EC"/>
    <w:rsid w:val="000C13A4"/>
    <w:rsid w:val="000C159B"/>
    <w:rsid w:val="000C163B"/>
    <w:rsid w:val="000C170C"/>
    <w:rsid w:val="000C18AB"/>
    <w:rsid w:val="000C1A0D"/>
    <w:rsid w:val="000C1AEF"/>
    <w:rsid w:val="000C1AF8"/>
    <w:rsid w:val="000C1B86"/>
    <w:rsid w:val="000C1D30"/>
    <w:rsid w:val="000C1ED6"/>
    <w:rsid w:val="000C201B"/>
    <w:rsid w:val="000C2056"/>
    <w:rsid w:val="000C20ED"/>
    <w:rsid w:val="000C2162"/>
    <w:rsid w:val="000C21D1"/>
    <w:rsid w:val="000C2260"/>
    <w:rsid w:val="000C2383"/>
    <w:rsid w:val="000C2504"/>
    <w:rsid w:val="000C28FD"/>
    <w:rsid w:val="000C2A16"/>
    <w:rsid w:val="000C2A19"/>
    <w:rsid w:val="000C2AA4"/>
    <w:rsid w:val="000C2C11"/>
    <w:rsid w:val="000C2F54"/>
    <w:rsid w:val="000C2FDE"/>
    <w:rsid w:val="000C30A8"/>
    <w:rsid w:val="000C3119"/>
    <w:rsid w:val="000C33DA"/>
    <w:rsid w:val="000C349E"/>
    <w:rsid w:val="000C34B8"/>
    <w:rsid w:val="000C3567"/>
    <w:rsid w:val="000C369B"/>
    <w:rsid w:val="000C3881"/>
    <w:rsid w:val="000C39C3"/>
    <w:rsid w:val="000C3A1E"/>
    <w:rsid w:val="000C3A4F"/>
    <w:rsid w:val="000C3C51"/>
    <w:rsid w:val="000C3DB1"/>
    <w:rsid w:val="000C40B4"/>
    <w:rsid w:val="000C4344"/>
    <w:rsid w:val="000C43F2"/>
    <w:rsid w:val="000C4410"/>
    <w:rsid w:val="000C445B"/>
    <w:rsid w:val="000C4516"/>
    <w:rsid w:val="000C477C"/>
    <w:rsid w:val="000C4956"/>
    <w:rsid w:val="000C49DA"/>
    <w:rsid w:val="000C4A8B"/>
    <w:rsid w:val="000C4C86"/>
    <w:rsid w:val="000C5074"/>
    <w:rsid w:val="000C560D"/>
    <w:rsid w:val="000C5639"/>
    <w:rsid w:val="000C5764"/>
    <w:rsid w:val="000C57DE"/>
    <w:rsid w:val="000C5A3D"/>
    <w:rsid w:val="000C5C51"/>
    <w:rsid w:val="000C5CB6"/>
    <w:rsid w:val="000C5D93"/>
    <w:rsid w:val="000C5DA8"/>
    <w:rsid w:val="000C5DB0"/>
    <w:rsid w:val="000C5E97"/>
    <w:rsid w:val="000C5FFB"/>
    <w:rsid w:val="000C606B"/>
    <w:rsid w:val="000C60EB"/>
    <w:rsid w:val="000C60FF"/>
    <w:rsid w:val="000C61AD"/>
    <w:rsid w:val="000C61D8"/>
    <w:rsid w:val="000C63EF"/>
    <w:rsid w:val="000C6436"/>
    <w:rsid w:val="000C65B4"/>
    <w:rsid w:val="000C66FB"/>
    <w:rsid w:val="000C672B"/>
    <w:rsid w:val="000C677C"/>
    <w:rsid w:val="000C68CF"/>
    <w:rsid w:val="000C6AAB"/>
    <w:rsid w:val="000C6BF1"/>
    <w:rsid w:val="000C6CE9"/>
    <w:rsid w:val="000C6D9B"/>
    <w:rsid w:val="000C6FAB"/>
    <w:rsid w:val="000C724F"/>
    <w:rsid w:val="000C72C0"/>
    <w:rsid w:val="000C73BC"/>
    <w:rsid w:val="000C73C0"/>
    <w:rsid w:val="000C76FD"/>
    <w:rsid w:val="000C7805"/>
    <w:rsid w:val="000C7A10"/>
    <w:rsid w:val="000C7AB0"/>
    <w:rsid w:val="000C7CE2"/>
    <w:rsid w:val="000C7E62"/>
    <w:rsid w:val="000C7EBB"/>
    <w:rsid w:val="000C7EC8"/>
    <w:rsid w:val="000D00C4"/>
    <w:rsid w:val="000D00F9"/>
    <w:rsid w:val="000D0222"/>
    <w:rsid w:val="000D0290"/>
    <w:rsid w:val="000D0381"/>
    <w:rsid w:val="000D040E"/>
    <w:rsid w:val="000D044E"/>
    <w:rsid w:val="000D061D"/>
    <w:rsid w:val="000D063C"/>
    <w:rsid w:val="000D071D"/>
    <w:rsid w:val="000D0A0D"/>
    <w:rsid w:val="000D0BBA"/>
    <w:rsid w:val="000D0BC4"/>
    <w:rsid w:val="000D0CA3"/>
    <w:rsid w:val="000D0DC6"/>
    <w:rsid w:val="000D0DC9"/>
    <w:rsid w:val="000D0EAC"/>
    <w:rsid w:val="000D0EF2"/>
    <w:rsid w:val="000D0EF7"/>
    <w:rsid w:val="000D10F1"/>
    <w:rsid w:val="000D11C3"/>
    <w:rsid w:val="000D1237"/>
    <w:rsid w:val="000D13F7"/>
    <w:rsid w:val="000D1693"/>
    <w:rsid w:val="000D178C"/>
    <w:rsid w:val="000D17EC"/>
    <w:rsid w:val="000D1843"/>
    <w:rsid w:val="000D1883"/>
    <w:rsid w:val="000D1982"/>
    <w:rsid w:val="000D1A63"/>
    <w:rsid w:val="000D1D2C"/>
    <w:rsid w:val="000D1D6E"/>
    <w:rsid w:val="000D1F51"/>
    <w:rsid w:val="000D2000"/>
    <w:rsid w:val="000D20C2"/>
    <w:rsid w:val="000D2183"/>
    <w:rsid w:val="000D220A"/>
    <w:rsid w:val="000D2261"/>
    <w:rsid w:val="000D24D1"/>
    <w:rsid w:val="000D252B"/>
    <w:rsid w:val="000D286F"/>
    <w:rsid w:val="000D2972"/>
    <w:rsid w:val="000D2B1E"/>
    <w:rsid w:val="000D2B3B"/>
    <w:rsid w:val="000D2C19"/>
    <w:rsid w:val="000D2C79"/>
    <w:rsid w:val="000D2CFF"/>
    <w:rsid w:val="000D2DA7"/>
    <w:rsid w:val="000D303F"/>
    <w:rsid w:val="000D3084"/>
    <w:rsid w:val="000D310E"/>
    <w:rsid w:val="000D3290"/>
    <w:rsid w:val="000D32DE"/>
    <w:rsid w:val="000D32EB"/>
    <w:rsid w:val="000D3430"/>
    <w:rsid w:val="000D3461"/>
    <w:rsid w:val="000D34E2"/>
    <w:rsid w:val="000D3501"/>
    <w:rsid w:val="000D3593"/>
    <w:rsid w:val="000D363A"/>
    <w:rsid w:val="000D365A"/>
    <w:rsid w:val="000D383B"/>
    <w:rsid w:val="000D3AE8"/>
    <w:rsid w:val="000D3B00"/>
    <w:rsid w:val="000D3B0A"/>
    <w:rsid w:val="000D3EA1"/>
    <w:rsid w:val="000D3F62"/>
    <w:rsid w:val="000D4250"/>
    <w:rsid w:val="000D42EA"/>
    <w:rsid w:val="000D4334"/>
    <w:rsid w:val="000D4435"/>
    <w:rsid w:val="000D451E"/>
    <w:rsid w:val="000D46DB"/>
    <w:rsid w:val="000D4892"/>
    <w:rsid w:val="000D48E9"/>
    <w:rsid w:val="000D4900"/>
    <w:rsid w:val="000D4958"/>
    <w:rsid w:val="000D498F"/>
    <w:rsid w:val="000D4B25"/>
    <w:rsid w:val="000D4B2E"/>
    <w:rsid w:val="000D4C9D"/>
    <w:rsid w:val="000D4CD2"/>
    <w:rsid w:val="000D4D4C"/>
    <w:rsid w:val="000D4DB9"/>
    <w:rsid w:val="000D4EE5"/>
    <w:rsid w:val="000D4F8A"/>
    <w:rsid w:val="000D4FFD"/>
    <w:rsid w:val="000D5185"/>
    <w:rsid w:val="000D527F"/>
    <w:rsid w:val="000D532B"/>
    <w:rsid w:val="000D537B"/>
    <w:rsid w:val="000D54E9"/>
    <w:rsid w:val="000D55FE"/>
    <w:rsid w:val="000D562F"/>
    <w:rsid w:val="000D56D0"/>
    <w:rsid w:val="000D583B"/>
    <w:rsid w:val="000D598B"/>
    <w:rsid w:val="000D5BAE"/>
    <w:rsid w:val="000D5F12"/>
    <w:rsid w:val="000D5FEC"/>
    <w:rsid w:val="000D6030"/>
    <w:rsid w:val="000D6082"/>
    <w:rsid w:val="000D60EB"/>
    <w:rsid w:val="000D6161"/>
    <w:rsid w:val="000D61A4"/>
    <w:rsid w:val="000D61AB"/>
    <w:rsid w:val="000D637A"/>
    <w:rsid w:val="000D6385"/>
    <w:rsid w:val="000D63A4"/>
    <w:rsid w:val="000D63CD"/>
    <w:rsid w:val="000D64B6"/>
    <w:rsid w:val="000D6645"/>
    <w:rsid w:val="000D6685"/>
    <w:rsid w:val="000D6782"/>
    <w:rsid w:val="000D68A5"/>
    <w:rsid w:val="000D69EE"/>
    <w:rsid w:val="000D6AF3"/>
    <w:rsid w:val="000D6C5E"/>
    <w:rsid w:val="000D6D2B"/>
    <w:rsid w:val="000D6DA7"/>
    <w:rsid w:val="000D7251"/>
    <w:rsid w:val="000D7374"/>
    <w:rsid w:val="000D739E"/>
    <w:rsid w:val="000D7611"/>
    <w:rsid w:val="000D76E7"/>
    <w:rsid w:val="000D7901"/>
    <w:rsid w:val="000D7B01"/>
    <w:rsid w:val="000D7DED"/>
    <w:rsid w:val="000D7FBE"/>
    <w:rsid w:val="000E01FA"/>
    <w:rsid w:val="000E0304"/>
    <w:rsid w:val="000E034E"/>
    <w:rsid w:val="000E03DF"/>
    <w:rsid w:val="000E05B9"/>
    <w:rsid w:val="000E06BB"/>
    <w:rsid w:val="000E0802"/>
    <w:rsid w:val="000E0899"/>
    <w:rsid w:val="000E0910"/>
    <w:rsid w:val="000E09A2"/>
    <w:rsid w:val="000E0B74"/>
    <w:rsid w:val="000E0B8E"/>
    <w:rsid w:val="000E0D09"/>
    <w:rsid w:val="000E0DC5"/>
    <w:rsid w:val="000E0F04"/>
    <w:rsid w:val="000E1078"/>
    <w:rsid w:val="000E11E9"/>
    <w:rsid w:val="000E12B3"/>
    <w:rsid w:val="000E130A"/>
    <w:rsid w:val="000E1471"/>
    <w:rsid w:val="000E14AF"/>
    <w:rsid w:val="000E16F7"/>
    <w:rsid w:val="000E177C"/>
    <w:rsid w:val="000E189E"/>
    <w:rsid w:val="000E18C8"/>
    <w:rsid w:val="000E18E8"/>
    <w:rsid w:val="000E1C02"/>
    <w:rsid w:val="000E1C59"/>
    <w:rsid w:val="000E1CB7"/>
    <w:rsid w:val="000E1EE4"/>
    <w:rsid w:val="000E200A"/>
    <w:rsid w:val="000E203A"/>
    <w:rsid w:val="000E2111"/>
    <w:rsid w:val="000E2134"/>
    <w:rsid w:val="000E2137"/>
    <w:rsid w:val="000E2151"/>
    <w:rsid w:val="000E21B2"/>
    <w:rsid w:val="000E21D4"/>
    <w:rsid w:val="000E22CA"/>
    <w:rsid w:val="000E22D5"/>
    <w:rsid w:val="000E23D7"/>
    <w:rsid w:val="000E267B"/>
    <w:rsid w:val="000E26B9"/>
    <w:rsid w:val="000E2893"/>
    <w:rsid w:val="000E2A5D"/>
    <w:rsid w:val="000E2B46"/>
    <w:rsid w:val="000E2D24"/>
    <w:rsid w:val="000E2E75"/>
    <w:rsid w:val="000E2FF3"/>
    <w:rsid w:val="000E30DF"/>
    <w:rsid w:val="000E30FA"/>
    <w:rsid w:val="000E32C9"/>
    <w:rsid w:val="000E337E"/>
    <w:rsid w:val="000E3412"/>
    <w:rsid w:val="000E3612"/>
    <w:rsid w:val="000E3634"/>
    <w:rsid w:val="000E369D"/>
    <w:rsid w:val="000E374E"/>
    <w:rsid w:val="000E37C4"/>
    <w:rsid w:val="000E387B"/>
    <w:rsid w:val="000E38A1"/>
    <w:rsid w:val="000E38FB"/>
    <w:rsid w:val="000E3A23"/>
    <w:rsid w:val="000E3CAF"/>
    <w:rsid w:val="000E3CF9"/>
    <w:rsid w:val="000E3D27"/>
    <w:rsid w:val="000E3DE4"/>
    <w:rsid w:val="000E3F75"/>
    <w:rsid w:val="000E4053"/>
    <w:rsid w:val="000E40BE"/>
    <w:rsid w:val="000E42A5"/>
    <w:rsid w:val="000E4351"/>
    <w:rsid w:val="000E443C"/>
    <w:rsid w:val="000E444B"/>
    <w:rsid w:val="000E453E"/>
    <w:rsid w:val="000E4550"/>
    <w:rsid w:val="000E4554"/>
    <w:rsid w:val="000E45F0"/>
    <w:rsid w:val="000E4697"/>
    <w:rsid w:val="000E470A"/>
    <w:rsid w:val="000E4A86"/>
    <w:rsid w:val="000E4AB8"/>
    <w:rsid w:val="000E4C2D"/>
    <w:rsid w:val="000E4DF0"/>
    <w:rsid w:val="000E4FCB"/>
    <w:rsid w:val="000E501B"/>
    <w:rsid w:val="000E5311"/>
    <w:rsid w:val="000E55C8"/>
    <w:rsid w:val="000E5647"/>
    <w:rsid w:val="000E573D"/>
    <w:rsid w:val="000E5819"/>
    <w:rsid w:val="000E599D"/>
    <w:rsid w:val="000E5A27"/>
    <w:rsid w:val="000E5A54"/>
    <w:rsid w:val="000E5B11"/>
    <w:rsid w:val="000E5B9A"/>
    <w:rsid w:val="000E5C56"/>
    <w:rsid w:val="000E6017"/>
    <w:rsid w:val="000E6222"/>
    <w:rsid w:val="000E6530"/>
    <w:rsid w:val="000E661B"/>
    <w:rsid w:val="000E66E6"/>
    <w:rsid w:val="000E67D8"/>
    <w:rsid w:val="000E6852"/>
    <w:rsid w:val="000E69F1"/>
    <w:rsid w:val="000E6B59"/>
    <w:rsid w:val="000E6E97"/>
    <w:rsid w:val="000E70D0"/>
    <w:rsid w:val="000E72C0"/>
    <w:rsid w:val="000E75A0"/>
    <w:rsid w:val="000E76CB"/>
    <w:rsid w:val="000E76D9"/>
    <w:rsid w:val="000E781D"/>
    <w:rsid w:val="000E7BC1"/>
    <w:rsid w:val="000E7C32"/>
    <w:rsid w:val="000E7CEA"/>
    <w:rsid w:val="000E7E43"/>
    <w:rsid w:val="000E7F21"/>
    <w:rsid w:val="000E7F42"/>
    <w:rsid w:val="000E7F71"/>
    <w:rsid w:val="000F03C3"/>
    <w:rsid w:val="000F0590"/>
    <w:rsid w:val="000F085C"/>
    <w:rsid w:val="000F09DA"/>
    <w:rsid w:val="000F0B02"/>
    <w:rsid w:val="000F0C68"/>
    <w:rsid w:val="000F0CB7"/>
    <w:rsid w:val="000F0D08"/>
    <w:rsid w:val="000F0FA9"/>
    <w:rsid w:val="000F10AC"/>
    <w:rsid w:val="000F113F"/>
    <w:rsid w:val="000F1160"/>
    <w:rsid w:val="000F11EC"/>
    <w:rsid w:val="000F13BA"/>
    <w:rsid w:val="000F13F8"/>
    <w:rsid w:val="000F17AD"/>
    <w:rsid w:val="000F19DF"/>
    <w:rsid w:val="000F1A56"/>
    <w:rsid w:val="000F1A69"/>
    <w:rsid w:val="000F1BAB"/>
    <w:rsid w:val="000F1CB7"/>
    <w:rsid w:val="000F1D1D"/>
    <w:rsid w:val="000F1F57"/>
    <w:rsid w:val="000F2107"/>
    <w:rsid w:val="000F2271"/>
    <w:rsid w:val="000F22D1"/>
    <w:rsid w:val="000F2329"/>
    <w:rsid w:val="000F27F2"/>
    <w:rsid w:val="000F282F"/>
    <w:rsid w:val="000F297C"/>
    <w:rsid w:val="000F2A81"/>
    <w:rsid w:val="000F2ABB"/>
    <w:rsid w:val="000F2B86"/>
    <w:rsid w:val="000F2B8A"/>
    <w:rsid w:val="000F2BBD"/>
    <w:rsid w:val="000F2CCD"/>
    <w:rsid w:val="000F2D4F"/>
    <w:rsid w:val="000F2DBF"/>
    <w:rsid w:val="000F2E31"/>
    <w:rsid w:val="000F2E99"/>
    <w:rsid w:val="000F2EE3"/>
    <w:rsid w:val="000F2FE7"/>
    <w:rsid w:val="000F2FEB"/>
    <w:rsid w:val="000F3097"/>
    <w:rsid w:val="000F316A"/>
    <w:rsid w:val="000F32B7"/>
    <w:rsid w:val="000F3424"/>
    <w:rsid w:val="000F3457"/>
    <w:rsid w:val="000F35B1"/>
    <w:rsid w:val="000F3653"/>
    <w:rsid w:val="000F397E"/>
    <w:rsid w:val="000F3B93"/>
    <w:rsid w:val="000F3BE3"/>
    <w:rsid w:val="000F3C75"/>
    <w:rsid w:val="000F3D46"/>
    <w:rsid w:val="000F3DE3"/>
    <w:rsid w:val="000F3E2B"/>
    <w:rsid w:val="000F3ED5"/>
    <w:rsid w:val="000F4085"/>
    <w:rsid w:val="000F410A"/>
    <w:rsid w:val="000F417D"/>
    <w:rsid w:val="000F4181"/>
    <w:rsid w:val="000F4193"/>
    <w:rsid w:val="000F4213"/>
    <w:rsid w:val="000F434E"/>
    <w:rsid w:val="000F43AE"/>
    <w:rsid w:val="000F4530"/>
    <w:rsid w:val="000F47E5"/>
    <w:rsid w:val="000F4845"/>
    <w:rsid w:val="000F498C"/>
    <w:rsid w:val="000F49B9"/>
    <w:rsid w:val="000F4A80"/>
    <w:rsid w:val="000F4ABB"/>
    <w:rsid w:val="000F4ADE"/>
    <w:rsid w:val="000F4C0A"/>
    <w:rsid w:val="000F4C81"/>
    <w:rsid w:val="000F4CD0"/>
    <w:rsid w:val="000F4DAA"/>
    <w:rsid w:val="000F4FC1"/>
    <w:rsid w:val="000F507F"/>
    <w:rsid w:val="000F509F"/>
    <w:rsid w:val="000F51C4"/>
    <w:rsid w:val="000F525B"/>
    <w:rsid w:val="000F53E8"/>
    <w:rsid w:val="000F544D"/>
    <w:rsid w:val="000F5505"/>
    <w:rsid w:val="000F575F"/>
    <w:rsid w:val="000F5764"/>
    <w:rsid w:val="000F578B"/>
    <w:rsid w:val="000F57CB"/>
    <w:rsid w:val="000F5858"/>
    <w:rsid w:val="000F5B3F"/>
    <w:rsid w:val="000F5B95"/>
    <w:rsid w:val="000F5BB5"/>
    <w:rsid w:val="000F5C4C"/>
    <w:rsid w:val="000F5D46"/>
    <w:rsid w:val="000F5DDA"/>
    <w:rsid w:val="000F60A0"/>
    <w:rsid w:val="000F60E8"/>
    <w:rsid w:val="000F6138"/>
    <w:rsid w:val="000F6161"/>
    <w:rsid w:val="000F61C1"/>
    <w:rsid w:val="000F625F"/>
    <w:rsid w:val="000F6349"/>
    <w:rsid w:val="000F640C"/>
    <w:rsid w:val="000F6539"/>
    <w:rsid w:val="000F657F"/>
    <w:rsid w:val="000F664A"/>
    <w:rsid w:val="000F666F"/>
    <w:rsid w:val="000F671D"/>
    <w:rsid w:val="000F6B5F"/>
    <w:rsid w:val="000F6BB3"/>
    <w:rsid w:val="000F6BC3"/>
    <w:rsid w:val="000F6C11"/>
    <w:rsid w:val="000F6D2F"/>
    <w:rsid w:val="000F6F0B"/>
    <w:rsid w:val="000F7212"/>
    <w:rsid w:val="000F74A9"/>
    <w:rsid w:val="000F760E"/>
    <w:rsid w:val="000F76CF"/>
    <w:rsid w:val="000F76DA"/>
    <w:rsid w:val="000F7CB0"/>
    <w:rsid w:val="000F7F7E"/>
    <w:rsid w:val="0010007A"/>
    <w:rsid w:val="001001F2"/>
    <w:rsid w:val="0010024A"/>
    <w:rsid w:val="001002A3"/>
    <w:rsid w:val="001002DA"/>
    <w:rsid w:val="001003CB"/>
    <w:rsid w:val="0010061F"/>
    <w:rsid w:val="0010062A"/>
    <w:rsid w:val="00100667"/>
    <w:rsid w:val="001006A7"/>
    <w:rsid w:val="001006FD"/>
    <w:rsid w:val="001008D2"/>
    <w:rsid w:val="00100A2D"/>
    <w:rsid w:val="00100A79"/>
    <w:rsid w:val="00100B9A"/>
    <w:rsid w:val="00100D2E"/>
    <w:rsid w:val="00100D42"/>
    <w:rsid w:val="00100FD5"/>
    <w:rsid w:val="0010109A"/>
    <w:rsid w:val="0010111A"/>
    <w:rsid w:val="001012E7"/>
    <w:rsid w:val="0010143F"/>
    <w:rsid w:val="00101524"/>
    <w:rsid w:val="00101601"/>
    <w:rsid w:val="001016FB"/>
    <w:rsid w:val="00101792"/>
    <w:rsid w:val="001017F3"/>
    <w:rsid w:val="0010192A"/>
    <w:rsid w:val="00101AB8"/>
    <w:rsid w:val="00101AE0"/>
    <w:rsid w:val="00101B44"/>
    <w:rsid w:val="00101BCC"/>
    <w:rsid w:val="00101C00"/>
    <w:rsid w:val="00101D4B"/>
    <w:rsid w:val="00101E94"/>
    <w:rsid w:val="00102214"/>
    <w:rsid w:val="0010235C"/>
    <w:rsid w:val="001024AE"/>
    <w:rsid w:val="00102589"/>
    <w:rsid w:val="00102698"/>
    <w:rsid w:val="00102733"/>
    <w:rsid w:val="00102806"/>
    <w:rsid w:val="0010284C"/>
    <w:rsid w:val="001028E2"/>
    <w:rsid w:val="00102AED"/>
    <w:rsid w:val="00102B33"/>
    <w:rsid w:val="00102E55"/>
    <w:rsid w:val="00103090"/>
    <w:rsid w:val="00103188"/>
    <w:rsid w:val="0010327D"/>
    <w:rsid w:val="0010341D"/>
    <w:rsid w:val="0010347B"/>
    <w:rsid w:val="0010357E"/>
    <w:rsid w:val="00103677"/>
    <w:rsid w:val="00103877"/>
    <w:rsid w:val="00103B21"/>
    <w:rsid w:val="00103B7F"/>
    <w:rsid w:val="00103D01"/>
    <w:rsid w:val="00103E5C"/>
    <w:rsid w:val="00103E5D"/>
    <w:rsid w:val="00103E99"/>
    <w:rsid w:val="00103F47"/>
    <w:rsid w:val="00103F5A"/>
    <w:rsid w:val="00103F8F"/>
    <w:rsid w:val="001040BF"/>
    <w:rsid w:val="00104147"/>
    <w:rsid w:val="00104154"/>
    <w:rsid w:val="0010423D"/>
    <w:rsid w:val="0010448B"/>
    <w:rsid w:val="001044F5"/>
    <w:rsid w:val="00104528"/>
    <w:rsid w:val="0010453B"/>
    <w:rsid w:val="001046DD"/>
    <w:rsid w:val="0010472E"/>
    <w:rsid w:val="00104738"/>
    <w:rsid w:val="00104ACC"/>
    <w:rsid w:val="00104C17"/>
    <w:rsid w:val="00104CA5"/>
    <w:rsid w:val="00104E77"/>
    <w:rsid w:val="00104E98"/>
    <w:rsid w:val="00104F77"/>
    <w:rsid w:val="0010510E"/>
    <w:rsid w:val="00105273"/>
    <w:rsid w:val="00105380"/>
    <w:rsid w:val="001053C6"/>
    <w:rsid w:val="001053D2"/>
    <w:rsid w:val="001057FE"/>
    <w:rsid w:val="00105855"/>
    <w:rsid w:val="0010591F"/>
    <w:rsid w:val="00105A30"/>
    <w:rsid w:val="00105D45"/>
    <w:rsid w:val="00105D96"/>
    <w:rsid w:val="00106052"/>
    <w:rsid w:val="00106136"/>
    <w:rsid w:val="0010627D"/>
    <w:rsid w:val="001062AF"/>
    <w:rsid w:val="00106590"/>
    <w:rsid w:val="0010685D"/>
    <w:rsid w:val="00106A08"/>
    <w:rsid w:val="00106B5D"/>
    <w:rsid w:val="00106BC9"/>
    <w:rsid w:val="00106BCE"/>
    <w:rsid w:val="00106D4A"/>
    <w:rsid w:val="00106E21"/>
    <w:rsid w:val="00106E2A"/>
    <w:rsid w:val="00106EE7"/>
    <w:rsid w:val="00107073"/>
    <w:rsid w:val="00107264"/>
    <w:rsid w:val="0010740E"/>
    <w:rsid w:val="0010747B"/>
    <w:rsid w:val="001074A0"/>
    <w:rsid w:val="001075D1"/>
    <w:rsid w:val="00107A5A"/>
    <w:rsid w:val="00107B43"/>
    <w:rsid w:val="00107E9C"/>
    <w:rsid w:val="00107F08"/>
    <w:rsid w:val="00107F26"/>
    <w:rsid w:val="00107F4E"/>
    <w:rsid w:val="001101F9"/>
    <w:rsid w:val="00110529"/>
    <w:rsid w:val="00110666"/>
    <w:rsid w:val="001106C8"/>
    <w:rsid w:val="001109CC"/>
    <w:rsid w:val="001109D6"/>
    <w:rsid w:val="00110A13"/>
    <w:rsid w:val="00110AEF"/>
    <w:rsid w:val="00110BEC"/>
    <w:rsid w:val="00110BFE"/>
    <w:rsid w:val="00110C9A"/>
    <w:rsid w:val="00110CFA"/>
    <w:rsid w:val="00110D1C"/>
    <w:rsid w:val="00110D21"/>
    <w:rsid w:val="00111069"/>
    <w:rsid w:val="00111081"/>
    <w:rsid w:val="00111099"/>
    <w:rsid w:val="00111120"/>
    <w:rsid w:val="00111235"/>
    <w:rsid w:val="00111421"/>
    <w:rsid w:val="00111526"/>
    <w:rsid w:val="001115B4"/>
    <w:rsid w:val="001117BA"/>
    <w:rsid w:val="00111803"/>
    <w:rsid w:val="0011181C"/>
    <w:rsid w:val="00111A0A"/>
    <w:rsid w:val="00111A7E"/>
    <w:rsid w:val="00111AD9"/>
    <w:rsid w:val="00111B37"/>
    <w:rsid w:val="00111CAD"/>
    <w:rsid w:val="00111D73"/>
    <w:rsid w:val="00111DAC"/>
    <w:rsid w:val="00111E00"/>
    <w:rsid w:val="00111E94"/>
    <w:rsid w:val="00111FD5"/>
    <w:rsid w:val="0011206E"/>
    <w:rsid w:val="00112195"/>
    <w:rsid w:val="001121A3"/>
    <w:rsid w:val="00112254"/>
    <w:rsid w:val="0011237D"/>
    <w:rsid w:val="001123B1"/>
    <w:rsid w:val="001123B6"/>
    <w:rsid w:val="00112666"/>
    <w:rsid w:val="00112BA6"/>
    <w:rsid w:val="00112BCB"/>
    <w:rsid w:val="00112BE4"/>
    <w:rsid w:val="00112E94"/>
    <w:rsid w:val="0011313E"/>
    <w:rsid w:val="0011333A"/>
    <w:rsid w:val="001133C6"/>
    <w:rsid w:val="001133D1"/>
    <w:rsid w:val="00113408"/>
    <w:rsid w:val="00113791"/>
    <w:rsid w:val="001138A7"/>
    <w:rsid w:val="001138AA"/>
    <w:rsid w:val="00113946"/>
    <w:rsid w:val="00113AE8"/>
    <w:rsid w:val="00113B25"/>
    <w:rsid w:val="00113E28"/>
    <w:rsid w:val="00114000"/>
    <w:rsid w:val="001140DE"/>
    <w:rsid w:val="0011431F"/>
    <w:rsid w:val="00114372"/>
    <w:rsid w:val="00114470"/>
    <w:rsid w:val="00114732"/>
    <w:rsid w:val="0011474E"/>
    <w:rsid w:val="0011475E"/>
    <w:rsid w:val="001147D0"/>
    <w:rsid w:val="0011481F"/>
    <w:rsid w:val="00114885"/>
    <w:rsid w:val="001149FD"/>
    <w:rsid w:val="00114A54"/>
    <w:rsid w:val="00114A63"/>
    <w:rsid w:val="00114C30"/>
    <w:rsid w:val="00115106"/>
    <w:rsid w:val="0011530A"/>
    <w:rsid w:val="00115323"/>
    <w:rsid w:val="00115425"/>
    <w:rsid w:val="0011557A"/>
    <w:rsid w:val="00115922"/>
    <w:rsid w:val="00115B6D"/>
    <w:rsid w:val="00115C0B"/>
    <w:rsid w:val="00115C91"/>
    <w:rsid w:val="00115DBC"/>
    <w:rsid w:val="00115DDF"/>
    <w:rsid w:val="00116155"/>
    <w:rsid w:val="00116408"/>
    <w:rsid w:val="0011640A"/>
    <w:rsid w:val="001164D6"/>
    <w:rsid w:val="001168E4"/>
    <w:rsid w:val="00116B3E"/>
    <w:rsid w:val="00116B4B"/>
    <w:rsid w:val="00116E97"/>
    <w:rsid w:val="00117042"/>
    <w:rsid w:val="00117061"/>
    <w:rsid w:val="00117078"/>
    <w:rsid w:val="00117131"/>
    <w:rsid w:val="0011723A"/>
    <w:rsid w:val="001173F1"/>
    <w:rsid w:val="0011745A"/>
    <w:rsid w:val="00117474"/>
    <w:rsid w:val="00117497"/>
    <w:rsid w:val="001174D1"/>
    <w:rsid w:val="001175D3"/>
    <w:rsid w:val="0011778F"/>
    <w:rsid w:val="00117B03"/>
    <w:rsid w:val="00117C40"/>
    <w:rsid w:val="00117E7C"/>
    <w:rsid w:val="00117F08"/>
    <w:rsid w:val="00117F38"/>
    <w:rsid w:val="00117F9A"/>
    <w:rsid w:val="00120085"/>
    <w:rsid w:val="001203E4"/>
    <w:rsid w:val="00120491"/>
    <w:rsid w:val="00120672"/>
    <w:rsid w:val="001207BB"/>
    <w:rsid w:val="001207EA"/>
    <w:rsid w:val="0012088E"/>
    <w:rsid w:val="00120A8E"/>
    <w:rsid w:val="00120BB3"/>
    <w:rsid w:val="00120D19"/>
    <w:rsid w:val="00120D7A"/>
    <w:rsid w:val="00120DEC"/>
    <w:rsid w:val="00120E55"/>
    <w:rsid w:val="00120F77"/>
    <w:rsid w:val="0012102F"/>
    <w:rsid w:val="00121060"/>
    <w:rsid w:val="0012107E"/>
    <w:rsid w:val="00121233"/>
    <w:rsid w:val="00121458"/>
    <w:rsid w:val="00121552"/>
    <w:rsid w:val="001216A6"/>
    <w:rsid w:val="001217A2"/>
    <w:rsid w:val="00121A83"/>
    <w:rsid w:val="00121EE2"/>
    <w:rsid w:val="001220DB"/>
    <w:rsid w:val="001222FD"/>
    <w:rsid w:val="0012237C"/>
    <w:rsid w:val="00122408"/>
    <w:rsid w:val="00122442"/>
    <w:rsid w:val="001225BD"/>
    <w:rsid w:val="00122816"/>
    <w:rsid w:val="001228B8"/>
    <w:rsid w:val="00122AA5"/>
    <w:rsid w:val="00122B17"/>
    <w:rsid w:val="00122B33"/>
    <w:rsid w:val="00122B7E"/>
    <w:rsid w:val="00122C5A"/>
    <w:rsid w:val="00122C8C"/>
    <w:rsid w:val="00122C8F"/>
    <w:rsid w:val="00122EB2"/>
    <w:rsid w:val="00122F2D"/>
    <w:rsid w:val="00122FA2"/>
    <w:rsid w:val="001233BA"/>
    <w:rsid w:val="0012350D"/>
    <w:rsid w:val="00123604"/>
    <w:rsid w:val="001236BF"/>
    <w:rsid w:val="0012381F"/>
    <w:rsid w:val="00123832"/>
    <w:rsid w:val="00123962"/>
    <w:rsid w:val="00123AB0"/>
    <w:rsid w:val="00123AC4"/>
    <w:rsid w:val="00123B84"/>
    <w:rsid w:val="00123D02"/>
    <w:rsid w:val="00123D4D"/>
    <w:rsid w:val="00123D6E"/>
    <w:rsid w:val="00123EE7"/>
    <w:rsid w:val="00123F58"/>
    <w:rsid w:val="001241DC"/>
    <w:rsid w:val="00124349"/>
    <w:rsid w:val="001243B7"/>
    <w:rsid w:val="001244AA"/>
    <w:rsid w:val="001244EA"/>
    <w:rsid w:val="0012460E"/>
    <w:rsid w:val="001247E3"/>
    <w:rsid w:val="0012485E"/>
    <w:rsid w:val="00124972"/>
    <w:rsid w:val="001249EF"/>
    <w:rsid w:val="00124C47"/>
    <w:rsid w:val="00124C54"/>
    <w:rsid w:val="00124DB6"/>
    <w:rsid w:val="00124E51"/>
    <w:rsid w:val="00124EB3"/>
    <w:rsid w:val="00124ED1"/>
    <w:rsid w:val="00124FD0"/>
    <w:rsid w:val="001251F1"/>
    <w:rsid w:val="001252B0"/>
    <w:rsid w:val="00125383"/>
    <w:rsid w:val="0012570D"/>
    <w:rsid w:val="00125783"/>
    <w:rsid w:val="001257E9"/>
    <w:rsid w:val="0012581B"/>
    <w:rsid w:val="0012587E"/>
    <w:rsid w:val="001258A2"/>
    <w:rsid w:val="001259B6"/>
    <w:rsid w:val="00125A79"/>
    <w:rsid w:val="00125ADD"/>
    <w:rsid w:val="00125AF9"/>
    <w:rsid w:val="00125C2F"/>
    <w:rsid w:val="00125C39"/>
    <w:rsid w:val="00125DDC"/>
    <w:rsid w:val="00125EF6"/>
    <w:rsid w:val="00125F24"/>
    <w:rsid w:val="00126049"/>
    <w:rsid w:val="00126091"/>
    <w:rsid w:val="00126194"/>
    <w:rsid w:val="0012620E"/>
    <w:rsid w:val="001262AE"/>
    <w:rsid w:val="0012632C"/>
    <w:rsid w:val="00126612"/>
    <w:rsid w:val="00126644"/>
    <w:rsid w:val="00126A1F"/>
    <w:rsid w:val="00126A95"/>
    <w:rsid w:val="00126A97"/>
    <w:rsid w:val="001270C6"/>
    <w:rsid w:val="00127175"/>
    <w:rsid w:val="00127206"/>
    <w:rsid w:val="00127640"/>
    <w:rsid w:val="001276E6"/>
    <w:rsid w:val="001277D2"/>
    <w:rsid w:val="0012787E"/>
    <w:rsid w:val="0012795E"/>
    <w:rsid w:val="00127B14"/>
    <w:rsid w:val="00127B54"/>
    <w:rsid w:val="00127D57"/>
    <w:rsid w:val="00127D67"/>
    <w:rsid w:val="00127EA2"/>
    <w:rsid w:val="00127EA7"/>
    <w:rsid w:val="00127F9F"/>
    <w:rsid w:val="00130025"/>
    <w:rsid w:val="0013003C"/>
    <w:rsid w:val="0013030D"/>
    <w:rsid w:val="00130347"/>
    <w:rsid w:val="001303DC"/>
    <w:rsid w:val="00130422"/>
    <w:rsid w:val="00130491"/>
    <w:rsid w:val="001304C1"/>
    <w:rsid w:val="0013058E"/>
    <w:rsid w:val="001307EC"/>
    <w:rsid w:val="001308BA"/>
    <w:rsid w:val="001308E2"/>
    <w:rsid w:val="001308FC"/>
    <w:rsid w:val="00130B1F"/>
    <w:rsid w:val="0013119C"/>
    <w:rsid w:val="00131768"/>
    <w:rsid w:val="001317F7"/>
    <w:rsid w:val="001319F5"/>
    <w:rsid w:val="00131D22"/>
    <w:rsid w:val="00131E7C"/>
    <w:rsid w:val="001321A7"/>
    <w:rsid w:val="0013222C"/>
    <w:rsid w:val="0013223F"/>
    <w:rsid w:val="0013234F"/>
    <w:rsid w:val="00132365"/>
    <w:rsid w:val="0013254D"/>
    <w:rsid w:val="00132785"/>
    <w:rsid w:val="00132913"/>
    <w:rsid w:val="00132A5A"/>
    <w:rsid w:val="00132B17"/>
    <w:rsid w:val="00132BA4"/>
    <w:rsid w:val="00132D37"/>
    <w:rsid w:val="00132DE4"/>
    <w:rsid w:val="00132DFB"/>
    <w:rsid w:val="00132EA2"/>
    <w:rsid w:val="00132F0C"/>
    <w:rsid w:val="00132FC7"/>
    <w:rsid w:val="00133026"/>
    <w:rsid w:val="00133089"/>
    <w:rsid w:val="0013310F"/>
    <w:rsid w:val="00133157"/>
    <w:rsid w:val="001331B0"/>
    <w:rsid w:val="001331F9"/>
    <w:rsid w:val="001332D9"/>
    <w:rsid w:val="001333E8"/>
    <w:rsid w:val="0013344F"/>
    <w:rsid w:val="001334CE"/>
    <w:rsid w:val="00133665"/>
    <w:rsid w:val="0013377C"/>
    <w:rsid w:val="00133AD5"/>
    <w:rsid w:val="00133C63"/>
    <w:rsid w:val="00133C7B"/>
    <w:rsid w:val="00133D16"/>
    <w:rsid w:val="00133D41"/>
    <w:rsid w:val="00133E1A"/>
    <w:rsid w:val="00133E43"/>
    <w:rsid w:val="00133F67"/>
    <w:rsid w:val="00133F69"/>
    <w:rsid w:val="00133F8F"/>
    <w:rsid w:val="00133F92"/>
    <w:rsid w:val="0013413B"/>
    <w:rsid w:val="00134395"/>
    <w:rsid w:val="00134440"/>
    <w:rsid w:val="001344CF"/>
    <w:rsid w:val="0013457C"/>
    <w:rsid w:val="0013462B"/>
    <w:rsid w:val="001346C6"/>
    <w:rsid w:val="0013476F"/>
    <w:rsid w:val="001347A1"/>
    <w:rsid w:val="001348A2"/>
    <w:rsid w:val="0013495E"/>
    <w:rsid w:val="00134BDD"/>
    <w:rsid w:val="00134C2D"/>
    <w:rsid w:val="00134DDD"/>
    <w:rsid w:val="00134F95"/>
    <w:rsid w:val="0013505D"/>
    <w:rsid w:val="00135080"/>
    <w:rsid w:val="001351BF"/>
    <w:rsid w:val="00135247"/>
    <w:rsid w:val="00135343"/>
    <w:rsid w:val="0013542E"/>
    <w:rsid w:val="0013565B"/>
    <w:rsid w:val="001356C9"/>
    <w:rsid w:val="001357B2"/>
    <w:rsid w:val="001357FB"/>
    <w:rsid w:val="0013597F"/>
    <w:rsid w:val="001359E9"/>
    <w:rsid w:val="00135A16"/>
    <w:rsid w:val="00135CE7"/>
    <w:rsid w:val="00135EDD"/>
    <w:rsid w:val="00136048"/>
    <w:rsid w:val="00136150"/>
    <w:rsid w:val="00136276"/>
    <w:rsid w:val="001362F7"/>
    <w:rsid w:val="0013651C"/>
    <w:rsid w:val="00136611"/>
    <w:rsid w:val="0013686A"/>
    <w:rsid w:val="001368A6"/>
    <w:rsid w:val="001368BF"/>
    <w:rsid w:val="00136900"/>
    <w:rsid w:val="00136958"/>
    <w:rsid w:val="001369C9"/>
    <w:rsid w:val="00136A9C"/>
    <w:rsid w:val="00136B89"/>
    <w:rsid w:val="00137082"/>
    <w:rsid w:val="00137159"/>
    <w:rsid w:val="00137187"/>
    <w:rsid w:val="001371F9"/>
    <w:rsid w:val="0013756B"/>
    <w:rsid w:val="00137590"/>
    <w:rsid w:val="00137676"/>
    <w:rsid w:val="001378FE"/>
    <w:rsid w:val="00137969"/>
    <w:rsid w:val="00137AF4"/>
    <w:rsid w:val="00137C07"/>
    <w:rsid w:val="00137EE9"/>
    <w:rsid w:val="00140061"/>
    <w:rsid w:val="00140213"/>
    <w:rsid w:val="001402D1"/>
    <w:rsid w:val="001402DF"/>
    <w:rsid w:val="001403A2"/>
    <w:rsid w:val="0014043C"/>
    <w:rsid w:val="0014047D"/>
    <w:rsid w:val="00140489"/>
    <w:rsid w:val="001406FD"/>
    <w:rsid w:val="0014072C"/>
    <w:rsid w:val="001407A0"/>
    <w:rsid w:val="001407ED"/>
    <w:rsid w:val="0014083F"/>
    <w:rsid w:val="00140886"/>
    <w:rsid w:val="0014088B"/>
    <w:rsid w:val="001409CD"/>
    <w:rsid w:val="001409D6"/>
    <w:rsid w:val="00140ABF"/>
    <w:rsid w:val="00140D7B"/>
    <w:rsid w:val="00140E68"/>
    <w:rsid w:val="00140EA0"/>
    <w:rsid w:val="00140FA2"/>
    <w:rsid w:val="001410AD"/>
    <w:rsid w:val="0014110B"/>
    <w:rsid w:val="001411B4"/>
    <w:rsid w:val="001411DB"/>
    <w:rsid w:val="0014136D"/>
    <w:rsid w:val="001415DB"/>
    <w:rsid w:val="00141643"/>
    <w:rsid w:val="0014168A"/>
    <w:rsid w:val="001416A0"/>
    <w:rsid w:val="001416C1"/>
    <w:rsid w:val="00141728"/>
    <w:rsid w:val="00141855"/>
    <w:rsid w:val="001418E8"/>
    <w:rsid w:val="001419E9"/>
    <w:rsid w:val="00141A32"/>
    <w:rsid w:val="00141AF6"/>
    <w:rsid w:val="00141B09"/>
    <w:rsid w:val="00141C65"/>
    <w:rsid w:val="00141DD0"/>
    <w:rsid w:val="00141E51"/>
    <w:rsid w:val="00141E92"/>
    <w:rsid w:val="00142021"/>
    <w:rsid w:val="00142233"/>
    <w:rsid w:val="00142246"/>
    <w:rsid w:val="0014233C"/>
    <w:rsid w:val="00142670"/>
    <w:rsid w:val="001427E3"/>
    <w:rsid w:val="00142B67"/>
    <w:rsid w:val="00142C09"/>
    <w:rsid w:val="00142DA7"/>
    <w:rsid w:val="00142E0A"/>
    <w:rsid w:val="00142FA3"/>
    <w:rsid w:val="0014303E"/>
    <w:rsid w:val="00143138"/>
    <w:rsid w:val="0014314A"/>
    <w:rsid w:val="001432C1"/>
    <w:rsid w:val="001433A9"/>
    <w:rsid w:val="001433DD"/>
    <w:rsid w:val="001433F6"/>
    <w:rsid w:val="001434DB"/>
    <w:rsid w:val="00143509"/>
    <w:rsid w:val="0014355E"/>
    <w:rsid w:val="00143DA0"/>
    <w:rsid w:val="00143DF2"/>
    <w:rsid w:val="00143E02"/>
    <w:rsid w:val="00143E18"/>
    <w:rsid w:val="00143F61"/>
    <w:rsid w:val="00143FEF"/>
    <w:rsid w:val="001440A4"/>
    <w:rsid w:val="001441C3"/>
    <w:rsid w:val="00144238"/>
    <w:rsid w:val="001442B7"/>
    <w:rsid w:val="0014439A"/>
    <w:rsid w:val="001443E5"/>
    <w:rsid w:val="00144711"/>
    <w:rsid w:val="00144964"/>
    <w:rsid w:val="00144B7B"/>
    <w:rsid w:val="00144BA1"/>
    <w:rsid w:val="00144BC3"/>
    <w:rsid w:val="00144C8A"/>
    <w:rsid w:val="00144D07"/>
    <w:rsid w:val="0014500B"/>
    <w:rsid w:val="00145027"/>
    <w:rsid w:val="001450F3"/>
    <w:rsid w:val="00145296"/>
    <w:rsid w:val="001452C0"/>
    <w:rsid w:val="001452C5"/>
    <w:rsid w:val="0014542D"/>
    <w:rsid w:val="0014552A"/>
    <w:rsid w:val="00145664"/>
    <w:rsid w:val="001457B3"/>
    <w:rsid w:val="001457C0"/>
    <w:rsid w:val="0014599D"/>
    <w:rsid w:val="00145A41"/>
    <w:rsid w:val="00145A5F"/>
    <w:rsid w:val="00145D48"/>
    <w:rsid w:val="00145EA5"/>
    <w:rsid w:val="00146045"/>
    <w:rsid w:val="00146167"/>
    <w:rsid w:val="001463D0"/>
    <w:rsid w:val="001463E2"/>
    <w:rsid w:val="00146478"/>
    <w:rsid w:val="0014674C"/>
    <w:rsid w:val="00146819"/>
    <w:rsid w:val="00146853"/>
    <w:rsid w:val="00146ABA"/>
    <w:rsid w:val="00146AC9"/>
    <w:rsid w:val="00146B34"/>
    <w:rsid w:val="00146B8C"/>
    <w:rsid w:val="00146CAC"/>
    <w:rsid w:val="00146E6D"/>
    <w:rsid w:val="00146EB8"/>
    <w:rsid w:val="0014719E"/>
    <w:rsid w:val="0014727A"/>
    <w:rsid w:val="0014729B"/>
    <w:rsid w:val="0014748C"/>
    <w:rsid w:val="00147499"/>
    <w:rsid w:val="001476C8"/>
    <w:rsid w:val="00147754"/>
    <w:rsid w:val="00147829"/>
    <w:rsid w:val="001479D4"/>
    <w:rsid w:val="00147B85"/>
    <w:rsid w:val="00147BB3"/>
    <w:rsid w:val="00147BE1"/>
    <w:rsid w:val="00147D83"/>
    <w:rsid w:val="00150004"/>
    <w:rsid w:val="0015008C"/>
    <w:rsid w:val="001500D0"/>
    <w:rsid w:val="0015012B"/>
    <w:rsid w:val="001504BC"/>
    <w:rsid w:val="001505C5"/>
    <w:rsid w:val="00150757"/>
    <w:rsid w:val="001507E6"/>
    <w:rsid w:val="00150925"/>
    <w:rsid w:val="00150949"/>
    <w:rsid w:val="00150AE3"/>
    <w:rsid w:val="00150C5D"/>
    <w:rsid w:val="00150EAD"/>
    <w:rsid w:val="00150F46"/>
    <w:rsid w:val="00150F82"/>
    <w:rsid w:val="00151022"/>
    <w:rsid w:val="0015118E"/>
    <w:rsid w:val="001511F4"/>
    <w:rsid w:val="0015127C"/>
    <w:rsid w:val="0015130A"/>
    <w:rsid w:val="0015135E"/>
    <w:rsid w:val="00151399"/>
    <w:rsid w:val="0015142E"/>
    <w:rsid w:val="00151510"/>
    <w:rsid w:val="0015153F"/>
    <w:rsid w:val="001515C0"/>
    <w:rsid w:val="0015174A"/>
    <w:rsid w:val="001517FC"/>
    <w:rsid w:val="00151989"/>
    <w:rsid w:val="00151A14"/>
    <w:rsid w:val="00151A4C"/>
    <w:rsid w:val="00151AC6"/>
    <w:rsid w:val="00151B59"/>
    <w:rsid w:val="00151D20"/>
    <w:rsid w:val="00151D21"/>
    <w:rsid w:val="00151DDF"/>
    <w:rsid w:val="00151E21"/>
    <w:rsid w:val="00152032"/>
    <w:rsid w:val="001523D2"/>
    <w:rsid w:val="001523F3"/>
    <w:rsid w:val="0015291E"/>
    <w:rsid w:val="00152AB0"/>
    <w:rsid w:val="00152C56"/>
    <w:rsid w:val="00152C6D"/>
    <w:rsid w:val="00152CCC"/>
    <w:rsid w:val="00152D05"/>
    <w:rsid w:val="00152D53"/>
    <w:rsid w:val="00152ED1"/>
    <w:rsid w:val="00153061"/>
    <w:rsid w:val="001530A5"/>
    <w:rsid w:val="001533EC"/>
    <w:rsid w:val="00153431"/>
    <w:rsid w:val="001534C3"/>
    <w:rsid w:val="001534E5"/>
    <w:rsid w:val="00153703"/>
    <w:rsid w:val="00153877"/>
    <w:rsid w:val="00153C4A"/>
    <w:rsid w:val="00153CB8"/>
    <w:rsid w:val="00153FA9"/>
    <w:rsid w:val="0015417B"/>
    <w:rsid w:val="001543A0"/>
    <w:rsid w:val="00154558"/>
    <w:rsid w:val="00154560"/>
    <w:rsid w:val="00154747"/>
    <w:rsid w:val="001547AF"/>
    <w:rsid w:val="001547B1"/>
    <w:rsid w:val="0015484B"/>
    <w:rsid w:val="00154966"/>
    <w:rsid w:val="0015498F"/>
    <w:rsid w:val="001549A8"/>
    <w:rsid w:val="00154BAB"/>
    <w:rsid w:val="00154C26"/>
    <w:rsid w:val="00154CA4"/>
    <w:rsid w:val="00154D4A"/>
    <w:rsid w:val="00154DB5"/>
    <w:rsid w:val="00154EE4"/>
    <w:rsid w:val="00154F4E"/>
    <w:rsid w:val="00155032"/>
    <w:rsid w:val="001550EE"/>
    <w:rsid w:val="001551B7"/>
    <w:rsid w:val="001551F1"/>
    <w:rsid w:val="00155273"/>
    <w:rsid w:val="001552E9"/>
    <w:rsid w:val="0015538F"/>
    <w:rsid w:val="001553C6"/>
    <w:rsid w:val="0015544F"/>
    <w:rsid w:val="001555EF"/>
    <w:rsid w:val="0015573A"/>
    <w:rsid w:val="0015583E"/>
    <w:rsid w:val="0015588C"/>
    <w:rsid w:val="00155AA3"/>
    <w:rsid w:val="00155C98"/>
    <w:rsid w:val="00155D0B"/>
    <w:rsid w:val="00155D3C"/>
    <w:rsid w:val="00155DAD"/>
    <w:rsid w:val="00155DCB"/>
    <w:rsid w:val="00155F67"/>
    <w:rsid w:val="00156009"/>
    <w:rsid w:val="00156031"/>
    <w:rsid w:val="00156142"/>
    <w:rsid w:val="00156354"/>
    <w:rsid w:val="001563AA"/>
    <w:rsid w:val="00156510"/>
    <w:rsid w:val="00156556"/>
    <w:rsid w:val="00156678"/>
    <w:rsid w:val="0015668E"/>
    <w:rsid w:val="00156739"/>
    <w:rsid w:val="00156B50"/>
    <w:rsid w:val="00156F18"/>
    <w:rsid w:val="00156FF4"/>
    <w:rsid w:val="00156FF7"/>
    <w:rsid w:val="001572EF"/>
    <w:rsid w:val="00157499"/>
    <w:rsid w:val="00157510"/>
    <w:rsid w:val="001575CD"/>
    <w:rsid w:val="0015767D"/>
    <w:rsid w:val="001576D7"/>
    <w:rsid w:val="0015781C"/>
    <w:rsid w:val="00157B42"/>
    <w:rsid w:val="00157E59"/>
    <w:rsid w:val="00157F08"/>
    <w:rsid w:val="001600A9"/>
    <w:rsid w:val="001601C7"/>
    <w:rsid w:val="001601CB"/>
    <w:rsid w:val="0016023A"/>
    <w:rsid w:val="00160514"/>
    <w:rsid w:val="0016068E"/>
    <w:rsid w:val="00160712"/>
    <w:rsid w:val="0016085E"/>
    <w:rsid w:val="001608AB"/>
    <w:rsid w:val="001608FA"/>
    <w:rsid w:val="00160930"/>
    <w:rsid w:val="001609AB"/>
    <w:rsid w:val="001609BA"/>
    <w:rsid w:val="001609C8"/>
    <w:rsid w:val="00160ADA"/>
    <w:rsid w:val="00160B47"/>
    <w:rsid w:val="00160BC0"/>
    <w:rsid w:val="00160C00"/>
    <w:rsid w:val="00160C87"/>
    <w:rsid w:val="00160CFE"/>
    <w:rsid w:val="00160D03"/>
    <w:rsid w:val="00160EA8"/>
    <w:rsid w:val="00160F56"/>
    <w:rsid w:val="00161025"/>
    <w:rsid w:val="00161319"/>
    <w:rsid w:val="001615ED"/>
    <w:rsid w:val="00161683"/>
    <w:rsid w:val="001618A8"/>
    <w:rsid w:val="001619A8"/>
    <w:rsid w:val="00161B77"/>
    <w:rsid w:val="00161BD1"/>
    <w:rsid w:val="00161C2B"/>
    <w:rsid w:val="00161CB1"/>
    <w:rsid w:val="00161CD1"/>
    <w:rsid w:val="001620C1"/>
    <w:rsid w:val="0016218F"/>
    <w:rsid w:val="00162202"/>
    <w:rsid w:val="001624E2"/>
    <w:rsid w:val="001626BE"/>
    <w:rsid w:val="00162806"/>
    <w:rsid w:val="0016282D"/>
    <w:rsid w:val="001629E4"/>
    <w:rsid w:val="00162A6C"/>
    <w:rsid w:val="00162BDC"/>
    <w:rsid w:val="00163364"/>
    <w:rsid w:val="001634B7"/>
    <w:rsid w:val="001634E0"/>
    <w:rsid w:val="001634E4"/>
    <w:rsid w:val="00163558"/>
    <w:rsid w:val="00163636"/>
    <w:rsid w:val="001636B7"/>
    <w:rsid w:val="001637DB"/>
    <w:rsid w:val="00163BA2"/>
    <w:rsid w:val="00163CD7"/>
    <w:rsid w:val="00163D59"/>
    <w:rsid w:val="00163DE6"/>
    <w:rsid w:val="001640B1"/>
    <w:rsid w:val="00164238"/>
    <w:rsid w:val="00164261"/>
    <w:rsid w:val="001644FD"/>
    <w:rsid w:val="001645AD"/>
    <w:rsid w:val="001645F1"/>
    <w:rsid w:val="00164655"/>
    <w:rsid w:val="0016479D"/>
    <w:rsid w:val="0016495B"/>
    <w:rsid w:val="00164F24"/>
    <w:rsid w:val="00165131"/>
    <w:rsid w:val="0016528A"/>
    <w:rsid w:val="001652FA"/>
    <w:rsid w:val="001653AB"/>
    <w:rsid w:val="001653F7"/>
    <w:rsid w:val="00165659"/>
    <w:rsid w:val="00165699"/>
    <w:rsid w:val="001656C6"/>
    <w:rsid w:val="0016580F"/>
    <w:rsid w:val="001658D4"/>
    <w:rsid w:val="00165960"/>
    <w:rsid w:val="00165AD3"/>
    <w:rsid w:val="00165BC6"/>
    <w:rsid w:val="00165DCD"/>
    <w:rsid w:val="00165EAE"/>
    <w:rsid w:val="00166016"/>
    <w:rsid w:val="001660E5"/>
    <w:rsid w:val="001661B7"/>
    <w:rsid w:val="0016635B"/>
    <w:rsid w:val="001663B1"/>
    <w:rsid w:val="00166419"/>
    <w:rsid w:val="0016685D"/>
    <w:rsid w:val="001668ED"/>
    <w:rsid w:val="0016690D"/>
    <w:rsid w:val="0016694D"/>
    <w:rsid w:val="00166AFE"/>
    <w:rsid w:val="00166B18"/>
    <w:rsid w:val="00166C87"/>
    <w:rsid w:val="00166D4A"/>
    <w:rsid w:val="00166EB8"/>
    <w:rsid w:val="00166EEE"/>
    <w:rsid w:val="00166FF9"/>
    <w:rsid w:val="0016742B"/>
    <w:rsid w:val="00167521"/>
    <w:rsid w:val="001675AB"/>
    <w:rsid w:val="0016768F"/>
    <w:rsid w:val="001676D9"/>
    <w:rsid w:val="001677D0"/>
    <w:rsid w:val="00167AD9"/>
    <w:rsid w:val="00167B8B"/>
    <w:rsid w:val="00167BE8"/>
    <w:rsid w:val="00167CE2"/>
    <w:rsid w:val="00167E12"/>
    <w:rsid w:val="00167E43"/>
    <w:rsid w:val="00167E53"/>
    <w:rsid w:val="00167E7E"/>
    <w:rsid w:val="0017005A"/>
    <w:rsid w:val="001700E5"/>
    <w:rsid w:val="0017022E"/>
    <w:rsid w:val="001702FD"/>
    <w:rsid w:val="0017036D"/>
    <w:rsid w:val="001703F7"/>
    <w:rsid w:val="001705C7"/>
    <w:rsid w:val="00170614"/>
    <w:rsid w:val="00170748"/>
    <w:rsid w:val="00170B10"/>
    <w:rsid w:val="00170B63"/>
    <w:rsid w:val="00170B78"/>
    <w:rsid w:val="00170DD0"/>
    <w:rsid w:val="00170DDB"/>
    <w:rsid w:val="00170E09"/>
    <w:rsid w:val="00170FE2"/>
    <w:rsid w:val="0017118F"/>
    <w:rsid w:val="001711C9"/>
    <w:rsid w:val="001711E8"/>
    <w:rsid w:val="0017129C"/>
    <w:rsid w:val="001713E5"/>
    <w:rsid w:val="0017147C"/>
    <w:rsid w:val="001714C4"/>
    <w:rsid w:val="001717E2"/>
    <w:rsid w:val="00171A18"/>
    <w:rsid w:val="00171A2F"/>
    <w:rsid w:val="00171A41"/>
    <w:rsid w:val="00171A76"/>
    <w:rsid w:val="00171CE8"/>
    <w:rsid w:val="00171F1C"/>
    <w:rsid w:val="00172056"/>
    <w:rsid w:val="0017227B"/>
    <w:rsid w:val="0017236D"/>
    <w:rsid w:val="00172539"/>
    <w:rsid w:val="001725F1"/>
    <w:rsid w:val="001725FD"/>
    <w:rsid w:val="00172686"/>
    <w:rsid w:val="00172704"/>
    <w:rsid w:val="0017279D"/>
    <w:rsid w:val="001728F8"/>
    <w:rsid w:val="001729C8"/>
    <w:rsid w:val="00172A20"/>
    <w:rsid w:val="00172A90"/>
    <w:rsid w:val="00172AE8"/>
    <w:rsid w:val="00172B06"/>
    <w:rsid w:val="00172B20"/>
    <w:rsid w:val="00172B31"/>
    <w:rsid w:val="00172BCF"/>
    <w:rsid w:val="00172ED7"/>
    <w:rsid w:val="0017321D"/>
    <w:rsid w:val="001733F9"/>
    <w:rsid w:val="00173418"/>
    <w:rsid w:val="001735EB"/>
    <w:rsid w:val="00173676"/>
    <w:rsid w:val="00173692"/>
    <w:rsid w:val="001736E2"/>
    <w:rsid w:val="001737AE"/>
    <w:rsid w:val="00173957"/>
    <w:rsid w:val="001739E7"/>
    <w:rsid w:val="00173A27"/>
    <w:rsid w:val="00173C0E"/>
    <w:rsid w:val="00173C4D"/>
    <w:rsid w:val="00173C73"/>
    <w:rsid w:val="00173CDB"/>
    <w:rsid w:val="001741A2"/>
    <w:rsid w:val="001742AF"/>
    <w:rsid w:val="0017432D"/>
    <w:rsid w:val="00174390"/>
    <w:rsid w:val="001743C2"/>
    <w:rsid w:val="0017442F"/>
    <w:rsid w:val="00174506"/>
    <w:rsid w:val="0017451B"/>
    <w:rsid w:val="00174668"/>
    <w:rsid w:val="001746CC"/>
    <w:rsid w:val="00174A3A"/>
    <w:rsid w:val="00174C9B"/>
    <w:rsid w:val="00174DD6"/>
    <w:rsid w:val="00174F9C"/>
    <w:rsid w:val="00175205"/>
    <w:rsid w:val="0017537A"/>
    <w:rsid w:val="00175395"/>
    <w:rsid w:val="0017539A"/>
    <w:rsid w:val="001753DE"/>
    <w:rsid w:val="00175605"/>
    <w:rsid w:val="001757BA"/>
    <w:rsid w:val="001757D3"/>
    <w:rsid w:val="00175879"/>
    <w:rsid w:val="0017590F"/>
    <w:rsid w:val="00175933"/>
    <w:rsid w:val="00175AD4"/>
    <w:rsid w:val="00175ADC"/>
    <w:rsid w:val="00175D54"/>
    <w:rsid w:val="00175DAE"/>
    <w:rsid w:val="00175F35"/>
    <w:rsid w:val="001760A3"/>
    <w:rsid w:val="00176648"/>
    <w:rsid w:val="00176905"/>
    <w:rsid w:val="00176907"/>
    <w:rsid w:val="001769BC"/>
    <w:rsid w:val="00176AB3"/>
    <w:rsid w:val="00176AF5"/>
    <w:rsid w:val="00176BD4"/>
    <w:rsid w:val="00176C47"/>
    <w:rsid w:val="00176DE7"/>
    <w:rsid w:val="00176E0E"/>
    <w:rsid w:val="00176F1F"/>
    <w:rsid w:val="001770BC"/>
    <w:rsid w:val="001771E0"/>
    <w:rsid w:val="0017729B"/>
    <w:rsid w:val="0017765C"/>
    <w:rsid w:val="00177781"/>
    <w:rsid w:val="00177858"/>
    <w:rsid w:val="00177900"/>
    <w:rsid w:val="0017792E"/>
    <w:rsid w:val="001779E1"/>
    <w:rsid w:val="001779F5"/>
    <w:rsid w:val="00177A1B"/>
    <w:rsid w:val="00177A3F"/>
    <w:rsid w:val="00177A51"/>
    <w:rsid w:val="00177B91"/>
    <w:rsid w:val="00177C55"/>
    <w:rsid w:val="00177DB5"/>
    <w:rsid w:val="00177E32"/>
    <w:rsid w:val="00177ED5"/>
    <w:rsid w:val="00177ED9"/>
    <w:rsid w:val="0018001A"/>
    <w:rsid w:val="00180086"/>
    <w:rsid w:val="001802E5"/>
    <w:rsid w:val="001803BF"/>
    <w:rsid w:val="001804AD"/>
    <w:rsid w:val="00180535"/>
    <w:rsid w:val="00180541"/>
    <w:rsid w:val="00180624"/>
    <w:rsid w:val="00180637"/>
    <w:rsid w:val="00180709"/>
    <w:rsid w:val="00180766"/>
    <w:rsid w:val="00180902"/>
    <w:rsid w:val="00180A18"/>
    <w:rsid w:val="00180AEE"/>
    <w:rsid w:val="00180B1C"/>
    <w:rsid w:val="00180C3C"/>
    <w:rsid w:val="00180CAE"/>
    <w:rsid w:val="00180D3D"/>
    <w:rsid w:val="00180DDD"/>
    <w:rsid w:val="00180EB8"/>
    <w:rsid w:val="0018111C"/>
    <w:rsid w:val="00181322"/>
    <w:rsid w:val="0018132C"/>
    <w:rsid w:val="001814DF"/>
    <w:rsid w:val="0018159D"/>
    <w:rsid w:val="001815C5"/>
    <w:rsid w:val="001816BF"/>
    <w:rsid w:val="00181717"/>
    <w:rsid w:val="0018176B"/>
    <w:rsid w:val="001817F4"/>
    <w:rsid w:val="00181816"/>
    <w:rsid w:val="001818AD"/>
    <w:rsid w:val="001818B6"/>
    <w:rsid w:val="0018191E"/>
    <w:rsid w:val="001819BA"/>
    <w:rsid w:val="00181AF3"/>
    <w:rsid w:val="00181C2A"/>
    <w:rsid w:val="00181DE5"/>
    <w:rsid w:val="00182010"/>
    <w:rsid w:val="00182093"/>
    <w:rsid w:val="0018219D"/>
    <w:rsid w:val="001822B6"/>
    <w:rsid w:val="001822C4"/>
    <w:rsid w:val="00182863"/>
    <w:rsid w:val="00182A40"/>
    <w:rsid w:val="00182AEF"/>
    <w:rsid w:val="00182C88"/>
    <w:rsid w:val="00182CB4"/>
    <w:rsid w:val="00182D19"/>
    <w:rsid w:val="00182E39"/>
    <w:rsid w:val="0018300E"/>
    <w:rsid w:val="0018305F"/>
    <w:rsid w:val="00183318"/>
    <w:rsid w:val="00183327"/>
    <w:rsid w:val="00183384"/>
    <w:rsid w:val="001833E0"/>
    <w:rsid w:val="001835BF"/>
    <w:rsid w:val="0018371E"/>
    <w:rsid w:val="00183763"/>
    <w:rsid w:val="00183984"/>
    <w:rsid w:val="001839CD"/>
    <w:rsid w:val="00183B26"/>
    <w:rsid w:val="00183BA5"/>
    <w:rsid w:val="00183C1B"/>
    <w:rsid w:val="00183E58"/>
    <w:rsid w:val="00183EA1"/>
    <w:rsid w:val="00183F27"/>
    <w:rsid w:val="0018402E"/>
    <w:rsid w:val="001840E8"/>
    <w:rsid w:val="00184176"/>
    <w:rsid w:val="00184193"/>
    <w:rsid w:val="00184353"/>
    <w:rsid w:val="0018467B"/>
    <w:rsid w:val="001846D2"/>
    <w:rsid w:val="0018478B"/>
    <w:rsid w:val="0018497E"/>
    <w:rsid w:val="001849AD"/>
    <w:rsid w:val="00184C47"/>
    <w:rsid w:val="00184D28"/>
    <w:rsid w:val="00184DE9"/>
    <w:rsid w:val="00184E93"/>
    <w:rsid w:val="00185034"/>
    <w:rsid w:val="001852F1"/>
    <w:rsid w:val="00185327"/>
    <w:rsid w:val="00185372"/>
    <w:rsid w:val="00185473"/>
    <w:rsid w:val="001855F5"/>
    <w:rsid w:val="0018574C"/>
    <w:rsid w:val="0018585C"/>
    <w:rsid w:val="00185861"/>
    <w:rsid w:val="00185872"/>
    <w:rsid w:val="0018593A"/>
    <w:rsid w:val="00185A07"/>
    <w:rsid w:val="00185A20"/>
    <w:rsid w:val="00185AC6"/>
    <w:rsid w:val="00185B19"/>
    <w:rsid w:val="00185C26"/>
    <w:rsid w:val="00185E1A"/>
    <w:rsid w:val="00185E1D"/>
    <w:rsid w:val="00185F9D"/>
    <w:rsid w:val="00185FE3"/>
    <w:rsid w:val="00186227"/>
    <w:rsid w:val="00186228"/>
    <w:rsid w:val="00186255"/>
    <w:rsid w:val="001862F6"/>
    <w:rsid w:val="00186573"/>
    <w:rsid w:val="001865F7"/>
    <w:rsid w:val="001867FD"/>
    <w:rsid w:val="00186AD0"/>
    <w:rsid w:val="00186B93"/>
    <w:rsid w:val="00186C4D"/>
    <w:rsid w:val="001870D4"/>
    <w:rsid w:val="001870D8"/>
    <w:rsid w:val="00187138"/>
    <w:rsid w:val="001871C6"/>
    <w:rsid w:val="00187235"/>
    <w:rsid w:val="00187313"/>
    <w:rsid w:val="00187599"/>
    <w:rsid w:val="00187731"/>
    <w:rsid w:val="00187784"/>
    <w:rsid w:val="001878D8"/>
    <w:rsid w:val="00187961"/>
    <w:rsid w:val="00187A8F"/>
    <w:rsid w:val="00187B66"/>
    <w:rsid w:val="00187CF5"/>
    <w:rsid w:val="00187E13"/>
    <w:rsid w:val="0019000F"/>
    <w:rsid w:val="00190015"/>
    <w:rsid w:val="00190192"/>
    <w:rsid w:val="001901C2"/>
    <w:rsid w:val="00190232"/>
    <w:rsid w:val="0019023B"/>
    <w:rsid w:val="00190268"/>
    <w:rsid w:val="0019040B"/>
    <w:rsid w:val="0019046E"/>
    <w:rsid w:val="00190552"/>
    <w:rsid w:val="00190580"/>
    <w:rsid w:val="001905EC"/>
    <w:rsid w:val="001907B6"/>
    <w:rsid w:val="00190836"/>
    <w:rsid w:val="0019083F"/>
    <w:rsid w:val="00190862"/>
    <w:rsid w:val="001908D6"/>
    <w:rsid w:val="00190956"/>
    <w:rsid w:val="00190CC1"/>
    <w:rsid w:val="00190E84"/>
    <w:rsid w:val="0019103A"/>
    <w:rsid w:val="001910C1"/>
    <w:rsid w:val="001912CE"/>
    <w:rsid w:val="001913EA"/>
    <w:rsid w:val="001914DB"/>
    <w:rsid w:val="0019173D"/>
    <w:rsid w:val="001917BC"/>
    <w:rsid w:val="001917CE"/>
    <w:rsid w:val="001918A3"/>
    <w:rsid w:val="00191D8F"/>
    <w:rsid w:val="00191E39"/>
    <w:rsid w:val="00191E6D"/>
    <w:rsid w:val="00191F95"/>
    <w:rsid w:val="00192061"/>
    <w:rsid w:val="00192096"/>
    <w:rsid w:val="00192119"/>
    <w:rsid w:val="001922BD"/>
    <w:rsid w:val="00192452"/>
    <w:rsid w:val="00192453"/>
    <w:rsid w:val="00192714"/>
    <w:rsid w:val="0019273A"/>
    <w:rsid w:val="001927A6"/>
    <w:rsid w:val="00192A20"/>
    <w:rsid w:val="00192A9D"/>
    <w:rsid w:val="00192C08"/>
    <w:rsid w:val="00192DAE"/>
    <w:rsid w:val="00192DD2"/>
    <w:rsid w:val="00192E10"/>
    <w:rsid w:val="00192E7B"/>
    <w:rsid w:val="00192F6C"/>
    <w:rsid w:val="00192F9F"/>
    <w:rsid w:val="0019303D"/>
    <w:rsid w:val="001930F5"/>
    <w:rsid w:val="001931E7"/>
    <w:rsid w:val="0019327B"/>
    <w:rsid w:val="001934BD"/>
    <w:rsid w:val="001935D5"/>
    <w:rsid w:val="001937C7"/>
    <w:rsid w:val="00193825"/>
    <w:rsid w:val="001938DC"/>
    <w:rsid w:val="00193AAA"/>
    <w:rsid w:val="00193ABA"/>
    <w:rsid w:val="00193BE5"/>
    <w:rsid w:val="00193C3D"/>
    <w:rsid w:val="00193C6D"/>
    <w:rsid w:val="00193CFA"/>
    <w:rsid w:val="00193D16"/>
    <w:rsid w:val="00193D1B"/>
    <w:rsid w:val="0019410C"/>
    <w:rsid w:val="001942A3"/>
    <w:rsid w:val="001942AE"/>
    <w:rsid w:val="001942B4"/>
    <w:rsid w:val="00194384"/>
    <w:rsid w:val="0019452C"/>
    <w:rsid w:val="00194746"/>
    <w:rsid w:val="00194769"/>
    <w:rsid w:val="00194BB6"/>
    <w:rsid w:val="00194C0B"/>
    <w:rsid w:val="00194E28"/>
    <w:rsid w:val="00194E45"/>
    <w:rsid w:val="00194E96"/>
    <w:rsid w:val="00194F2D"/>
    <w:rsid w:val="00194FCA"/>
    <w:rsid w:val="00194FE6"/>
    <w:rsid w:val="0019504A"/>
    <w:rsid w:val="001950AE"/>
    <w:rsid w:val="00195302"/>
    <w:rsid w:val="00195318"/>
    <w:rsid w:val="00195605"/>
    <w:rsid w:val="00195680"/>
    <w:rsid w:val="0019568A"/>
    <w:rsid w:val="001956F8"/>
    <w:rsid w:val="001957CB"/>
    <w:rsid w:val="00195981"/>
    <w:rsid w:val="00195BDA"/>
    <w:rsid w:val="00195BE9"/>
    <w:rsid w:val="00195CA0"/>
    <w:rsid w:val="00195D7C"/>
    <w:rsid w:val="00195EBE"/>
    <w:rsid w:val="00195F19"/>
    <w:rsid w:val="00195F46"/>
    <w:rsid w:val="00196101"/>
    <w:rsid w:val="001961A5"/>
    <w:rsid w:val="001962C7"/>
    <w:rsid w:val="00196648"/>
    <w:rsid w:val="00196696"/>
    <w:rsid w:val="0019674F"/>
    <w:rsid w:val="0019686E"/>
    <w:rsid w:val="001968E3"/>
    <w:rsid w:val="00196967"/>
    <w:rsid w:val="001969B9"/>
    <w:rsid w:val="001969CB"/>
    <w:rsid w:val="00196A28"/>
    <w:rsid w:val="00196A9B"/>
    <w:rsid w:val="00196AF3"/>
    <w:rsid w:val="00196B16"/>
    <w:rsid w:val="00196BF6"/>
    <w:rsid w:val="00196D0B"/>
    <w:rsid w:val="00196E4F"/>
    <w:rsid w:val="00196FDD"/>
    <w:rsid w:val="0019727A"/>
    <w:rsid w:val="001972BE"/>
    <w:rsid w:val="0019768F"/>
    <w:rsid w:val="00197728"/>
    <w:rsid w:val="001977AE"/>
    <w:rsid w:val="0019781A"/>
    <w:rsid w:val="00197883"/>
    <w:rsid w:val="00197A30"/>
    <w:rsid w:val="00197A98"/>
    <w:rsid w:val="00197D46"/>
    <w:rsid w:val="00197DFF"/>
    <w:rsid w:val="001A001B"/>
    <w:rsid w:val="001A00B0"/>
    <w:rsid w:val="001A0127"/>
    <w:rsid w:val="001A0165"/>
    <w:rsid w:val="001A0346"/>
    <w:rsid w:val="001A040D"/>
    <w:rsid w:val="001A043D"/>
    <w:rsid w:val="001A0506"/>
    <w:rsid w:val="001A0508"/>
    <w:rsid w:val="001A05C6"/>
    <w:rsid w:val="001A06A1"/>
    <w:rsid w:val="001A06CD"/>
    <w:rsid w:val="001A070B"/>
    <w:rsid w:val="001A07B2"/>
    <w:rsid w:val="001A0900"/>
    <w:rsid w:val="001A0A7F"/>
    <w:rsid w:val="001A0AD6"/>
    <w:rsid w:val="001A0BA3"/>
    <w:rsid w:val="001A0C30"/>
    <w:rsid w:val="001A0C3A"/>
    <w:rsid w:val="001A0DB5"/>
    <w:rsid w:val="001A0E2D"/>
    <w:rsid w:val="001A0E4B"/>
    <w:rsid w:val="001A0EBC"/>
    <w:rsid w:val="001A0F67"/>
    <w:rsid w:val="001A13D8"/>
    <w:rsid w:val="001A13F1"/>
    <w:rsid w:val="001A14CD"/>
    <w:rsid w:val="001A14FB"/>
    <w:rsid w:val="001A1504"/>
    <w:rsid w:val="001A153D"/>
    <w:rsid w:val="001A15AE"/>
    <w:rsid w:val="001A1624"/>
    <w:rsid w:val="001A17B5"/>
    <w:rsid w:val="001A17DF"/>
    <w:rsid w:val="001A1B78"/>
    <w:rsid w:val="001A1B9C"/>
    <w:rsid w:val="001A1CD4"/>
    <w:rsid w:val="001A1E13"/>
    <w:rsid w:val="001A1FB7"/>
    <w:rsid w:val="001A1FBD"/>
    <w:rsid w:val="001A2056"/>
    <w:rsid w:val="001A20F4"/>
    <w:rsid w:val="001A229E"/>
    <w:rsid w:val="001A22CA"/>
    <w:rsid w:val="001A255C"/>
    <w:rsid w:val="001A2731"/>
    <w:rsid w:val="001A278A"/>
    <w:rsid w:val="001A2A54"/>
    <w:rsid w:val="001A2D17"/>
    <w:rsid w:val="001A2DA7"/>
    <w:rsid w:val="001A2DDF"/>
    <w:rsid w:val="001A2EBE"/>
    <w:rsid w:val="001A301B"/>
    <w:rsid w:val="001A31AF"/>
    <w:rsid w:val="001A3303"/>
    <w:rsid w:val="001A33AC"/>
    <w:rsid w:val="001A3464"/>
    <w:rsid w:val="001A34F3"/>
    <w:rsid w:val="001A3563"/>
    <w:rsid w:val="001A384B"/>
    <w:rsid w:val="001A387A"/>
    <w:rsid w:val="001A39EF"/>
    <w:rsid w:val="001A3B0E"/>
    <w:rsid w:val="001A3C05"/>
    <w:rsid w:val="001A3C87"/>
    <w:rsid w:val="001A3DBB"/>
    <w:rsid w:val="001A3F7C"/>
    <w:rsid w:val="001A4068"/>
    <w:rsid w:val="001A4137"/>
    <w:rsid w:val="001A4200"/>
    <w:rsid w:val="001A42E4"/>
    <w:rsid w:val="001A438A"/>
    <w:rsid w:val="001A43EA"/>
    <w:rsid w:val="001A46C1"/>
    <w:rsid w:val="001A4C30"/>
    <w:rsid w:val="001A4DE7"/>
    <w:rsid w:val="001A4EBD"/>
    <w:rsid w:val="001A504A"/>
    <w:rsid w:val="001A5127"/>
    <w:rsid w:val="001A535B"/>
    <w:rsid w:val="001A5377"/>
    <w:rsid w:val="001A540C"/>
    <w:rsid w:val="001A5777"/>
    <w:rsid w:val="001A5979"/>
    <w:rsid w:val="001A5A03"/>
    <w:rsid w:val="001A5A5D"/>
    <w:rsid w:val="001A5B03"/>
    <w:rsid w:val="001A5B2A"/>
    <w:rsid w:val="001A5B40"/>
    <w:rsid w:val="001A5C5A"/>
    <w:rsid w:val="001A5E11"/>
    <w:rsid w:val="001A5E76"/>
    <w:rsid w:val="001A6192"/>
    <w:rsid w:val="001A61BC"/>
    <w:rsid w:val="001A63AC"/>
    <w:rsid w:val="001A63D1"/>
    <w:rsid w:val="001A6426"/>
    <w:rsid w:val="001A64B1"/>
    <w:rsid w:val="001A6B26"/>
    <w:rsid w:val="001A6D2E"/>
    <w:rsid w:val="001A6E51"/>
    <w:rsid w:val="001A6E63"/>
    <w:rsid w:val="001A6F09"/>
    <w:rsid w:val="001A70D0"/>
    <w:rsid w:val="001A71BC"/>
    <w:rsid w:val="001A74D2"/>
    <w:rsid w:val="001A74DE"/>
    <w:rsid w:val="001A76A8"/>
    <w:rsid w:val="001A7705"/>
    <w:rsid w:val="001A773E"/>
    <w:rsid w:val="001A7A59"/>
    <w:rsid w:val="001A7AC4"/>
    <w:rsid w:val="001A7B2C"/>
    <w:rsid w:val="001A7C1E"/>
    <w:rsid w:val="001A7C26"/>
    <w:rsid w:val="001A7C60"/>
    <w:rsid w:val="001A7CDB"/>
    <w:rsid w:val="001A7D05"/>
    <w:rsid w:val="001A7F72"/>
    <w:rsid w:val="001B0019"/>
    <w:rsid w:val="001B018F"/>
    <w:rsid w:val="001B01D5"/>
    <w:rsid w:val="001B0346"/>
    <w:rsid w:val="001B03CC"/>
    <w:rsid w:val="001B0454"/>
    <w:rsid w:val="001B047A"/>
    <w:rsid w:val="001B04E4"/>
    <w:rsid w:val="001B0507"/>
    <w:rsid w:val="001B056D"/>
    <w:rsid w:val="001B079C"/>
    <w:rsid w:val="001B08A1"/>
    <w:rsid w:val="001B08EC"/>
    <w:rsid w:val="001B0D79"/>
    <w:rsid w:val="001B0E13"/>
    <w:rsid w:val="001B0EA1"/>
    <w:rsid w:val="001B105A"/>
    <w:rsid w:val="001B116C"/>
    <w:rsid w:val="001B1322"/>
    <w:rsid w:val="001B13A4"/>
    <w:rsid w:val="001B14FA"/>
    <w:rsid w:val="001B1646"/>
    <w:rsid w:val="001B1677"/>
    <w:rsid w:val="001B1D4B"/>
    <w:rsid w:val="001B1D63"/>
    <w:rsid w:val="001B1E70"/>
    <w:rsid w:val="001B1FAF"/>
    <w:rsid w:val="001B22F0"/>
    <w:rsid w:val="001B244F"/>
    <w:rsid w:val="001B266A"/>
    <w:rsid w:val="001B2674"/>
    <w:rsid w:val="001B26F5"/>
    <w:rsid w:val="001B2891"/>
    <w:rsid w:val="001B2988"/>
    <w:rsid w:val="001B29A0"/>
    <w:rsid w:val="001B2B98"/>
    <w:rsid w:val="001B2BD0"/>
    <w:rsid w:val="001B2CA5"/>
    <w:rsid w:val="001B2CB9"/>
    <w:rsid w:val="001B2DC2"/>
    <w:rsid w:val="001B2DE1"/>
    <w:rsid w:val="001B2F92"/>
    <w:rsid w:val="001B3495"/>
    <w:rsid w:val="001B351C"/>
    <w:rsid w:val="001B35A0"/>
    <w:rsid w:val="001B37A3"/>
    <w:rsid w:val="001B3979"/>
    <w:rsid w:val="001B3A17"/>
    <w:rsid w:val="001B3ACB"/>
    <w:rsid w:val="001B3B90"/>
    <w:rsid w:val="001B3BF7"/>
    <w:rsid w:val="001B3CCD"/>
    <w:rsid w:val="001B3D46"/>
    <w:rsid w:val="001B3DDF"/>
    <w:rsid w:val="001B3F25"/>
    <w:rsid w:val="001B3F4E"/>
    <w:rsid w:val="001B3FF5"/>
    <w:rsid w:val="001B4066"/>
    <w:rsid w:val="001B41D6"/>
    <w:rsid w:val="001B42E4"/>
    <w:rsid w:val="001B44AB"/>
    <w:rsid w:val="001B451B"/>
    <w:rsid w:val="001B49DD"/>
    <w:rsid w:val="001B4A2A"/>
    <w:rsid w:val="001B4B36"/>
    <w:rsid w:val="001B4E70"/>
    <w:rsid w:val="001B4FEA"/>
    <w:rsid w:val="001B53C0"/>
    <w:rsid w:val="001B544F"/>
    <w:rsid w:val="001B55C5"/>
    <w:rsid w:val="001B5682"/>
    <w:rsid w:val="001B56EA"/>
    <w:rsid w:val="001B5798"/>
    <w:rsid w:val="001B57F7"/>
    <w:rsid w:val="001B58F8"/>
    <w:rsid w:val="001B5D3D"/>
    <w:rsid w:val="001B5F85"/>
    <w:rsid w:val="001B61E3"/>
    <w:rsid w:val="001B6248"/>
    <w:rsid w:val="001B6285"/>
    <w:rsid w:val="001B6430"/>
    <w:rsid w:val="001B6500"/>
    <w:rsid w:val="001B6594"/>
    <w:rsid w:val="001B659D"/>
    <w:rsid w:val="001B6609"/>
    <w:rsid w:val="001B663E"/>
    <w:rsid w:val="001B67CC"/>
    <w:rsid w:val="001B6AA1"/>
    <w:rsid w:val="001B6ACC"/>
    <w:rsid w:val="001B6AEC"/>
    <w:rsid w:val="001B6B0C"/>
    <w:rsid w:val="001B6CD3"/>
    <w:rsid w:val="001B6E32"/>
    <w:rsid w:val="001B70F0"/>
    <w:rsid w:val="001B7170"/>
    <w:rsid w:val="001B7194"/>
    <w:rsid w:val="001B7233"/>
    <w:rsid w:val="001B726D"/>
    <w:rsid w:val="001B72B3"/>
    <w:rsid w:val="001B73BE"/>
    <w:rsid w:val="001B748D"/>
    <w:rsid w:val="001B749F"/>
    <w:rsid w:val="001B7589"/>
    <w:rsid w:val="001B769C"/>
    <w:rsid w:val="001B776D"/>
    <w:rsid w:val="001B77FE"/>
    <w:rsid w:val="001B78E7"/>
    <w:rsid w:val="001B7CCE"/>
    <w:rsid w:val="001B7E38"/>
    <w:rsid w:val="001B7E3B"/>
    <w:rsid w:val="001B7F1F"/>
    <w:rsid w:val="001B7F45"/>
    <w:rsid w:val="001B7F4E"/>
    <w:rsid w:val="001C00BE"/>
    <w:rsid w:val="001C02B1"/>
    <w:rsid w:val="001C035D"/>
    <w:rsid w:val="001C04CA"/>
    <w:rsid w:val="001C04DE"/>
    <w:rsid w:val="001C05F4"/>
    <w:rsid w:val="001C06E8"/>
    <w:rsid w:val="001C08E7"/>
    <w:rsid w:val="001C0A7C"/>
    <w:rsid w:val="001C0BF6"/>
    <w:rsid w:val="001C0D39"/>
    <w:rsid w:val="001C0E25"/>
    <w:rsid w:val="001C0E53"/>
    <w:rsid w:val="001C115B"/>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6DB"/>
    <w:rsid w:val="001C2707"/>
    <w:rsid w:val="001C287A"/>
    <w:rsid w:val="001C2A7D"/>
    <w:rsid w:val="001C2BC5"/>
    <w:rsid w:val="001C2D7C"/>
    <w:rsid w:val="001C2E24"/>
    <w:rsid w:val="001C2E81"/>
    <w:rsid w:val="001C3519"/>
    <w:rsid w:val="001C3580"/>
    <w:rsid w:val="001C38FB"/>
    <w:rsid w:val="001C39EC"/>
    <w:rsid w:val="001C3ABD"/>
    <w:rsid w:val="001C3B65"/>
    <w:rsid w:val="001C3C2B"/>
    <w:rsid w:val="001C3D88"/>
    <w:rsid w:val="001C3E2A"/>
    <w:rsid w:val="001C3F4F"/>
    <w:rsid w:val="001C4224"/>
    <w:rsid w:val="001C4261"/>
    <w:rsid w:val="001C428C"/>
    <w:rsid w:val="001C4295"/>
    <w:rsid w:val="001C4320"/>
    <w:rsid w:val="001C46D9"/>
    <w:rsid w:val="001C47F0"/>
    <w:rsid w:val="001C47F5"/>
    <w:rsid w:val="001C485E"/>
    <w:rsid w:val="001C486C"/>
    <w:rsid w:val="001C496E"/>
    <w:rsid w:val="001C4A8E"/>
    <w:rsid w:val="001C4D9A"/>
    <w:rsid w:val="001C4DE6"/>
    <w:rsid w:val="001C4FA4"/>
    <w:rsid w:val="001C4FFB"/>
    <w:rsid w:val="001C50C3"/>
    <w:rsid w:val="001C50D7"/>
    <w:rsid w:val="001C5336"/>
    <w:rsid w:val="001C5517"/>
    <w:rsid w:val="001C5553"/>
    <w:rsid w:val="001C5568"/>
    <w:rsid w:val="001C55D3"/>
    <w:rsid w:val="001C5629"/>
    <w:rsid w:val="001C5754"/>
    <w:rsid w:val="001C58DE"/>
    <w:rsid w:val="001C592E"/>
    <w:rsid w:val="001C5AAF"/>
    <w:rsid w:val="001C5B08"/>
    <w:rsid w:val="001C5C6E"/>
    <w:rsid w:val="001C5D02"/>
    <w:rsid w:val="001C5E00"/>
    <w:rsid w:val="001C5E66"/>
    <w:rsid w:val="001C5E8F"/>
    <w:rsid w:val="001C60BB"/>
    <w:rsid w:val="001C61CF"/>
    <w:rsid w:val="001C6404"/>
    <w:rsid w:val="001C645A"/>
    <w:rsid w:val="001C67EC"/>
    <w:rsid w:val="001C6967"/>
    <w:rsid w:val="001C6A93"/>
    <w:rsid w:val="001C6B55"/>
    <w:rsid w:val="001C6C4D"/>
    <w:rsid w:val="001C6D2D"/>
    <w:rsid w:val="001C6EDC"/>
    <w:rsid w:val="001C6FBD"/>
    <w:rsid w:val="001C7064"/>
    <w:rsid w:val="001C720D"/>
    <w:rsid w:val="001C726A"/>
    <w:rsid w:val="001C737A"/>
    <w:rsid w:val="001C7465"/>
    <w:rsid w:val="001C762E"/>
    <w:rsid w:val="001C7882"/>
    <w:rsid w:val="001C7946"/>
    <w:rsid w:val="001C7995"/>
    <w:rsid w:val="001C7F2A"/>
    <w:rsid w:val="001C7F50"/>
    <w:rsid w:val="001D00F7"/>
    <w:rsid w:val="001D0404"/>
    <w:rsid w:val="001D0AF9"/>
    <w:rsid w:val="001D0B84"/>
    <w:rsid w:val="001D0C24"/>
    <w:rsid w:val="001D0E5D"/>
    <w:rsid w:val="001D0F02"/>
    <w:rsid w:val="001D104B"/>
    <w:rsid w:val="001D111F"/>
    <w:rsid w:val="001D115F"/>
    <w:rsid w:val="001D120E"/>
    <w:rsid w:val="001D12BB"/>
    <w:rsid w:val="001D1317"/>
    <w:rsid w:val="001D140E"/>
    <w:rsid w:val="001D1520"/>
    <w:rsid w:val="001D174B"/>
    <w:rsid w:val="001D18C8"/>
    <w:rsid w:val="001D1B79"/>
    <w:rsid w:val="001D1D9B"/>
    <w:rsid w:val="001D1DC1"/>
    <w:rsid w:val="001D1E23"/>
    <w:rsid w:val="001D1F0A"/>
    <w:rsid w:val="001D2088"/>
    <w:rsid w:val="001D20BE"/>
    <w:rsid w:val="001D20D0"/>
    <w:rsid w:val="001D266E"/>
    <w:rsid w:val="001D26B8"/>
    <w:rsid w:val="001D291A"/>
    <w:rsid w:val="001D2973"/>
    <w:rsid w:val="001D2CBB"/>
    <w:rsid w:val="001D2D9D"/>
    <w:rsid w:val="001D2F2A"/>
    <w:rsid w:val="001D2FB6"/>
    <w:rsid w:val="001D300C"/>
    <w:rsid w:val="001D30CA"/>
    <w:rsid w:val="001D30CC"/>
    <w:rsid w:val="001D314A"/>
    <w:rsid w:val="001D31A4"/>
    <w:rsid w:val="001D31DA"/>
    <w:rsid w:val="001D33FD"/>
    <w:rsid w:val="001D34A1"/>
    <w:rsid w:val="001D35E6"/>
    <w:rsid w:val="001D369C"/>
    <w:rsid w:val="001D36B8"/>
    <w:rsid w:val="001D36C6"/>
    <w:rsid w:val="001D3741"/>
    <w:rsid w:val="001D3795"/>
    <w:rsid w:val="001D37C5"/>
    <w:rsid w:val="001D3916"/>
    <w:rsid w:val="001D3995"/>
    <w:rsid w:val="001D3A61"/>
    <w:rsid w:val="001D3A79"/>
    <w:rsid w:val="001D3C37"/>
    <w:rsid w:val="001D3FFA"/>
    <w:rsid w:val="001D4227"/>
    <w:rsid w:val="001D422B"/>
    <w:rsid w:val="001D43C1"/>
    <w:rsid w:val="001D4459"/>
    <w:rsid w:val="001D4539"/>
    <w:rsid w:val="001D463B"/>
    <w:rsid w:val="001D46FC"/>
    <w:rsid w:val="001D4719"/>
    <w:rsid w:val="001D47A8"/>
    <w:rsid w:val="001D483E"/>
    <w:rsid w:val="001D48BA"/>
    <w:rsid w:val="001D4960"/>
    <w:rsid w:val="001D49A4"/>
    <w:rsid w:val="001D4A81"/>
    <w:rsid w:val="001D4D43"/>
    <w:rsid w:val="001D4E1D"/>
    <w:rsid w:val="001D4F1D"/>
    <w:rsid w:val="001D4F87"/>
    <w:rsid w:val="001D4FF8"/>
    <w:rsid w:val="001D5238"/>
    <w:rsid w:val="001D525C"/>
    <w:rsid w:val="001D52F3"/>
    <w:rsid w:val="001D5360"/>
    <w:rsid w:val="001D5470"/>
    <w:rsid w:val="001D566A"/>
    <w:rsid w:val="001D568F"/>
    <w:rsid w:val="001D5690"/>
    <w:rsid w:val="001D5752"/>
    <w:rsid w:val="001D57A3"/>
    <w:rsid w:val="001D57CD"/>
    <w:rsid w:val="001D5879"/>
    <w:rsid w:val="001D58E5"/>
    <w:rsid w:val="001D5947"/>
    <w:rsid w:val="001D5D3D"/>
    <w:rsid w:val="001D5DB6"/>
    <w:rsid w:val="001D5E1C"/>
    <w:rsid w:val="001D5FB2"/>
    <w:rsid w:val="001D6206"/>
    <w:rsid w:val="001D620D"/>
    <w:rsid w:val="001D640E"/>
    <w:rsid w:val="001D64D5"/>
    <w:rsid w:val="001D65B4"/>
    <w:rsid w:val="001D67CC"/>
    <w:rsid w:val="001D67CF"/>
    <w:rsid w:val="001D67DA"/>
    <w:rsid w:val="001D684F"/>
    <w:rsid w:val="001D69BB"/>
    <w:rsid w:val="001D6B56"/>
    <w:rsid w:val="001D6D0A"/>
    <w:rsid w:val="001D6D6A"/>
    <w:rsid w:val="001D70C9"/>
    <w:rsid w:val="001D71B8"/>
    <w:rsid w:val="001D7355"/>
    <w:rsid w:val="001D755E"/>
    <w:rsid w:val="001D7846"/>
    <w:rsid w:val="001D7B3C"/>
    <w:rsid w:val="001D7BB2"/>
    <w:rsid w:val="001D7CD3"/>
    <w:rsid w:val="001D7D05"/>
    <w:rsid w:val="001D7DC5"/>
    <w:rsid w:val="001E0068"/>
    <w:rsid w:val="001E00B6"/>
    <w:rsid w:val="001E0166"/>
    <w:rsid w:val="001E02E8"/>
    <w:rsid w:val="001E0350"/>
    <w:rsid w:val="001E03C9"/>
    <w:rsid w:val="001E0507"/>
    <w:rsid w:val="001E081B"/>
    <w:rsid w:val="001E0959"/>
    <w:rsid w:val="001E0C0A"/>
    <w:rsid w:val="001E0E42"/>
    <w:rsid w:val="001E124B"/>
    <w:rsid w:val="001E12A6"/>
    <w:rsid w:val="001E1305"/>
    <w:rsid w:val="001E133E"/>
    <w:rsid w:val="001E13CE"/>
    <w:rsid w:val="001E15A5"/>
    <w:rsid w:val="001E19CA"/>
    <w:rsid w:val="001E1A17"/>
    <w:rsid w:val="001E1CFE"/>
    <w:rsid w:val="001E1D74"/>
    <w:rsid w:val="001E1F8C"/>
    <w:rsid w:val="001E1FBB"/>
    <w:rsid w:val="001E22F2"/>
    <w:rsid w:val="001E231B"/>
    <w:rsid w:val="001E2386"/>
    <w:rsid w:val="001E258F"/>
    <w:rsid w:val="001E2608"/>
    <w:rsid w:val="001E2722"/>
    <w:rsid w:val="001E2B8B"/>
    <w:rsid w:val="001E2BF6"/>
    <w:rsid w:val="001E2C1C"/>
    <w:rsid w:val="001E2C70"/>
    <w:rsid w:val="001E2C7D"/>
    <w:rsid w:val="001E2CBE"/>
    <w:rsid w:val="001E2DA4"/>
    <w:rsid w:val="001E2DC9"/>
    <w:rsid w:val="001E2EB9"/>
    <w:rsid w:val="001E2EEE"/>
    <w:rsid w:val="001E2EF1"/>
    <w:rsid w:val="001E2F34"/>
    <w:rsid w:val="001E2F5D"/>
    <w:rsid w:val="001E3246"/>
    <w:rsid w:val="001E32CE"/>
    <w:rsid w:val="001E33EE"/>
    <w:rsid w:val="001E3674"/>
    <w:rsid w:val="001E3700"/>
    <w:rsid w:val="001E3780"/>
    <w:rsid w:val="001E39AC"/>
    <w:rsid w:val="001E39B8"/>
    <w:rsid w:val="001E3B01"/>
    <w:rsid w:val="001E3C2C"/>
    <w:rsid w:val="001E3C89"/>
    <w:rsid w:val="001E3E55"/>
    <w:rsid w:val="001E3EA5"/>
    <w:rsid w:val="001E3FE6"/>
    <w:rsid w:val="001E412E"/>
    <w:rsid w:val="001E4197"/>
    <w:rsid w:val="001E436C"/>
    <w:rsid w:val="001E4484"/>
    <w:rsid w:val="001E456E"/>
    <w:rsid w:val="001E45D0"/>
    <w:rsid w:val="001E4A72"/>
    <w:rsid w:val="001E4AAA"/>
    <w:rsid w:val="001E4AF3"/>
    <w:rsid w:val="001E4BF3"/>
    <w:rsid w:val="001E4C29"/>
    <w:rsid w:val="001E4C81"/>
    <w:rsid w:val="001E4D73"/>
    <w:rsid w:val="001E4ED4"/>
    <w:rsid w:val="001E4F21"/>
    <w:rsid w:val="001E4FE9"/>
    <w:rsid w:val="001E52F3"/>
    <w:rsid w:val="001E53E2"/>
    <w:rsid w:val="001E54A8"/>
    <w:rsid w:val="001E55CE"/>
    <w:rsid w:val="001E59FF"/>
    <w:rsid w:val="001E5A4D"/>
    <w:rsid w:val="001E5B49"/>
    <w:rsid w:val="001E5DD8"/>
    <w:rsid w:val="001E613D"/>
    <w:rsid w:val="001E64FB"/>
    <w:rsid w:val="001E6780"/>
    <w:rsid w:val="001E6818"/>
    <w:rsid w:val="001E6AE1"/>
    <w:rsid w:val="001E6B59"/>
    <w:rsid w:val="001E6DC2"/>
    <w:rsid w:val="001E6E3F"/>
    <w:rsid w:val="001E6E48"/>
    <w:rsid w:val="001E6FA1"/>
    <w:rsid w:val="001E702F"/>
    <w:rsid w:val="001E7174"/>
    <w:rsid w:val="001E7293"/>
    <w:rsid w:val="001E7355"/>
    <w:rsid w:val="001E75EF"/>
    <w:rsid w:val="001E7619"/>
    <w:rsid w:val="001E7800"/>
    <w:rsid w:val="001E7A2D"/>
    <w:rsid w:val="001E7E4C"/>
    <w:rsid w:val="001E7E94"/>
    <w:rsid w:val="001E7F9A"/>
    <w:rsid w:val="001E7FAE"/>
    <w:rsid w:val="001E7FC6"/>
    <w:rsid w:val="001F014B"/>
    <w:rsid w:val="001F0390"/>
    <w:rsid w:val="001F039F"/>
    <w:rsid w:val="001F03B4"/>
    <w:rsid w:val="001F049C"/>
    <w:rsid w:val="001F049F"/>
    <w:rsid w:val="001F0888"/>
    <w:rsid w:val="001F0980"/>
    <w:rsid w:val="001F09D6"/>
    <w:rsid w:val="001F0AD8"/>
    <w:rsid w:val="001F0D0F"/>
    <w:rsid w:val="001F0DFC"/>
    <w:rsid w:val="001F0EF4"/>
    <w:rsid w:val="001F12C3"/>
    <w:rsid w:val="001F1485"/>
    <w:rsid w:val="001F14B8"/>
    <w:rsid w:val="001F1657"/>
    <w:rsid w:val="001F16E0"/>
    <w:rsid w:val="001F17B6"/>
    <w:rsid w:val="001F17BB"/>
    <w:rsid w:val="001F186A"/>
    <w:rsid w:val="001F18BB"/>
    <w:rsid w:val="001F19EB"/>
    <w:rsid w:val="001F1A95"/>
    <w:rsid w:val="001F1B34"/>
    <w:rsid w:val="001F1B7C"/>
    <w:rsid w:val="001F1EB3"/>
    <w:rsid w:val="001F1EEC"/>
    <w:rsid w:val="001F1EF3"/>
    <w:rsid w:val="001F1FDD"/>
    <w:rsid w:val="001F208D"/>
    <w:rsid w:val="001F22BC"/>
    <w:rsid w:val="001F230C"/>
    <w:rsid w:val="001F2414"/>
    <w:rsid w:val="001F24EA"/>
    <w:rsid w:val="001F2527"/>
    <w:rsid w:val="001F2539"/>
    <w:rsid w:val="001F2579"/>
    <w:rsid w:val="001F262F"/>
    <w:rsid w:val="001F26CD"/>
    <w:rsid w:val="001F291B"/>
    <w:rsid w:val="001F2A33"/>
    <w:rsid w:val="001F2A34"/>
    <w:rsid w:val="001F2ACE"/>
    <w:rsid w:val="001F2B10"/>
    <w:rsid w:val="001F2D79"/>
    <w:rsid w:val="001F2E7C"/>
    <w:rsid w:val="001F3198"/>
    <w:rsid w:val="001F3321"/>
    <w:rsid w:val="001F34AA"/>
    <w:rsid w:val="001F3578"/>
    <w:rsid w:val="001F360E"/>
    <w:rsid w:val="001F3656"/>
    <w:rsid w:val="001F36B0"/>
    <w:rsid w:val="001F37E2"/>
    <w:rsid w:val="001F3824"/>
    <w:rsid w:val="001F38AE"/>
    <w:rsid w:val="001F3A54"/>
    <w:rsid w:val="001F3BED"/>
    <w:rsid w:val="001F3CC9"/>
    <w:rsid w:val="001F3D6A"/>
    <w:rsid w:val="001F3E6F"/>
    <w:rsid w:val="001F3F4F"/>
    <w:rsid w:val="001F4048"/>
    <w:rsid w:val="001F40E3"/>
    <w:rsid w:val="001F44A2"/>
    <w:rsid w:val="001F45C6"/>
    <w:rsid w:val="001F4654"/>
    <w:rsid w:val="001F4690"/>
    <w:rsid w:val="001F471E"/>
    <w:rsid w:val="001F47A0"/>
    <w:rsid w:val="001F4885"/>
    <w:rsid w:val="001F48E7"/>
    <w:rsid w:val="001F4B0B"/>
    <w:rsid w:val="001F4BFD"/>
    <w:rsid w:val="001F4C6F"/>
    <w:rsid w:val="001F4E2A"/>
    <w:rsid w:val="001F4EBE"/>
    <w:rsid w:val="001F4FF7"/>
    <w:rsid w:val="001F5115"/>
    <w:rsid w:val="001F5143"/>
    <w:rsid w:val="001F5212"/>
    <w:rsid w:val="001F52EB"/>
    <w:rsid w:val="001F54B3"/>
    <w:rsid w:val="001F5A1E"/>
    <w:rsid w:val="001F5AAF"/>
    <w:rsid w:val="001F5AC1"/>
    <w:rsid w:val="001F5AEC"/>
    <w:rsid w:val="001F5D1C"/>
    <w:rsid w:val="001F5DDF"/>
    <w:rsid w:val="001F5DF4"/>
    <w:rsid w:val="001F5F27"/>
    <w:rsid w:val="001F5F78"/>
    <w:rsid w:val="001F606A"/>
    <w:rsid w:val="001F6092"/>
    <w:rsid w:val="001F60EA"/>
    <w:rsid w:val="001F61C1"/>
    <w:rsid w:val="001F61FC"/>
    <w:rsid w:val="001F62EF"/>
    <w:rsid w:val="001F63CA"/>
    <w:rsid w:val="001F63D1"/>
    <w:rsid w:val="001F6673"/>
    <w:rsid w:val="001F67F8"/>
    <w:rsid w:val="001F68EC"/>
    <w:rsid w:val="001F6988"/>
    <w:rsid w:val="001F6B2B"/>
    <w:rsid w:val="001F6CBF"/>
    <w:rsid w:val="001F6D9D"/>
    <w:rsid w:val="001F6DD1"/>
    <w:rsid w:val="001F6E3B"/>
    <w:rsid w:val="001F6E9D"/>
    <w:rsid w:val="001F7045"/>
    <w:rsid w:val="001F7161"/>
    <w:rsid w:val="001F7528"/>
    <w:rsid w:val="001F75E3"/>
    <w:rsid w:val="001F7762"/>
    <w:rsid w:val="001F782C"/>
    <w:rsid w:val="001F78CD"/>
    <w:rsid w:val="001F79D4"/>
    <w:rsid w:val="001F79D9"/>
    <w:rsid w:val="001F7A67"/>
    <w:rsid w:val="001F7B10"/>
    <w:rsid w:val="001F7D6B"/>
    <w:rsid w:val="001F7EFD"/>
    <w:rsid w:val="0020022F"/>
    <w:rsid w:val="00200358"/>
    <w:rsid w:val="002003BF"/>
    <w:rsid w:val="002003C4"/>
    <w:rsid w:val="002007C4"/>
    <w:rsid w:val="002008AD"/>
    <w:rsid w:val="0020094E"/>
    <w:rsid w:val="00200B9C"/>
    <w:rsid w:val="00200CD1"/>
    <w:rsid w:val="00200DDF"/>
    <w:rsid w:val="00201038"/>
    <w:rsid w:val="002010A5"/>
    <w:rsid w:val="002010FB"/>
    <w:rsid w:val="002012DD"/>
    <w:rsid w:val="00201419"/>
    <w:rsid w:val="002016EC"/>
    <w:rsid w:val="002017CA"/>
    <w:rsid w:val="0020196D"/>
    <w:rsid w:val="0020199F"/>
    <w:rsid w:val="00201A12"/>
    <w:rsid w:val="00201C0B"/>
    <w:rsid w:val="00201C57"/>
    <w:rsid w:val="00201E53"/>
    <w:rsid w:val="00201E94"/>
    <w:rsid w:val="00201EC8"/>
    <w:rsid w:val="002021BD"/>
    <w:rsid w:val="00202293"/>
    <w:rsid w:val="00202446"/>
    <w:rsid w:val="00202A97"/>
    <w:rsid w:val="00202AE3"/>
    <w:rsid w:val="00202B4A"/>
    <w:rsid w:val="00202BEA"/>
    <w:rsid w:val="00202C9D"/>
    <w:rsid w:val="00202D89"/>
    <w:rsid w:val="00202E56"/>
    <w:rsid w:val="00202EC1"/>
    <w:rsid w:val="00202F0C"/>
    <w:rsid w:val="00202F8B"/>
    <w:rsid w:val="0020307A"/>
    <w:rsid w:val="0020322C"/>
    <w:rsid w:val="00203236"/>
    <w:rsid w:val="00203866"/>
    <w:rsid w:val="002038D6"/>
    <w:rsid w:val="002038FC"/>
    <w:rsid w:val="00203995"/>
    <w:rsid w:val="00203B9C"/>
    <w:rsid w:val="00203BE9"/>
    <w:rsid w:val="00203D0F"/>
    <w:rsid w:val="00203D8B"/>
    <w:rsid w:val="00203DD7"/>
    <w:rsid w:val="00203E7F"/>
    <w:rsid w:val="00204037"/>
    <w:rsid w:val="002040AB"/>
    <w:rsid w:val="00204102"/>
    <w:rsid w:val="00204281"/>
    <w:rsid w:val="002046B6"/>
    <w:rsid w:val="00204A3B"/>
    <w:rsid w:val="00205220"/>
    <w:rsid w:val="00205248"/>
    <w:rsid w:val="00205457"/>
    <w:rsid w:val="00205485"/>
    <w:rsid w:val="00205504"/>
    <w:rsid w:val="00205554"/>
    <w:rsid w:val="0020573F"/>
    <w:rsid w:val="0020583E"/>
    <w:rsid w:val="00205AB1"/>
    <w:rsid w:val="00205BE5"/>
    <w:rsid w:val="00205C9F"/>
    <w:rsid w:val="00205CA0"/>
    <w:rsid w:val="00205DBA"/>
    <w:rsid w:val="00205ED4"/>
    <w:rsid w:val="00205F4D"/>
    <w:rsid w:val="00206018"/>
    <w:rsid w:val="00206127"/>
    <w:rsid w:val="00206157"/>
    <w:rsid w:val="00206219"/>
    <w:rsid w:val="0020622B"/>
    <w:rsid w:val="00206261"/>
    <w:rsid w:val="002062DF"/>
    <w:rsid w:val="00206427"/>
    <w:rsid w:val="00206469"/>
    <w:rsid w:val="002065BA"/>
    <w:rsid w:val="002066EA"/>
    <w:rsid w:val="00206766"/>
    <w:rsid w:val="00206871"/>
    <w:rsid w:val="00206886"/>
    <w:rsid w:val="002069E5"/>
    <w:rsid w:val="00206C3F"/>
    <w:rsid w:val="00206C60"/>
    <w:rsid w:val="00206F60"/>
    <w:rsid w:val="00206F9B"/>
    <w:rsid w:val="00206FB4"/>
    <w:rsid w:val="0020700A"/>
    <w:rsid w:val="002072DB"/>
    <w:rsid w:val="0020730B"/>
    <w:rsid w:val="0020730E"/>
    <w:rsid w:val="00207560"/>
    <w:rsid w:val="0020758D"/>
    <w:rsid w:val="0020763A"/>
    <w:rsid w:val="002076E2"/>
    <w:rsid w:val="00207933"/>
    <w:rsid w:val="00207BE0"/>
    <w:rsid w:val="00207BEA"/>
    <w:rsid w:val="00207C1A"/>
    <w:rsid w:val="00207EC8"/>
    <w:rsid w:val="00207F22"/>
    <w:rsid w:val="002101CA"/>
    <w:rsid w:val="002101E2"/>
    <w:rsid w:val="00210202"/>
    <w:rsid w:val="0021054C"/>
    <w:rsid w:val="0021058E"/>
    <w:rsid w:val="002107CA"/>
    <w:rsid w:val="002107FB"/>
    <w:rsid w:val="00210849"/>
    <w:rsid w:val="00210942"/>
    <w:rsid w:val="00210B1B"/>
    <w:rsid w:val="00210B71"/>
    <w:rsid w:val="00210E28"/>
    <w:rsid w:val="00210E42"/>
    <w:rsid w:val="00210E5C"/>
    <w:rsid w:val="00210E97"/>
    <w:rsid w:val="00210EA2"/>
    <w:rsid w:val="0021105B"/>
    <w:rsid w:val="0021120D"/>
    <w:rsid w:val="002113D9"/>
    <w:rsid w:val="002113F5"/>
    <w:rsid w:val="002115CF"/>
    <w:rsid w:val="0021168E"/>
    <w:rsid w:val="00211964"/>
    <w:rsid w:val="00211A23"/>
    <w:rsid w:val="00211A78"/>
    <w:rsid w:val="00211B2B"/>
    <w:rsid w:val="00211D7F"/>
    <w:rsid w:val="00211EE6"/>
    <w:rsid w:val="00211FDA"/>
    <w:rsid w:val="00211FF5"/>
    <w:rsid w:val="0021209D"/>
    <w:rsid w:val="00212203"/>
    <w:rsid w:val="0021253C"/>
    <w:rsid w:val="00212720"/>
    <w:rsid w:val="002127B0"/>
    <w:rsid w:val="002127BE"/>
    <w:rsid w:val="0021282C"/>
    <w:rsid w:val="00212879"/>
    <w:rsid w:val="002128BA"/>
    <w:rsid w:val="0021292A"/>
    <w:rsid w:val="00212943"/>
    <w:rsid w:val="00212A90"/>
    <w:rsid w:val="00212B9B"/>
    <w:rsid w:val="00212BC7"/>
    <w:rsid w:val="00212CBD"/>
    <w:rsid w:val="00212D5A"/>
    <w:rsid w:val="00212DBA"/>
    <w:rsid w:val="00212DF7"/>
    <w:rsid w:val="00212E06"/>
    <w:rsid w:val="002131AC"/>
    <w:rsid w:val="0021353B"/>
    <w:rsid w:val="0021358F"/>
    <w:rsid w:val="002135F4"/>
    <w:rsid w:val="002139CC"/>
    <w:rsid w:val="00213AAD"/>
    <w:rsid w:val="00213BEC"/>
    <w:rsid w:val="00213F93"/>
    <w:rsid w:val="00214096"/>
    <w:rsid w:val="002141CE"/>
    <w:rsid w:val="002142A4"/>
    <w:rsid w:val="002142FF"/>
    <w:rsid w:val="0021438F"/>
    <w:rsid w:val="0021453E"/>
    <w:rsid w:val="002145A8"/>
    <w:rsid w:val="00214D39"/>
    <w:rsid w:val="00214DD3"/>
    <w:rsid w:val="002150AD"/>
    <w:rsid w:val="002150D1"/>
    <w:rsid w:val="00215160"/>
    <w:rsid w:val="00215239"/>
    <w:rsid w:val="00215298"/>
    <w:rsid w:val="00215522"/>
    <w:rsid w:val="0021560F"/>
    <w:rsid w:val="00215A9B"/>
    <w:rsid w:val="00215B0A"/>
    <w:rsid w:val="00215D37"/>
    <w:rsid w:val="00215DB2"/>
    <w:rsid w:val="00215DF7"/>
    <w:rsid w:val="00215E7E"/>
    <w:rsid w:val="00215FF7"/>
    <w:rsid w:val="00216063"/>
    <w:rsid w:val="00216100"/>
    <w:rsid w:val="00216115"/>
    <w:rsid w:val="002161AF"/>
    <w:rsid w:val="002161CD"/>
    <w:rsid w:val="0021646E"/>
    <w:rsid w:val="0021648B"/>
    <w:rsid w:val="0021653A"/>
    <w:rsid w:val="002166F8"/>
    <w:rsid w:val="0021678B"/>
    <w:rsid w:val="00216807"/>
    <w:rsid w:val="00216A2E"/>
    <w:rsid w:val="00216DAB"/>
    <w:rsid w:val="00216FEA"/>
    <w:rsid w:val="00217054"/>
    <w:rsid w:val="0021723F"/>
    <w:rsid w:val="0021738E"/>
    <w:rsid w:val="002175B1"/>
    <w:rsid w:val="0021761F"/>
    <w:rsid w:val="002177E6"/>
    <w:rsid w:val="00217904"/>
    <w:rsid w:val="0021791B"/>
    <w:rsid w:val="00217920"/>
    <w:rsid w:val="0021792D"/>
    <w:rsid w:val="00217968"/>
    <w:rsid w:val="00217A60"/>
    <w:rsid w:val="00217B87"/>
    <w:rsid w:val="00217BC8"/>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5AF"/>
    <w:rsid w:val="00221640"/>
    <w:rsid w:val="00221778"/>
    <w:rsid w:val="002217D0"/>
    <w:rsid w:val="00221B7D"/>
    <w:rsid w:val="00221BAD"/>
    <w:rsid w:val="00221BFA"/>
    <w:rsid w:val="00221E9F"/>
    <w:rsid w:val="00222072"/>
    <w:rsid w:val="00222132"/>
    <w:rsid w:val="002221EB"/>
    <w:rsid w:val="002222FA"/>
    <w:rsid w:val="0022241D"/>
    <w:rsid w:val="00222497"/>
    <w:rsid w:val="002227B2"/>
    <w:rsid w:val="0022285E"/>
    <w:rsid w:val="002228E8"/>
    <w:rsid w:val="002228F6"/>
    <w:rsid w:val="00222B97"/>
    <w:rsid w:val="00222BB2"/>
    <w:rsid w:val="00222C18"/>
    <w:rsid w:val="00222C82"/>
    <w:rsid w:val="00222D32"/>
    <w:rsid w:val="00222E69"/>
    <w:rsid w:val="00222ED3"/>
    <w:rsid w:val="00223172"/>
    <w:rsid w:val="00223188"/>
    <w:rsid w:val="002233CA"/>
    <w:rsid w:val="0022351F"/>
    <w:rsid w:val="0022356E"/>
    <w:rsid w:val="00223596"/>
    <w:rsid w:val="002235B6"/>
    <w:rsid w:val="002235D9"/>
    <w:rsid w:val="00223601"/>
    <w:rsid w:val="00223621"/>
    <w:rsid w:val="00223890"/>
    <w:rsid w:val="002239F2"/>
    <w:rsid w:val="00223A92"/>
    <w:rsid w:val="00223AC3"/>
    <w:rsid w:val="00223CF1"/>
    <w:rsid w:val="00223D2F"/>
    <w:rsid w:val="00223D84"/>
    <w:rsid w:val="00223FDE"/>
    <w:rsid w:val="0022401D"/>
    <w:rsid w:val="002240D3"/>
    <w:rsid w:val="002245B1"/>
    <w:rsid w:val="002245F4"/>
    <w:rsid w:val="00224626"/>
    <w:rsid w:val="00224754"/>
    <w:rsid w:val="0022493A"/>
    <w:rsid w:val="00224C97"/>
    <w:rsid w:val="00224CFC"/>
    <w:rsid w:val="00224F15"/>
    <w:rsid w:val="00224FD3"/>
    <w:rsid w:val="0022522F"/>
    <w:rsid w:val="00225507"/>
    <w:rsid w:val="0022560D"/>
    <w:rsid w:val="00225793"/>
    <w:rsid w:val="00225B20"/>
    <w:rsid w:val="00225B97"/>
    <w:rsid w:val="00225C2D"/>
    <w:rsid w:val="00225E52"/>
    <w:rsid w:val="00225FCC"/>
    <w:rsid w:val="0022607D"/>
    <w:rsid w:val="0022623A"/>
    <w:rsid w:val="002262F1"/>
    <w:rsid w:val="0022644F"/>
    <w:rsid w:val="002265AC"/>
    <w:rsid w:val="002268A9"/>
    <w:rsid w:val="002269CE"/>
    <w:rsid w:val="00226A9C"/>
    <w:rsid w:val="00226C30"/>
    <w:rsid w:val="00226E32"/>
    <w:rsid w:val="002270C3"/>
    <w:rsid w:val="002270DE"/>
    <w:rsid w:val="0022710F"/>
    <w:rsid w:val="00227195"/>
    <w:rsid w:val="002271DE"/>
    <w:rsid w:val="00227210"/>
    <w:rsid w:val="00227221"/>
    <w:rsid w:val="00227244"/>
    <w:rsid w:val="0022729F"/>
    <w:rsid w:val="0022733A"/>
    <w:rsid w:val="002273D6"/>
    <w:rsid w:val="002278EF"/>
    <w:rsid w:val="0022796D"/>
    <w:rsid w:val="002279BD"/>
    <w:rsid w:val="00227AA3"/>
    <w:rsid w:val="00227C37"/>
    <w:rsid w:val="00227D58"/>
    <w:rsid w:val="00227E18"/>
    <w:rsid w:val="00227E2D"/>
    <w:rsid w:val="00227ED0"/>
    <w:rsid w:val="00227F23"/>
    <w:rsid w:val="00227F41"/>
    <w:rsid w:val="00227F51"/>
    <w:rsid w:val="00230038"/>
    <w:rsid w:val="002302FE"/>
    <w:rsid w:val="0023031E"/>
    <w:rsid w:val="00230356"/>
    <w:rsid w:val="00230458"/>
    <w:rsid w:val="002305F5"/>
    <w:rsid w:val="0023092E"/>
    <w:rsid w:val="00230988"/>
    <w:rsid w:val="00230B78"/>
    <w:rsid w:val="00230B8C"/>
    <w:rsid w:val="00230D04"/>
    <w:rsid w:val="00230D51"/>
    <w:rsid w:val="00230EB7"/>
    <w:rsid w:val="00230EBD"/>
    <w:rsid w:val="00231051"/>
    <w:rsid w:val="00231100"/>
    <w:rsid w:val="0023112B"/>
    <w:rsid w:val="002311DE"/>
    <w:rsid w:val="0023135B"/>
    <w:rsid w:val="0023146E"/>
    <w:rsid w:val="002315DA"/>
    <w:rsid w:val="002315E6"/>
    <w:rsid w:val="00231686"/>
    <w:rsid w:val="002316F6"/>
    <w:rsid w:val="002317C7"/>
    <w:rsid w:val="00231833"/>
    <w:rsid w:val="00231851"/>
    <w:rsid w:val="0023189E"/>
    <w:rsid w:val="00231A27"/>
    <w:rsid w:val="00231A8B"/>
    <w:rsid w:val="00231BB8"/>
    <w:rsid w:val="00232002"/>
    <w:rsid w:val="0023200A"/>
    <w:rsid w:val="00232080"/>
    <w:rsid w:val="0023223E"/>
    <w:rsid w:val="00232466"/>
    <w:rsid w:val="00232626"/>
    <w:rsid w:val="0023271D"/>
    <w:rsid w:val="0023282B"/>
    <w:rsid w:val="002328E3"/>
    <w:rsid w:val="002329CB"/>
    <w:rsid w:val="00232AE4"/>
    <w:rsid w:val="00232CFD"/>
    <w:rsid w:val="00232F05"/>
    <w:rsid w:val="00233062"/>
    <w:rsid w:val="0023321E"/>
    <w:rsid w:val="002332AE"/>
    <w:rsid w:val="00233388"/>
    <w:rsid w:val="0023343A"/>
    <w:rsid w:val="00233761"/>
    <w:rsid w:val="00233798"/>
    <w:rsid w:val="002337F2"/>
    <w:rsid w:val="002338AA"/>
    <w:rsid w:val="00233AB1"/>
    <w:rsid w:val="00233DCA"/>
    <w:rsid w:val="00233DED"/>
    <w:rsid w:val="00233E79"/>
    <w:rsid w:val="00233EBF"/>
    <w:rsid w:val="00234015"/>
    <w:rsid w:val="002340B2"/>
    <w:rsid w:val="00234223"/>
    <w:rsid w:val="00234315"/>
    <w:rsid w:val="002343B6"/>
    <w:rsid w:val="00234618"/>
    <w:rsid w:val="00234645"/>
    <w:rsid w:val="00234701"/>
    <w:rsid w:val="00234821"/>
    <w:rsid w:val="00234860"/>
    <w:rsid w:val="002348A9"/>
    <w:rsid w:val="00234AA5"/>
    <w:rsid w:val="00234CE8"/>
    <w:rsid w:val="00234E09"/>
    <w:rsid w:val="002351B6"/>
    <w:rsid w:val="002353F3"/>
    <w:rsid w:val="0023559C"/>
    <w:rsid w:val="00235743"/>
    <w:rsid w:val="00235862"/>
    <w:rsid w:val="00235954"/>
    <w:rsid w:val="00235968"/>
    <w:rsid w:val="00235987"/>
    <w:rsid w:val="0023598D"/>
    <w:rsid w:val="00235A45"/>
    <w:rsid w:val="00235AF2"/>
    <w:rsid w:val="00235B00"/>
    <w:rsid w:val="00235DFE"/>
    <w:rsid w:val="00235F0B"/>
    <w:rsid w:val="00235F5C"/>
    <w:rsid w:val="00235F9C"/>
    <w:rsid w:val="00235FCF"/>
    <w:rsid w:val="00235FEF"/>
    <w:rsid w:val="00235FFD"/>
    <w:rsid w:val="00236203"/>
    <w:rsid w:val="00236625"/>
    <w:rsid w:val="0023672B"/>
    <w:rsid w:val="00236777"/>
    <w:rsid w:val="00236981"/>
    <w:rsid w:val="002369DC"/>
    <w:rsid w:val="00236A42"/>
    <w:rsid w:val="00236B54"/>
    <w:rsid w:val="00236C95"/>
    <w:rsid w:val="002370E6"/>
    <w:rsid w:val="002372E6"/>
    <w:rsid w:val="00237560"/>
    <w:rsid w:val="00237604"/>
    <w:rsid w:val="002376C7"/>
    <w:rsid w:val="002378DC"/>
    <w:rsid w:val="0023792D"/>
    <w:rsid w:val="00237945"/>
    <w:rsid w:val="00237C2B"/>
    <w:rsid w:val="00237FE6"/>
    <w:rsid w:val="00240095"/>
    <w:rsid w:val="002403AB"/>
    <w:rsid w:val="0024051F"/>
    <w:rsid w:val="00240660"/>
    <w:rsid w:val="00240729"/>
    <w:rsid w:val="00240817"/>
    <w:rsid w:val="00240AE4"/>
    <w:rsid w:val="00240B3D"/>
    <w:rsid w:val="00240B4D"/>
    <w:rsid w:val="00240BA9"/>
    <w:rsid w:val="00240BD3"/>
    <w:rsid w:val="002410BD"/>
    <w:rsid w:val="0024113F"/>
    <w:rsid w:val="002412BC"/>
    <w:rsid w:val="002412BD"/>
    <w:rsid w:val="00241446"/>
    <w:rsid w:val="0024179C"/>
    <w:rsid w:val="002418A0"/>
    <w:rsid w:val="00241A01"/>
    <w:rsid w:val="00241ADB"/>
    <w:rsid w:val="00241D1C"/>
    <w:rsid w:val="00241E03"/>
    <w:rsid w:val="00241F37"/>
    <w:rsid w:val="0024240C"/>
    <w:rsid w:val="0024254F"/>
    <w:rsid w:val="002425F1"/>
    <w:rsid w:val="00242741"/>
    <w:rsid w:val="0024289E"/>
    <w:rsid w:val="00242937"/>
    <w:rsid w:val="00242EEA"/>
    <w:rsid w:val="00242F20"/>
    <w:rsid w:val="00242F99"/>
    <w:rsid w:val="00242FF8"/>
    <w:rsid w:val="0024303D"/>
    <w:rsid w:val="0024309E"/>
    <w:rsid w:val="0024315E"/>
    <w:rsid w:val="002431BD"/>
    <w:rsid w:val="002431C1"/>
    <w:rsid w:val="002431EB"/>
    <w:rsid w:val="00243289"/>
    <w:rsid w:val="002432E6"/>
    <w:rsid w:val="00243352"/>
    <w:rsid w:val="00243649"/>
    <w:rsid w:val="00243746"/>
    <w:rsid w:val="0024384D"/>
    <w:rsid w:val="0024388B"/>
    <w:rsid w:val="002438B3"/>
    <w:rsid w:val="002439C7"/>
    <w:rsid w:val="00243A55"/>
    <w:rsid w:val="00243D4C"/>
    <w:rsid w:val="00243EFD"/>
    <w:rsid w:val="00243F53"/>
    <w:rsid w:val="00244339"/>
    <w:rsid w:val="00244356"/>
    <w:rsid w:val="00244396"/>
    <w:rsid w:val="002443C6"/>
    <w:rsid w:val="0024457E"/>
    <w:rsid w:val="00244634"/>
    <w:rsid w:val="002446E5"/>
    <w:rsid w:val="002447FA"/>
    <w:rsid w:val="00244811"/>
    <w:rsid w:val="002448F7"/>
    <w:rsid w:val="00244B46"/>
    <w:rsid w:val="00244D45"/>
    <w:rsid w:val="00244EE4"/>
    <w:rsid w:val="00244F43"/>
    <w:rsid w:val="00244FC1"/>
    <w:rsid w:val="0024535A"/>
    <w:rsid w:val="002453B3"/>
    <w:rsid w:val="00245425"/>
    <w:rsid w:val="002457BC"/>
    <w:rsid w:val="00245833"/>
    <w:rsid w:val="0024585B"/>
    <w:rsid w:val="00245C4C"/>
    <w:rsid w:val="00245C76"/>
    <w:rsid w:val="00245E25"/>
    <w:rsid w:val="00245EFF"/>
    <w:rsid w:val="00245F41"/>
    <w:rsid w:val="00246035"/>
    <w:rsid w:val="002460CD"/>
    <w:rsid w:val="00246129"/>
    <w:rsid w:val="002462E9"/>
    <w:rsid w:val="00246463"/>
    <w:rsid w:val="00246473"/>
    <w:rsid w:val="0024650C"/>
    <w:rsid w:val="002465C1"/>
    <w:rsid w:val="002466F6"/>
    <w:rsid w:val="00246740"/>
    <w:rsid w:val="00246775"/>
    <w:rsid w:val="0024681B"/>
    <w:rsid w:val="00246AB2"/>
    <w:rsid w:val="00246DAA"/>
    <w:rsid w:val="00246DB3"/>
    <w:rsid w:val="00246DD2"/>
    <w:rsid w:val="00246E1F"/>
    <w:rsid w:val="00246FD5"/>
    <w:rsid w:val="002473AB"/>
    <w:rsid w:val="002475F7"/>
    <w:rsid w:val="002476A7"/>
    <w:rsid w:val="0024777E"/>
    <w:rsid w:val="00247A4C"/>
    <w:rsid w:val="00247B04"/>
    <w:rsid w:val="00247B10"/>
    <w:rsid w:val="00247B15"/>
    <w:rsid w:val="00247B55"/>
    <w:rsid w:val="00247B56"/>
    <w:rsid w:val="00247BA8"/>
    <w:rsid w:val="00247CAF"/>
    <w:rsid w:val="00247D78"/>
    <w:rsid w:val="00247E55"/>
    <w:rsid w:val="00247E60"/>
    <w:rsid w:val="002501CD"/>
    <w:rsid w:val="002503E4"/>
    <w:rsid w:val="0025043B"/>
    <w:rsid w:val="002504CA"/>
    <w:rsid w:val="0025053B"/>
    <w:rsid w:val="00250667"/>
    <w:rsid w:val="002506D6"/>
    <w:rsid w:val="00250A68"/>
    <w:rsid w:val="00250A7D"/>
    <w:rsid w:val="00250BB6"/>
    <w:rsid w:val="00250C2E"/>
    <w:rsid w:val="00250D7E"/>
    <w:rsid w:val="00250EE1"/>
    <w:rsid w:val="00250F78"/>
    <w:rsid w:val="00250F95"/>
    <w:rsid w:val="0025119B"/>
    <w:rsid w:val="00251353"/>
    <w:rsid w:val="002515CE"/>
    <w:rsid w:val="002516E1"/>
    <w:rsid w:val="002517AC"/>
    <w:rsid w:val="00251890"/>
    <w:rsid w:val="002519AA"/>
    <w:rsid w:val="00251AE3"/>
    <w:rsid w:val="00251B29"/>
    <w:rsid w:val="00251BD3"/>
    <w:rsid w:val="00251BF1"/>
    <w:rsid w:val="00251D3D"/>
    <w:rsid w:val="00251E78"/>
    <w:rsid w:val="00251EED"/>
    <w:rsid w:val="00252079"/>
    <w:rsid w:val="002520C0"/>
    <w:rsid w:val="002520E2"/>
    <w:rsid w:val="0025211B"/>
    <w:rsid w:val="0025211D"/>
    <w:rsid w:val="002524FF"/>
    <w:rsid w:val="00252538"/>
    <w:rsid w:val="0025275C"/>
    <w:rsid w:val="00252890"/>
    <w:rsid w:val="00252CF3"/>
    <w:rsid w:val="00252E00"/>
    <w:rsid w:val="00253028"/>
    <w:rsid w:val="002532FB"/>
    <w:rsid w:val="002534A5"/>
    <w:rsid w:val="00253748"/>
    <w:rsid w:val="00253A2F"/>
    <w:rsid w:val="00253B56"/>
    <w:rsid w:val="00253BA5"/>
    <w:rsid w:val="00253E27"/>
    <w:rsid w:val="00253E4D"/>
    <w:rsid w:val="00253E67"/>
    <w:rsid w:val="00253F7A"/>
    <w:rsid w:val="00253FD2"/>
    <w:rsid w:val="00254020"/>
    <w:rsid w:val="00254167"/>
    <w:rsid w:val="00254337"/>
    <w:rsid w:val="0025434B"/>
    <w:rsid w:val="00254565"/>
    <w:rsid w:val="00254661"/>
    <w:rsid w:val="0025489F"/>
    <w:rsid w:val="002548BA"/>
    <w:rsid w:val="002549D9"/>
    <w:rsid w:val="002549FF"/>
    <w:rsid w:val="00254AB1"/>
    <w:rsid w:val="00254FD7"/>
    <w:rsid w:val="00255391"/>
    <w:rsid w:val="002553DF"/>
    <w:rsid w:val="002555E0"/>
    <w:rsid w:val="00255761"/>
    <w:rsid w:val="002557AE"/>
    <w:rsid w:val="002557C2"/>
    <w:rsid w:val="002557E4"/>
    <w:rsid w:val="00255844"/>
    <w:rsid w:val="00255920"/>
    <w:rsid w:val="00255A6C"/>
    <w:rsid w:val="00255A86"/>
    <w:rsid w:val="00255C85"/>
    <w:rsid w:val="00255CDC"/>
    <w:rsid w:val="00255D0B"/>
    <w:rsid w:val="00255DD8"/>
    <w:rsid w:val="00255E60"/>
    <w:rsid w:val="00255F06"/>
    <w:rsid w:val="00256127"/>
    <w:rsid w:val="00256163"/>
    <w:rsid w:val="00256397"/>
    <w:rsid w:val="002564DB"/>
    <w:rsid w:val="002564F5"/>
    <w:rsid w:val="002565A3"/>
    <w:rsid w:val="00256745"/>
    <w:rsid w:val="0025674F"/>
    <w:rsid w:val="00256899"/>
    <w:rsid w:val="00256E31"/>
    <w:rsid w:val="002571BD"/>
    <w:rsid w:val="0025721D"/>
    <w:rsid w:val="00257246"/>
    <w:rsid w:val="00257254"/>
    <w:rsid w:val="0025727F"/>
    <w:rsid w:val="0025742D"/>
    <w:rsid w:val="00257489"/>
    <w:rsid w:val="0025760B"/>
    <w:rsid w:val="00257749"/>
    <w:rsid w:val="002577ED"/>
    <w:rsid w:val="002579CA"/>
    <w:rsid w:val="00257AEA"/>
    <w:rsid w:val="00257B34"/>
    <w:rsid w:val="00257C27"/>
    <w:rsid w:val="00257C40"/>
    <w:rsid w:val="00257C9C"/>
    <w:rsid w:val="00257D79"/>
    <w:rsid w:val="00257EE1"/>
    <w:rsid w:val="00260050"/>
    <w:rsid w:val="00260177"/>
    <w:rsid w:val="002602DA"/>
    <w:rsid w:val="00260431"/>
    <w:rsid w:val="00260456"/>
    <w:rsid w:val="002604AA"/>
    <w:rsid w:val="00260744"/>
    <w:rsid w:val="00260A3A"/>
    <w:rsid w:val="00260A8B"/>
    <w:rsid w:val="00260B2D"/>
    <w:rsid w:val="00260BE0"/>
    <w:rsid w:val="00260C0E"/>
    <w:rsid w:val="00260FAB"/>
    <w:rsid w:val="0026108B"/>
    <w:rsid w:val="00261228"/>
    <w:rsid w:val="00261392"/>
    <w:rsid w:val="00261404"/>
    <w:rsid w:val="002615FB"/>
    <w:rsid w:val="00261620"/>
    <w:rsid w:val="0026164C"/>
    <w:rsid w:val="0026168E"/>
    <w:rsid w:val="002616ED"/>
    <w:rsid w:val="0026184B"/>
    <w:rsid w:val="002619E4"/>
    <w:rsid w:val="00261C5E"/>
    <w:rsid w:val="00261DA7"/>
    <w:rsid w:val="00261DF1"/>
    <w:rsid w:val="00261DF5"/>
    <w:rsid w:val="00261E72"/>
    <w:rsid w:val="00261ECC"/>
    <w:rsid w:val="00261EFB"/>
    <w:rsid w:val="00262069"/>
    <w:rsid w:val="002622CE"/>
    <w:rsid w:val="002623AB"/>
    <w:rsid w:val="00262527"/>
    <w:rsid w:val="002626B5"/>
    <w:rsid w:val="002626E2"/>
    <w:rsid w:val="0026270B"/>
    <w:rsid w:val="00262899"/>
    <w:rsid w:val="002629AC"/>
    <w:rsid w:val="00262A6D"/>
    <w:rsid w:val="00262A6F"/>
    <w:rsid w:val="00262AA7"/>
    <w:rsid w:val="00262DB6"/>
    <w:rsid w:val="00262E41"/>
    <w:rsid w:val="00262EC9"/>
    <w:rsid w:val="00262FB2"/>
    <w:rsid w:val="002630A5"/>
    <w:rsid w:val="002631F0"/>
    <w:rsid w:val="002633D9"/>
    <w:rsid w:val="002634EE"/>
    <w:rsid w:val="002635C9"/>
    <w:rsid w:val="00263651"/>
    <w:rsid w:val="002636D7"/>
    <w:rsid w:val="0026370B"/>
    <w:rsid w:val="00263720"/>
    <w:rsid w:val="002637F9"/>
    <w:rsid w:val="002638E9"/>
    <w:rsid w:val="0026391A"/>
    <w:rsid w:val="00263B81"/>
    <w:rsid w:val="00263C15"/>
    <w:rsid w:val="00263DD9"/>
    <w:rsid w:val="00263EE8"/>
    <w:rsid w:val="00264335"/>
    <w:rsid w:val="00264382"/>
    <w:rsid w:val="002644A3"/>
    <w:rsid w:val="002645CC"/>
    <w:rsid w:val="00264877"/>
    <w:rsid w:val="002648D4"/>
    <w:rsid w:val="00264A5C"/>
    <w:rsid w:val="00264B33"/>
    <w:rsid w:val="00264B66"/>
    <w:rsid w:val="00264BCE"/>
    <w:rsid w:val="00264C2F"/>
    <w:rsid w:val="00264C3E"/>
    <w:rsid w:val="00264E1E"/>
    <w:rsid w:val="00265070"/>
    <w:rsid w:val="00265121"/>
    <w:rsid w:val="00265184"/>
    <w:rsid w:val="00265220"/>
    <w:rsid w:val="00265369"/>
    <w:rsid w:val="00265691"/>
    <w:rsid w:val="002656C7"/>
    <w:rsid w:val="00265945"/>
    <w:rsid w:val="0026597A"/>
    <w:rsid w:val="00265998"/>
    <w:rsid w:val="002659A3"/>
    <w:rsid w:val="002659C4"/>
    <w:rsid w:val="00265A91"/>
    <w:rsid w:val="00265B21"/>
    <w:rsid w:val="00265B2D"/>
    <w:rsid w:val="00265BC7"/>
    <w:rsid w:val="00265C78"/>
    <w:rsid w:val="00265CD6"/>
    <w:rsid w:val="00265CE4"/>
    <w:rsid w:val="00265D45"/>
    <w:rsid w:val="00265DFC"/>
    <w:rsid w:val="00265E76"/>
    <w:rsid w:val="00265E7D"/>
    <w:rsid w:val="00265F49"/>
    <w:rsid w:val="002661C6"/>
    <w:rsid w:val="0026624B"/>
    <w:rsid w:val="00266698"/>
    <w:rsid w:val="002667EB"/>
    <w:rsid w:val="00266888"/>
    <w:rsid w:val="00266978"/>
    <w:rsid w:val="00266B27"/>
    <w:rsid w:val="00266B62"/>
    <w:rsid w:val="00266C2B"/>
    <w:rsid w:val="00266D2C"/>
    <w:rsid w:val="00266E54"/>
    <w:rsid w:val="00266F5A"/>
    <w:rsid w:val="00267097"/>
    <w:rsid w:val="00267168"/>
    <w:rsid w:val="00267209"/>
    <w:rsid w:val="00267482"/>
    <w:rsid w:val="002675AA"/>
    <w:rsid w:val="002675D7"/>
    <w:rsid w:val="00267888"/>
    <w:rsid w:val="002678B3"/>
    <w:rsid w:val="00267982"/>
    <w:rsid w:val="002679E9"/>
    <w:rsid w:val="00267E22"/>
    <w:rsid w:val="0027005C"/>
    <w:rsid w:val="0027058D"/>
    <w:rsid w:val="002705CC"/>
    <w:rsid w:val="002706F8"/>
    <w:rsid w:val="002707B2"/>
    <w:rsid w:val="0027083D"/>
    <w:rsid w:val="00270A30"/>
    <w:rsid w:val="00270A38"/>
    <w:rsid w:val="00270C58"/>
    <w:rsid w:val="00270D46"/>
    <w:rsid w:val="00270DD5"/>
    <w:rsid w:val="00270E97"/>
    <w:rsid w:val="00271169"/>
    <w:rsid w:val="002711B7"/>
    <w:rsid w:val="002711D2"/>
    <w:rsid w:val="002711F2"/>
    <w:rsid w:val="00271271"/>
    <w:rsid w:val="002714B3"/>
    <w:rsid w:val="00271690"/>
    <w:rsid w:val="002716AA"/>
    <w:rsid w:val="002716DF"/>
    <w:rsid w:val="002718DF"/>
    <w:rsid w:val="00271946"/>
    <w:rsid w:val="00271A77"/>
    <w:rsid w:val="00271CE7"/>
    <w:rsid w:val="00271D4B"/>
    <w:rsid w:val="00271D64"/>
    <w:rsid w:val="00271DAF"/>
    <w:rsid w:val="00271DD9"/>
    <w:rsid w:val="00271DFF"/>
    <w:rsid w:val="00271FDA"/>
    <w:rsid w:val="0027203C"/>
    <w:rsid w:val="00272155"/>
    <w:rsid w:val="00272256"/>
    <w:rsid w:val="0027227F"/>
    <w:rsid w:val="00272326"/>
    <w:rsid w:val="0027237B"/>
    <w:rsid w:val="0027239C"/>
    <w:rsid w:val="002723AB"/>
    <w:rsid w:val="002723F9"/>
    <w:rsid w:val="00272519"/>
    <w:rsid w:val="00272660"/>
    <w:rsid w:val="002726B9"/>
    <w:rsid w:val="00272744"/>
    <w:rsid w:val="0027276A"/>
    <w:rsid w:val="00272891"/>
    <w:rsid w:val="0027289E"/>
    <w:rsid w:val="00272926"/>
    <w:rsid w:val="0027292E"/>
    <w:rsid w:val="0027299A"/>
    <w:rsid w:val="00272A9C"/>
    <w:rsid w:val="00272B45"/>
    <w:rsid w:val="00272B9E"/>
    <w:rsid w:val="00272C5D"/>
    <w:rsid w:val="00272D13"/>
    <w:rsid w:val="00272EBE"/>
    <w:rsid w:val="00273397"/>
    <w:rsid w:val="00273475"/>
    <w:rsid w:val="00273571"/>
    <w:rsid w:val="00273680"/>
    <w:rsid w:val="00273717"/>
    <w:rsid w:val="002739A4"/>
    <w:rsid w:val="00273BAB"/>
    <w:rsid w:val="00273C6C"/>
    <w:rsid w:val="00273E60"/>
    <w:rsid w:val="002741AE"/>
    <w:rsid w:val="0027420E"/>
    <w:rsid w:val="002743D0"/>
    <w:rsid w:val="00274530"/>
    <w:rsid w:val="00274690"/>
    <w:rsid w:val="00274887"/>
    <w:rsid w:val="00274948"/>
    <w:rsid w:val="002749C2"/>
    <w:rsid w:val="00274ADD"/>
    <w:rsid w:val="00274C39"/>
    <w:rsid w:val="00274C53"/>
    <w:rsid w:val="00274DE5"/>
    <w:rsid w:val="00274E38"/>
    <w:rsid w:val="00274E54"/>
    <w:rsid w:val="00275258"/>
    <w:rsid w:val="0027528E"/>
    <w:rsid w:val="0027529A"/>
    <w:rsid w:val="002752BC"/>
    <w:rsid w:val="00275338"/>
    <w:rsid w:val="0027542B"/>
    <w:rsid w:val="00275544"/>
    <w:rsid w:val="00275571"/>
    <w:rsid w:val="0027581C"/>
    <w:rsid w:val="00275A62"/>
    <w:rsid w:val="00275AC3"/>
    <w:rsid w:val="00275B3C"/>
    <w:rsid w:val="00275C05"/>
    <w:rsid w:val="00275C3B"/>
    <w:rsid w:val="00275C7E"/>
    <w:rsid w:val="00275CC1"/>
    <w:rsid w:val="00275D14"/>
    <w:rsid w:val="00275D93"/>
    <w:rsid w:val="0027615C"/>
    <w:rsid w:val="00276191"/>
    <w:rsid w:val="002762AA"/>
    <w:rsid w:val="002762D1"/>
    <w:rsid w:val="002763D9"/>
    <w:rsid w:val="00276458"/>
    <w:rsid w:val="00276525"/>
    <w:rsid w:val="002767C6"/>
    <w:rsid w:val="002767F2"/>
    <w:rsid w:val="0027688F"/>
    <w:rsid w:val="00276A76"/>
    <w:rsid w:val="00276AFF"/>
    <w:rsid w:val="00276D3E"/>
    <w:rsid w:val="00276DCE"/>
    <w:rsid w:val="00276ED8"/>
    <w:rsid w:val="002771A7"/>
    <w:rsid w:val="002773C1"/>
    <w:rsid w:val="002773E3"/>
    <w:rsid w:val="00277416"/>
    <w:rsid w:val="0027766D"/>
    <w:rsid w:val="002777BF"/>
    <w:rsid w:val="0027782A"/>
    <w:rsid w:val="00277883"/>
    <w:rsid w:val="002778A8"/>
    <w:rsid w:val="00277A0E"/>
    <w:rsid w:val="00277B0F"/>
    <w:rsid w:val="00277B4E"/>
    <w:rsid w:val="00277B7C"/>
    <w:rsid w:val="00277D04"/>
    <w:rsid w:val="00277E61"/>
    <w:rsid w:val="00277E91"/>
    <w:rsid w:val="00277ED3"/>
    <w:rsid w:val="0028001C"/>
    <w:rsid w:val="002801BC"/>
    <w:rsid w:val="0028033F"/>
    <w:rsid w:val="00280368"/>
    <w:rsid w:val="002804B7"/>
    <w:rsid w:val="002804D3"/>
    <w:rsid w:val="00280518"/>
    <w:rsid w:val="002805D5"/>
    <w:rsid w:val="002806E6"/>
    <w:rsid w:val="00280832"/>
    <w:rsid w:val="002808A9"/>
    <w:rsid w:val="00280A0F"/>
    <w:rsid w:val="00280AFD"/>
    <w:rsid w:val="00280B77"/>
    <w:rsid w:val="00280C4A"/>
    <w:rsid w:val="00280C85"/>
    <w:rsid w:val="00280DA6"/>
    <w:rsid w:val="00280E0F"/>
    <w:rsid w:val="00280EB4"/>
    <w:rsid w:val="00280FEB"/>
    <w:rsid w:val="002810D2"/>
    <w:rsid w:val="00281135"/>
    <w:rsid w:val="00281155"/>
    <w:rsid w:val="002811A0"/>
    <w:rsid w:val="002811DD"/>
    <w:rsid w:val="00281210"/>
    <w:rsid w:val="002815D8"/>
    <w:rsid w:val="002817D6"/>
    <w:rsid w:val="0028189F"/>
    <w:rsid w:val="0028197A"/>
    <w:rsid w:val="002819A5"/>
    <w:rsid w:val="00281BBD"/>
    <w:rsid w:val="00281CCC"/>
    <w:rsid w:val="00281DE7"/>
    <w:rsid w:val="00281E60"/>
    <w:rsid w:val="0028238A"/>
    <w:rsid w:val="00282504"/>
    <w:rsid w:val="00282982"/>
    <w:rsid w:val="00282B29"/>
    <w:rsid w:val="00282C04"/>
    <w:rsid w:val="00282E82"/>
    <w:rsid w:val="00282F2D"/>
    <w:rsid w:val="00282F79"/>
    <w:rsid w:val="00282FDC"/>
    <w:rsid w:val="00283056"/>
    <w:rsid w:val="002830E5"/>
    <w:rsid w:val="00283179"/>
    <w:rsid w:val="00283197"/>
    <w:rsid w:val="0028329F"/>
    <w:rsid w:val="00283652"/>
    <w:rsid w:val="002836BA"/>
    <w:rsid w:val="0028381B"/>
    <w:rsid w:val="002838D1"/>
    <w:rsid w:val="0028396C"/>
    <w:rsid w:val="00283A10"/>
    <w:rsid w:val="00283C79"/>
    <w:rsid w:val="00283D17"/>
    <w:rsid w:val="00283D68"/>
    <w:rsid w:val="002842E0"/>
    <w:rsid w:val="00284404"/>
    <w:rsid w:val="0028481E"/>
    <w:rsid w:val="002848C0"/>
    <w:rsid w:val="002849BD"/>
    <w:rsid w:val="00284AC1"/>
    <w:rsid w:val="00284AEB"/>
    <w:rsid w:val="00284BF8"/>
    <w:rsid w:val="00284C3E"/>
    <w:rsid w:val="00284CE4"/>
    <w:rsid w:val="00284F9A"/>
    <w:rsid w:val="00284FD3"/>
    <w:rsid w:val="00285085"/>
    <w:rsid w:val="0028513C"/>
    <w:rsid w:val="002852A5"/>
    <w:rsid w:val="002852E9"/>
    <w:rsid w:val="002853D3"/>
    <w:rsid w:val="002854FD"/>
    <w:rsid w:val="002857F7"/>
    <w:rsid w:val="00285C57"/>
    <w:rsid w:val="00285CD6"/>
    <w:rsid w:val="00285F65"/>
    <w:rsid w:val="002860A4"/>
    <w:rsid w:val="002860EA"/>
    <w:rsid w:val="0028623F"/>
    <w:rsid w:val="0028626A"/>
    <w:rsid w:val="002862BB"/>
    <w:rsid w:val="002865F4"/>
    <w:rsid w:val="002866E3"/>
    <w:rsid w:val="00286782"/>
    <w:rsid w:val="002867A6"/>
    <w:rsid w:val="002867BE"/>
    <w:rsid w:val="00286817"/>
    <w:rsid w:val="0028685C"/>
    <w:rsid w:val="002869BE"/>
    <w:rsid w:val="002869E5"/>
    <w:rsid w:val="00286D81"/>
    <w:rsid w:val="00286E77"/>
    <w:rsid w:val="00286E9E"/>
    <w:rsid w:val="00286F17"/>
    <w:rsid w:val="00286FA6"/>
    <w:rsid w:val="00286FB4"/>
    <w:rsid w:val="00286FC2"/>
    <w:rsid w:val="00286FD6"/>
    <w:rsid w:val="00287094"/>
    <w:rsid w:val="002871A7"/>
    <w:rsid w:val="0028725F"/>
    <w:rsid w:val="002874B4"/>
    <w:rsid w:val="0028751F"/>
    <w:rsid w:val="00287569"/>
    <w:rsid w:val="00287744"/>
    <w:rsid w:val="00287869"/>
    <w:rsid w:val="002878E6"/>
    <w:rsid w:val="00287980"/>
    <w:rsid w:val="00287A40"/>
    <w:rsid w:val="00287BB3"/>
    <w:rsid w:val="00287CC5"/>
    <w:rsid w:val="00287E3A"/>
    <w:rsid w:val="00290072"/>
    <w:rsid w:val="002900A3"/>
    <w:rsid w:val="00290240"/>
    <w:rsid w:val="0029042F"/>
    <w:rsid w:val="0029069C"/>
    <w:rsid w:val="002906DF"/>
    <w:rsid w:val="002906EB"/>
    <w:rsid w:val="0029070A"/>
    <w:rsid w:val="00290845"/>
    <w:rsid w:val="0029092A"/>
    <w:rsid w:val="00290A2D"/>
    <w:rsid w:val="00290A5B"/>
    <w:rsid w:val="00290AB2"/>
    <w:rsid w:val="00290B90"/>
    <w:rsid w:val="00290C8E"/>
    <w:rsid w:val="00290DB8"/>
    <w:rsid w:val="00290EE8"/>
    <w:rsid w:val="00290F79"/>
    <w:rsid w:val="00290FE5"/>
    <w:rsid w:val="00290FE9"/>
    <w:rsid w:val="00291193"/>
    <w:rsid w:val="00291417"/>
    <w:rsid w:val="0029141B"/>
    <w:rsid w:val="0029145B"/>
    <w:rsid w:val="0029159E"/>
    <w:rsid w:val="002915CE"/>
    <w:rsid w:val="00291724"/>
    <w:rsid w:val="00291975"/>
    <w:rsid w:val="00291991"/>
    <w:rsid w:val="00291BE7"/>
    <w:rsid w:val="00291C56"/>
    <w:rsid w:val="00291CB4"/>
    <w:rsid w:val="00291E35"/>
    <w:rsid w:val="00291F3E"/>
    <w:rsid w:val="00292029"/>
    <w:rsid w:val="00292105"/>
    <w:rsid w:val="00292106"/>
    <w:rsid w:val="0029251A"/>
    <w:rsid w:val="0029261D"/>
    <w:rsid w:val="0029264B"/>
    <w:rsid w:val="00292666"/>
    <w:rsid w:val="002926D8"/>
    <w:rsid w:val="00292703"/>
    <w:rsid w:val="00292738"/>
    <w:rsid w:val="00292930"/>
    <w:rsid w:val="00292A67"/>
    <w:rsid w:val="00292B97"/>
    <w:rsid w:val="00292C7C"/>
    <w:rsid w:val="00292D26"/>
    <w:rsid w:val="00292F03"/>
    <w:rsid w:val="00292F36"/>
    <w:rsid w:val="00292F98"/>
    <w:rsid w:val="00292F9F"/>
    <w:rsid w:val="00292FDD"/>
    <w:rsid w:val="0029309D"/>
    <w:rsid w:val="002930AC"/>
    <w:rsid w:val="0029317E"/>
    <w:rsid w:val="00293268"/>
    <w:rsid w:val="002933A3"/>
    <w:rsid w:val="0029362A"/>
    <w:rsid w:val="0029363E"/>
    <w:rsid w:val="00293677"/>
    <w:rsid w:val="002937C2"/>
    <w:rsid w:val="0029384C"/>
    <w:rsid w:val="00293854"/>
    <w:rsid w:val="00293A5D"/>
    <w:rsid w:val="00293AEA"/>
    <w:rsid w:val="00293B00"/>
    <w:rsid w:val="00293E8A"/>
    <w:rsid w:val="00293F70"/>
    <w:rsid w:val="00294079"/>
    <w:rsid w:val="002941BF"/>
    <w:rsid w:val="002941D4"/>
    <w:rsid w:val="002942B8"/>
    <w:rsid w:val="00294365"/>
    <w:rsid w:val="00294468"/>
    <w:rsid w:val="00294472"/>
    <w:rsid w:val="0029460B"/>
    <w:rsid w:val="002946A9"/>
    <w:rsid w:val="002947C1"/>
    <w:rsid w:val="00294993"/>
    <w:rsid w:val="00294994"/>
    <w:rsid w:val="00294998"/>
    <w:rsid w:val="00294A95"/>
    <w:rsid w:val="00294B56"/>
    <w:rsid w:val="00294B5F"/>
    <w:rsid w:val="00294F3F"/>
    <w:rsid w:val="00294FCC"/>
    <w:rsid w:val="00294FD8"/>
    <w:rsid w:val="0029502D"/>
    <w:rsid w:val="00295096"/>
    <w:rsid w:val="002950CD"/>
    <w:rsid w:val="002950E3"/>
    <w:rsid w:val="0029535A"/>
    <w:rsid w:val="0029537F"/>
    <w:rsid w:val="002953AA"/>
    <w:rsid w:val="002953BF"/>
    <w:rsid w:val="0029549B"/>
    <w:rsid w:val="0029560C"/>
    <w:rsid w:val="0029561B"/>
    <w:rsid w:val="002958CC"/>
    <w:rsid w:val="00295922"/>
    <w:rsid w:val="00295A6E"/>
    <w:rsid w:val="00295E5C"/>
    <w:rsid w:val="00295E7F"/>
    <w:rsid w:val="00296232"/>
    <w:rsid w:val="002962E1"/>
    <w:rsid w:val="002963FF"/>
    <w:rsid w:val="0029674A"/>
    <w:rsid w:val="00296750"/>
    <w:rsid w:val="0029676D"/>
    <w:rsid w:val="0029680B"/>
    <w:rsid w:val="00296A43"/>
    <w:rsid w:val="00296ACC"/>
    <w:rsid w:val="00296AD8"/>
    <w:rsid w:val="00296C63"/>
    <w:rsid w:val="00296C6F"/>
    <w:rsid w:val="00296D28"/>
    <w:rsid w:val="00296D52"/>
    <w:rsid w:val="00296E22"/>
    <w:rsid w:val="002970D4"/>
    <w:rsid w:val="00297366"/>
    <w:rsid w:val="0029737C"/>
    <w:rsid w:val="0029751F"/>
    <w:rsid w:val="00297725"/>
    <w:rsid w:val="00297B37"/>
    <w:rsid w:val="00297F9E"/>
    <w:rsid w:val="00297FB0"/>
    <w:rsid w:val="002A007F"/>
    <w:rsid w:val="002A0080"/>
    <w:rsid w:val="002A00F9"/>
    <w:rsid w:val="002A015E"/>
    <w:rsid w:val="002A0232"/>
    <w:rsid w:val="002A024D"/>
    <w:rsid w:val="002A025F"/>
    <w:rsid w:val="002A0331"/>
    <w:rsid w:val="002A044D"/>
    <w:rsid w:val="002A05FB"/>
    <w:rsid w:val="002A06BC"/>
    <w:rsid w:val="002A073C"/>
    <w:rsid w:val="002A0891"/>
    <w:rsid w:val="002A09F5"/>
    <w:rsid w:val="002A0A55"/>
    <w:rsid w:val="002A0A58"/>
    <w:rsid w:val="002A0C04"/>
    <w:rsid w:val="002A0D4A"/>
    <w:rsid w:val="002A0E98"/>
    <w:rsid w:val="002A0EB7"/>
    <w:rsid w:val="002A1143"/>
    <w:rsid w:val="002A11EE"/>
    <w:rsid w:val="002A1371"/>
    <w:rsid w:val="002A13D1"/>
    <w:rsid w:val="002A1573"/>
    <w:rsid w:val="002A158C"/>
    <w:rsid w:val="002A1619"/>
    <w:rsid w:val="002A16CC"/>
    <w:rsid w:val="002A16CE"/>
    <w:rsid w:val="002A16E7"/>
    <w:rsid w:val="002A17E3"/>
    <w:rsid w:val="002A17F4"/>
    <w:rsid w:val="002A18D9"/>
    <w:rsid w:val="002A1902"/>
    <w:rsid w:val="002A1912"/>
    <w:rsid w:val="002A1C7A"/>
    <w:rsid w:val="002A1C7C"/>
    <w:rsid w:val="002A1D03"/>
    <w:rsid w:val="002A1D20"/>
    <w:rsid w:val="002A1EF7"/>
    <w:rsid w:val="002A1F50"/>
    <w:rsid w:val="002A221F"/>
    <w:rsid w:val="002A2548"/>
    <w:rsid w:val="002A258A"/>
    <w:rsid w:val="002A277C"/>
    <w:rsid w:val="002A29AA"/>
    <w:rsid w:val="002A2D5E"/>
    <w:rsid w:val="002A2D96"/>
    <w:rsid w:val="002A2F1E"/>
    <w:rsid w:val="002A2F90"/>
    <w:rsid w:val="002A30F4"/>
    <w:rsid w:val="002A323E"/>
    <w:rsid w:val="002A3270"/>
    <w:rsid w:val="002A33DC"/>
    <w:rsid w:val="002A342B"/>
    <w:rsid w:val="002A3878"/>
    <w:rsid w:val="002A39C7"/>
    <w:rsid w:val="002A3ABE"/>
    <w:rsid w:val="002A3C7F"/>
    <w:rsid w:val="002A3DC7"/>
    <w:rsid w:val="002A3E53"/>
    <w:rsid w:val="002A3E58"/>
    <w:rsid w:val="002A3E5F"/>
    <w:rsid w:val="002A4072"/>
    <w:rsid w:val="002A422E"/>
    <w:rsid w:val="002A4467"/>
    <w:rsid w:val="002A44B9"/>
    <w:rsid w:val="002A45C7"/>
    <w:rsid w:val="002A4692"/>
    <w:rsid w:val="002A4743"/>
    <w:rsid w:val="002A49DF"/>
    <w:rsid w:val="002A4A1C"/>
    <w:rsid w:val="002A4C21"/>
    <w:rsid w:val="002A4F74"/>
    <w:rsid w:val="002A50C3"/>
    <w:rsid w:val="002A50D0"/>
    <w:rsid w:val="002A512B"/>
    <w:rsid w:val="002A52A4"/>
    <w:rsid w:val="002A52AD"/>
    <w:rsid w:val="002A5500"/>
    <w:rsid w:val="002A572E"/>
    <w:rsid w:val="002A59B3"/>
    <w:rsid w:val="002A59E0"/>
    <w:rsid w:val="002A59E2"/>
    <w:rsid w:val="002A5B38"/>
    <w:rsid w:val="002A5D35"/>
    <w:rsid w:val="002A5F0E"/>
    <w:rsid w:val="002A5F39"/>
    <w:rsid w:val="002A5F47"/>
    <w:rsid w:val="002A60DD"/>
    <w:rsid w:val="002A6570"/>
    <w:rsid w:val="002A66F4"/>
    <w:rsid w:val="002A6760"/>
    <w:rsid w:val="002A6854"/>
    <w:rsid w:val="002A686B"/>
    <w:rsid w:val="002A68D3"/>
    <w:rsid w:val="002A6955"/>
    <w:rsid w:val="002A6981"/>
    <w:rsid w:val="002A6B23"/>
    <w:rsid w:val="002A6C1B"/>
    <w:rsid w:val="002A6D4C"/>
    <w:rsid w:val="002A6DE0"/>
    <w:rsid w:val="002A6E51"/>
    <w:rsid w:val="002A73A6"/>
    <w:rsid w:val="002A76A7"/>
    <w:rsid w:val="002A7763"/>
    <w:rsid w:val="002A79B9"/>
    <w:rsid w:val="002A7A00"/>
    <w:rsid w:val="002A7A13"/>
    <w:rsid w:val="002A7A18"/>
    <w:rsid w:val="002A7AB3"/>
    <w:rsid w:val="002A7CD8"/>
    <w:rsid w:val="002A7DAB"/>
    <w:rsid w:val="002A7DB0"/>
    <w:rsid w:val="002A7F43"/>
    <w:rsid w:val="002A7F90"/>
    <w:rsid w:val="002A7F9E"/>
    <w:rsid w:val="002B00D1"/>
    <w:rsid w:val="002B02CF"/>
    <w:rsid w:val="002B041B"/>
    <w:rsid w:val="002B0422"/>
    <w:rsid w:val="002B042D"/>
    <w:rsid w:val="002B05C7"/>
    <w:rsid w:val="002B0651"/>
    <w:rsid w:val="002B06D1"/>
    <w:rsid w:val="002B0752"/>
    <w:rsid w:val="002B08FD"/>
    <w:rsid w:val="002B0A16"/>
    <w:rsid w:val="002B0AC1"/>
    <w:rsid w:val="002B0AD8"/>
    <w:rsid w:val="002B0CB9"/>
    <w:rsid w:val="002B0CF3"/>
    <w:rsid w:val="002B0D4A"/>
    <w:rsid w:val="002B0D5D"/>
    <w:rsid w:val="002B0E2D"/>
    <w:rsid w:val="002B0EBF"/>
    <w:rsid w:val="002B0FD9"/>
    <w:rsid w:val="002B106D"/>
    <w:rsid w:val="002B11C0"/>
    <w:rsid w:val="002B1521"/>
    <w:rsid w:val="002B15AE"/>
    <w:rsid w:val="002B1732"/>
    <w:rsid w:val="002B176D"/>
    <w:rsid w:val="002B189D"/>
    <w:rsid w:val="002B18C9"/>
    <w:rsid w:val="002B1D72"/>
    <w:rsid w:val="002B1E6B"/>
    <w:rsid w:val="002B2171"/>
    <w:rsid w:val="002B21DA"/>
    <w:rsid w:val="002B2224"/>
    <w:rsid w:val="002B2257"/>
    <w:rsid w:val="002B2433"/>
    <w:rsid w:val="002B24F4"/>
    <w:rsid w:val="002B2533"/>
    <w:rsid w:val="002B25B7"/>
    <w:rsid w:val="002B2699"/>
    <w:rsid w:val="002B26E8"/>
    <w:rsid w:val="002B279C"/>
    <w:rsid w:val="002B2864"/>
    <w:rsid w:val="002B298F"/>
    <w:rsid w:val="002B29CE"/>
    <w:rsid w:val="002B2A31"/>
    <w:rsid w:val="002B2A74"/>
    <w:rsid w:val="002B2C9E"/>
    <w:rsid w:val="002B2D2D"/>
    <w:rsid w:val="002B2D49"/>
    <w:rsid w:val="002B2D69"/>
    <w:rsid w:val="002B2DA8"/>
    <w:rsid w:val="002B2E4D"/>
    <w:rsid w:val="002B2F2F"/>
    <w:rsid w:val="002B3037"/>
    <w:rsid w:val="002B3134"/>
    <w:rsid w:val="002B314C"/>
    <w:rsid w:val="002B35C4"/>
    <w:rsid w:val="002B35CF"/>
    <w:rsid w:val="002B35F6"/>
    <w:rsid w:val="002B370A"/>
    <w:rsid w:val="002B37E0"/>
    <w:rsid w:val="002B386F"/>
    <w:rsid w:val="002B38A7"/>
    <w:rsid w:val="002B3CB6"/>
    <w:rsid w:val="002B3CE5"/>
    <w:rsid w:val="002B3D16"/>
    <w:rsid w:val="002B3D54"/>
    <w:rsid w:val="002B3EE7"/>
    <w:rsid w:val="002B40DB"/>
    <w:rsid w:val="002B4120"/>
    <w:rsid w:val="002B42E9"/>
    <w:rsid w:val="002B4348"/>
    <w:rsid w:val="002B43F0"/>
    <w:rsid w:val="002B440F"/>
    <w:rsid w:val="002B47AA"/>
    <w:rsid w:val="002B4900"/>
    <w:rsid w:val="002B4D9F"/>
    <w:rsid w:val="002B4E09"/>
    <w:rsid w:val="002B4F85"/>
    <w:rsid w:val="002B501D"/>
    <w:rsid w:val="002B50EC"/>
    <w:rsid w:val="002B5184"/>
    <w:rsid w:val="002B51BC"/>
    <w:rsid w:val="002B51EC"/>
    <w:rsid w:val="002B527A"/>
    <w:rsid w:val="002B535F"/>
    <w:rsid w:val="002B53CE"/>
    <w:rsid w:val="002B54AB"/>
    <w:rsid w:val="002B5527"/>
    <w:rsid w:val="002B553A"/>
    <w:rsid w:val="002B56C1"/>
    <w:rsid w:val="002B5842"/>
    <w:rsid w:val="002B5A6A"/>
    <w:rsid w:val="002B5D07"/>
    <w:rsid w:val="002B5D10"/>
    <w:rsid w:val="002B5D87"/>
    <w:rsid w:val="002B5DA4"/>
    <w:rsid w:val="002B5E29"/>
    <w:rsid w:val="002B5E76"/>
    <w:rsid w:val="002B5F07"/>
    <w:rsid w:val="002B5FB6"/>
    <w:rsid w:val="002B6072"/>
    <w:rsid w:val="002B6136"/>
    <w:rsid w:val="002B6167"/>
    <w:rsid w:val="002B6327"/>
    <w:rsid w:val="002B6420"/>
    <w:rsid w:val="002B6426"/>
    <w:rsid w:val="002B6478"/>
    <w:rsid w:val="002B6510"/>
    <w:rsid w:val="002B6543"/>
    <w:rsid w:val="002B6640"/>
    <w:rsid w:val="002B6655"/>
    <w:rsid w:val="002B66A6"/>
    <w:rsid w:val="002B6726"/>
    <w:rsid w:val="002B689C"/>
    <w:rsid w:val="002B6982"/>
    <w:rsid w:val="002B6B76"/>
    <w:rsid w:val="002B6B91"/>
    <w:rsid w:val="002B6DA8"/>
    <w:rsid w:val="002B6E54"/>
    <w:rsid w:val="002B725D"/>
    <w:rsid w:val="002B7454"/>
    <w:rsid w:val="002B74FF"/>
    <w:rsid w:val="002B76CB"/>
    <w:rsid w:val="002B7770"/>
    <w:rsid w:val="002B783D"/>
    <w:rsid w:val="002B79D1"/>
    <w:rsid w:val="002B7CBD"/>
    <w:rsid w:val="002B7CFB"/>
    <w:rsid w:val="002B7DDE"/>
    <w:rsid w:val="002B7E7E"/>
    <w:rsid w:val="002C00F8"/>
    <w:rsid w:val="002C023B"/>
    <w:rsid w:val="002C027F"/>
    <w:rsid w:val="002C0757"/>
    <w:rsid w:val="002C0907"/>
    <w:rsid w:val="002C0939"/>
    <w:rsid w:val="002C0985"/>
    <w:rsid w:val="002C09D5"/>
    <w:rsid w:val="002C0B27"/>
    <w:rsid w:val="002C0BA5"/>
    <w:rsid w:val="002C0C52"/>
    <w:rsid w:val="002C0C7C"/>
    <w:rsid w:val="002C0E61"/>
    <w:rsid w:val="002C0EDC"/>
    <w:rsid w:val="002C0EEC"/>
    <w:rsid w:val="002C1096"/>
    <w:rsid w:val="002C10C7"/>
    <w:rsid w:val="002C110E"/>
    <w:rsid w:val="002C1128"/>
    <w:rsid w:val="002C12C7"/>
    <w:rsid w:val="002C138F"/>
    <w:rsid w:val="002C139E"/>
    <w:rsid w:val="002C13B6"/>
    <w:rsid w:val="002C17B6"/>
    <w:rsid w:val="002C1863"/>
    <w:rsid w:val="002C1C47"/>
    <w:rsid w:val="002C1E0D"/>
    <w:rsid w:val="002C1FD4"/>
    <w:rsid w:val="002C2111"/>
    <w:rsid w:val="002C21BC"/>
    <w:rsid w:val="002C228B"/>
    <w:rsid w:val="002C2367"/>
    <w:rsid w:val="002C23B4"/>
    <w:rsid w:val="002C245C"/>
    <w:rsid w:val="002C258A"/>
    <w:rsid w:val="002C26D2"/>
    <w:rsid w:val="002C2761"/>
    <w:rsid w:val="002C27C2"/>
    <w:rsid w:val="002C2800"/>
    <w:rsid w:val="002C2879"/>
    <w:rsid w:val="002C2935"/>
    <w:rsid w:val="002C2A7F"/>
    <w:rsid w:val="002C2BD5"/>
    <w:rsid w:val="002C2BE2"/>
    <w:rsid w:val="002C2C82"/>
    <w:rsid w:val="002C355B"/>
    <w:rsid w:val="002C36C8"/>
    <w:rsid w:val="002C385C"/>
    <w:rsid w:val="002C38DD"/>
    <w:rsid w:val="002C38E5"/>
    <w:rsid w:val="002C3ADA"/>
    <w:rsid w:val="002C3CAB"/>
    <w:rsid w:val="002C3CB8"/>
    <w:rsid w:val="002C3D6B"/>
    <w:rsid w:val="002C3E4F"/>
    <w:rsid w:val="002C3F73"/>
    <w:rsid w:val="002C3FE9"/>
    <w:rsid w:val="002C4112"/>
    <w:rsid w:val="002C43A2"/>
    <w:rsid w:val="002C44BF"/>
    <w:rsid w:val="002C46CB"/>
    <w:rsid w:val="002C471C"/>
    <w:rsid w:val="002C486A"/>
    <w:rsid w:val="002C4984"/>
    <w:rsid w:val="002C4A8D"/>
    <w:rsid w:val="002C4BA8"/>
    <w:rsid w:val="002C4C8B"/>
    <w:rsid w:val="002C4CAB"/>
    <w:rsid w:val="002C51F7"/>
    <w:rsid w:val="002C523C"/>
    <w:rsid w:val="002C54BB"/>
    <w:rsid w:val="002C54C4"/>
    <w:rsid w:val="002C54CA"/>
    <w:rsid w:val="002C56F2"/>
    <w:rsid w:val="002C5707"/>
    <w:rsid w:val="002C576B"/>
    <w:rsid w:val="002C5A28"/>
    <w:rsid w:val="002C5BCF"/>
    <w:rsid w:val="002C5DC4"/>
    <w:rsid w:val="002C5DD1"/>
    <w:rsid w:val="002C605A"/>
    <w:rsid w:val="002C61D1"/>
    <w:rsid w:val="002C635F"/>
    <w:rsid w:val="002C63D5"/>
    <w:rsid w:val="002C64A9"/>
    <w:rsid w:val="002C64D1"/>
    <w:rsid w:val="002C64D6"/>
    <w:rsid w:val="002C6834"/>
    <w:rsid w:val="002C6C0E"/>
    <w:rsid w:val="002C6D00"/>
    <w:rsid w:val="002C6D65"/>
    <w:rsid w:val="002C6E20"/>
    <w:rsid w:val="002C6F3D"/>
    <w:rsid w:val="002C6F52"/>
    <w:rsid w:val="002C6F8A"/>
    <w:rsid w:val="002C7067"/>
    <w:rsid w:val="002C7156"/>
    <w:rsid w:val="002C7542"/>
    <w:rsid w:val="002C769B"/>
    <w:rsid w:val="002C7781"/>
    <w:rsid w:val="002C7823"/>
    <w:rsid w:val="002C7854"/>
    <w:rsid w:val="002C7934"/>
    <w:rsid w:val="002C79E9"/>
    <w:rsid w:val="002C7B4B"/>
    <w:rsid w:val="002C7DFA"/>
    <w:rsid w:val="002C7E34"/>
    <w:rsid w:val="002C7EE2"/>
    <w:rsid w:val="002C7FD8"/>
    <w:rsid w:val="002D01E7"/>
    <w:rsid w:val="002D0232"/>
    <w:rsid w:val="002D0322"/>
    <w:rsid w:val="002D0327"/>
    <w:rsid w:val="002D0395"/>
    <w:rsid w:val="002D07E4"/>
    <w:rsid w:val="002D0864"/>
    <w:rsid w:val="002D08F7"/>
    <w:rsid w:val="002D08FB"/>
    <w:rsid w:val="002D0934"/>
    <w:rsid w:val="002D0938"/>
    <w:rsid w:val="002D095C"/>
    <w:rsid w:val="002D09E3"/>
    <w:rsid w:val="002D0A31"/>
    <w:rsid w:val="002D0AE5"/>
    <w:rsid w:val="002D0B84"/>
    <w:rsid w:val="002D0BD8"/>
    <w:rsid w:val="002D0C64"/>
    <w:rsid w:val="002D0C65"/>
    <w:rsid w:val="002D0CCE"/>
    <w:rsid w:val="002D0DC6"/>
    <w:rsid w:val="002D0EB0"/>
    <w:rsid w:val="002D0EBF"/>
    <w:rsid w:val="002D112A"/>
    <w:rsid w:val="002D1202"/>
    <w:rsid w:val="002D1308"/>
    <w:rsid w:val="002D14B9"/>
    <w:rsid w:val="002D15E1"/>
    <w:rsid w:val="002D1703"/>
    <w:rsid w:val="002D186B"/>
    <w:rsid w:val="002D1941"/>
    <w:rsid w:val="002D1956"/>
    <w:rsid w:val="002D1AF5"/>
    <w:rsid w:val="002D1BEB"/>
    <w:rsid w:val="002D1E69"/>
    <w:rsid w:val="002D1FDB"/>
    <w:rsid w:val="002D2021"/>
    <w:rsid w:val="002D20FD"/>
    <w:rsid w:val="002D22AA"/>
    <w:rsid w:val="002D234A"/>
    <w:rsid w:val="002D23D9"/>
    <w:rsid w:val="002D24E8"/>
    <w:rsid w:val="002D257A"/>
    <w:rsid w:val="002D2589"/>
    <w:rsid w:val="002D25F0"/>
    <w:rsid w:val="002D2611"/>
    <w:rsid w:val="002D264C"/>
    <w:rsid w:val="002D26A5"/>
    <w:rsid w:val="002D26F5"/>
    <w:rsid w:val="002D2809"/>
    <w:rsid w:val="002D280D"/>
    <w:rsid w:val="002D29A8"/>
    <w:rsid w:val="002D29F1"/>
    <w:rsid w:val="002D2A46"/>
    <w:rsid w:val="002D2A6F"/>
    <w:rsid w:val="002D2C07"/>
    <w:rsid w:val="002D2CB8"/>
    <w:rsid w:val="002D2CE2"/>
    <w:rsid w:val="002D2D52"/>
    <w:rsid w:val="002D2D7B"/>
    <w:rsid w:val="002D2D7E"/>
    <w:rsid w:val="002D2DDE"/>
    <w:rsid w:val="002D2E04"/>
    <w:rsid w:val="002D2E4C"/>
    <w:rsid w:val="002D301C"/>
    <w:rsid w:val="002D3316"/>
    <w:rsid w:val="002D34C4"/>
    <w:rsid w:val="002D35D9"/>
    <w:rsid w:val="002D3672"/>
    <w:rsid w:val="002D36CD"/>
    <w:rsid w:val="002D3916"/>
    <w:rsid w:val="002D3BF2"/>
    <w:rsid w:val="002D3D11"/>
    <w:rsid w:val="002D3D91"/>
    <w:rsid w:val="002D3DC4"/>
    <w:rsid w:val="002D3F0C"/>
    <w:rsid w:val="002D3F3F"/>
    <w:rsid w:val="002D3FA4"/>
    <w:rsid w:val="002D4002"/>
    <w:rsid w:val="002D409B"/>
    <w:rsid w:val="002D422F"/>
    <w:rsid w:val="002D438A"/>
    <w:rsid w:val="002D4447"/>
    <w:rsid w:val="002D4499"/>
    <w:rsid w:val="002D4697"/>
    <w:rsid w:val="002D4701"/>
    <w:rsid w:val="002D4824"/>
    <w:rsid w:val="002D499A"/>
    <w:rsid w:val="002D4A68"/>
    <w:rsid w:val="002D4A89"/>
    <w:rsid w:val="002D4B8D"/>
    <w:rsid w:val="002D4B8F"/>
    <w:rsid w:val="002D4C70"/>
    <w:rsid w:val="002D4E07"/>
    <w:rsid w:val="002D4E15"/>
    <w:rsid w:val="002D4E91"/>
    <w:rsid w:val="002D4EB5"/>
    <w:rsid w:val="002D5017"/>
    <w:rsid w:val="002D501F"/>
    <w:rsid w:val="002D51E4"/>
    <w:rsid w:val="002D5209"/>
    <w:rsid w:val="002D5269"/>
    <w:rsid w:val="002D5297"/>
    <w:rsid w:val="002D52C1"/>
    <w:rsid w:val="002D5464"/>
    <w:rsid w:val="002D55CE"/>
    <w:rsid w:val="002D5641"/>
    <w:rsid w:val="002D5646"/>
    <w:rsid w:val="002D568A"/>
    <w:rsid w:val="002D5777"/>
    <w:rsid w:val="002D5AA4"/>
    <w:rsid w:val="002D5AB7"/>
    <w:rsid w:val="002D5B5E"/>
    <w:rsid w:val="002D5CE3"/>
    <w:rsid w:val="002D5DAA"/>
    <w:rsid w:val="002D5DE5"/>
    <w:rsid w:val="002D6037"/>
    <w:rsid w:val="002D6086"/>
    <w:rsid w:val="002D6297"/>
    <w:rsid w:val="002D631A"/>
    <w:rsid w:val="002D633F"/>
    <w:rsid w:val="002D6357"/>
    <w:rsid w:val="002D6392"/>
    <w:rsid w:val="002D64D2"/>
    <w:rsid w:val="002D66B8"/>
    <w:rsid w:val="002D66C7"/>
    <w:rsid w:val="002D6D19"/>
    <w:rsid w:val="002D6E01"/>
    <w:rsid w:val="002D710D"/>
    <w:rsid w:val="002D7239"/>
    <w:rsid w:val="002D7340"/>
    <w:rsid w:val="002D73DE"/>
    <w:rsid w:val="002D76EA"/>
    <w:rsid w:val="002D7766"/>
    <w:rsid w:val="002D7A9A"/>
    <w:rsid w:val="002D7C18"/>
    <w:rsid w:val="002D7DED"/>
    <w:rsid w:val="002D7E3D"/>
    <w:rsid w:val="002D7F1D"/>
    <w:rsid w:val="002E0024"/>
    <w:rsid w:val="002E022B"/>
    <w:rsid w:val="002E02AB"/>
    <w:rsid w:val="002E04EA"/>
    <w:rsid w:val="002E0524"/>
    <w:rsid w:val="002E052A"/>
    <w:rsid w:val="002E0584"/>
    <w:rsid w:val="002E05F2"/>
    <w:rsid w:val="002E06A9"/>
    <w:rsid w:val="002E071D"/>
    <w:rsid w:val="002E07E5"/>
    <w:rsid w:val="002E08BB"/>
    <w:rsid w:val="002E08C3"/>
    <w:rsid w:val="002E08F6"/>
    <w:rsid w:val="002E0A5E"/>
    <w:rsid w:val="002E0B15"/>
    <w:rsid w:val="002E0C03"/>
    <w:rsid w:val="002E0EDA"/>
    <w:rsid w:val="002E0F2F"/>
    <w:rsid w:val="002E1090"/>
    <w:rsid w:val="002E10A9"/>
    <w:rsid w:val="002E1269"/>
    <w:rsid w:val="002E138A"/>
    <w:rsid w:val="002E13F1"/>
    <w:rsid w:val="002E140B"/>
    <w:rsid w:val="002E148F"/>
    <w:rsid w:val="002E14DA"/>
    <w:rsid w:val="002E1783"/>
    <w:rsid w:val="002E1966"/>
    <w:rsid w:val="002E1AC6"/>
    <w:rsid w:val="002E1C91"/>
    <w:rsid w:val="002E1CA2"/>
    <w:rsid w:val="002E1DF1"/>
    <w:rsid w:val="002E2034"/>
    <w:rsid w:val="002E25FB"/>
    <w:rsid w:val="002E26E7"/>
    <w:rsid w:val="002E2738"/>
    <w:rsid w:val="002E276D"/>
    <w:rsid w:val="002E2BA5"/>
    <w:rsid w:val="002E2BE7"/>
    <w:rsid w:val="002E2BF0"/>
    <w:rsid w:val="002E2C55"/>
    <w:rsid w:val="002E2D10"/>
    <w:rsid w:val="002E2FD3"/>
    <w:rsid w:val="002E30F4"/>
    <w:rsid w:val="002E3578"/>
    <w:rsid w:val="002E35B8"/>
    <w:rsid w:val="002E3721"/>
    <w:rsid w:val="002E37A8"/>
    <w:rsid w:val="002E383B"/>
    <w:rsid w:val="002E3997"/>
    <w:rsid w:val="002E3A8A"/>
    <w:rsid w:val="002E3B58"/>
    <w:rsid w:val="002E3D01"/>
    <w:rsid w:val="002E3ED8"/>
    <w:rsid w:val="002E401D"/>
    <w:rsid w:val="002E4083"/>
    <w:rsid w:val="002E4114"/>
    <w:rsid w:val="002E417F"/>
    <w:rsid w:val="002E432A"/>
    <w:rsid w:val="002E43C3"/>
    <w:rsid w:val="002E44EC"/>
    <w:rsid w:val="002E4592"/>
    <w:rsid w:val="002E45BD"/>
    <w:rsid w:val="002E4678"/>
    <w:rsid w:val="002E49CD"/>
    <w:rsid w:val="002E4A3E"/>
    <w:rsid w:val="002E4A61"/>
    <w:rsid w:val="002E4B2E"/>
    <w:rsid w:val="002E4B6A"/>
    <w:rsid w:val="002E4B82"/>
    <w:rsid w:val="002E4C7C"/>
    <w:rsid w:val="002E4FA9"/>
    <w:rsid w:val="002E5189"/>
    <w:rsid w:val="002E52CD"/>
    <w:rsid w:val="002E52D2"/>
    <w:rsid w:val="002E5349"/>
    <w:rsid w:val="002E540B"/>
    <w:rsid w:val="002E56B1"/>
    <w:rsid w:val="002E57A6"/>
    <w:rsid w:val="002E5C0C"/>
    <w:rsid w:val="002E5C89"/>
    <w:rsid w:val="002E5EE4"/>
    <w:rsid w:val="002E5F11"/>
    <w:rsid w:val="002E6083"/>
    <w:rsid w:val="002E61D8"/>
    <w:rsid w:val="002E6337"/>
    <w:rsid w:val="002E6343"/>
    <w:rsid w:val="002E6441"/>
    <w:rsid w:val="002E64DA"/>
    <w:rsid w:val="002E675F"/>
    <w:rsid w:val="002E691E"/>
    <w:rsid w:val="002E695B"/>
    <w:rsid w:val="002E6ACE"/>
    <w:rsid w:val="002E6D83"/>
    <w:rsid w:val="002E6E01"/>
    <w:rsid w:val="002E6FEA"/>
    <w:rsid w:val="002E7288"/>
    <w:rsid w:val="002E72CE"/>
    <w:rsid w:val="002E73A6"/>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33"/>
    <w:rsid w:val="002E7EE2"/>
    <w:rsid w:val="002E7F11"/>
    <w:rsid w:val="002E7F46"/>
    <w:rsid w:val="002F0044"/>
    <w:rsid w:val="002F008A"/>
    <w:rsid w:val="002F043E"/>
    <w:rsid w:val="002F06BC"/>
    <w:rsid w:val="002F07E6"/>
    <w:rsid w:val="002F0807"/>
    <w:rsid w:val="002F0840"/>
    <w:rsid w:val="002F089B"/>
    <w:rsid w:val="002F08B7"/>
    <w:rsid w:val="002F08BF"/>
    <w:rsid w:val="002F08D4"/>
    <w:rsid w:val="002F091E"/>
    <w:rsid w:val="002F0949"/>
    <w:rsid w:val="002F0AD3"/>
    <w:rsid w:val="002F0B58"/>
    <w:rsid w:val="002F0CBF"/>
    <w:rsid w:val="002F0D1B"/>
    <w:rsid w:val="002F0D81"/>
    <w:rsid w:val="002F0E61"/>
    <w:rsid w:val="002F1040"/>
    <w:rsid w:val="002F1251"/>
    <w:rsid w:val="002F12AA"/>
    <w:rsid w:val="002F142E"/>
    <w:rsid w:val="002F152E"/>
    <w:rsid w:val="002F1749"/>
    <w:rsid w:val="002F18DF"/>
    <w:rsid w:val="002F1931"/>
    <w:rsid w:val="002F1ACE"/>
    <w:rsid w:val="002F1B3B"/>
    <w:rsid w:val="002F1C9A"/>
    <w:rsid w:val="002F1D3B"/>
    <w:rsid w:val="002F1EB3"/>
    <w:rsid w:val="002F1EBF"/>
    <w:rsid w:val="002F1F65"/>
    <w:rsid w:val="002F2181"/>
    <w:rsid w:val="002F221E"/>
    <w:rsid w:val="002F22B0"/>
    <w:rsid w:val="002F2552"/>
    <w:rsid w:val="002F270C"/>
    <w:rsid w:val="002F27B2"/>
    <w:rsid w:val="002F2864"/>
    <w:rsid w:val="002F2A14"/>
    <w:rsid w:val="002F2A32"/>
    <w:rsid w:val="002F2C89"/>
    <w:rsid w:val="002F2EB4"/>
    <w:rsid w:val="002F2F8D"/>
    <w:rsid w:val="002F31A6"/>
    <w:rsid w:val="002F3203"/>
    <w:rsid w:val="002F33FE"/>
    <w:rsid w:val="002F3469"/>
    <w:rsid w:val="002F3577"/>
    <w:rsid w:val="002F358F"/>
    <w:rsid w:val="002F3748"/>
    <w:rsid w:val="002F38B2"/>
    <w:rsid w:val="002F3968"/>
    <w:rsid w:val="002F3A80"/>
    <w:rsid w:val="002F3AF4"/>
    <w:rsid w:val="002F3C0D"/>
    <w:rsid w:val="002F3C8A"/>
    <w:rsid w:val="002F3D03"/>
    <w:rsid w:val="002F3F41"/>
    <w:rsid w:val="002F4252"/>
    <w:rsid w:val="002F4518"/>
    <w:rsid w:val="002F4553"/>
    <w:rsid w:val="002F45C1"/>
    <w:rsid w:val="002F45FD"/>
    <w:rsid w:val="002F48A8"/>
    <w:rsid w:val="002F48C4"/>
    <w:rsid w:val="002F4938"/>
    <w:rsid w:val="002F4B26"/>
    <w:rsid w:val="002F4E47"/>
    <w:rsid w:val="002F4EF6"/>
    <w:rsid w:val="002F4F2B"/>
    <w:rsid w:val="002F4FD9"/>
    <w:rsid w:val="002F4FE2"/>
    <w:rsid w:val="002F504A"/>
    <w:rsid w:val="002F5198"/>
    <w:rsid w:val="002F5228"/>
    <w:rsid w:val="002F528A"/>
    <w:rsid w:val="002F530D"/>
    <w:rsid w:val="002F5322"/>
    <w:rsid w:val="002F54EF"/>
    <w:rsid w:val="002F55FE"/>
    <w:rsid w:val="002F59D8"/>
    <w:rsid w:val="002F5A3F"/>
    <w:rsid w:val="002F5C5B"/>
    <w:rsid w:val="002F5CFD"/>
    <w:rsid w:val="002F5D64"/>
    <w:rsid w:val="002F5D6F"/>
    <w:rsid w:val="002F5D71"/>
    <w:rsid w:val="002F5EB4"/>
    <w:rsid w:val="002F60EB"/>
    <w:rsid w:val="002F6168"/>
    <w:rsid w:val="002F620E"/>
    <w:rsid w:val="002F6301"/>
    <w:rsid w:val="002F63EE"/>
    <w:rsid w:val="002F640B"/>
    <w:rsid w:val="002F6619"/>
    <w:rsid w:val="002F6697"/>
    <w:rsid w:val="002F670F"/>
    <w:rsid w:val="002F6865"/>
    <w:rsid w:val="002F6889"/>
    <w:rsid w:val="002F69E4"/>
    <w:rsid w:val="002F6A9B"/>
    <w:rsid w:val="002F6AEF"/>
    <w:rsid w:val="002F6BE6"/>
    <w:rsid w:val="002F6E22"/>
    <w:rsid w:val="002F6E43"/>
    <w:rsid w:val="002F6E7D"/>
    <w:rsid w:val="002F6F49"/>
    <w:rsid w:val="002F721E"/>
    <w:rsid w:val="002F726C"/>
    <w:rsid w:val="002F7299"/>
    <w:rsid w:val="002F73D1"/>
    <w:rsid w:val="002F7671"/>
    <w:rsid w:val="002F76A9"/>
    <w:rsid w:val="002F7810"/>
    <w:rsid w:val="002F7A1A"/>
    <w:rsid w:val="002F7B93"/>
    <w:rsid w:val="002F7BF5"/>
    <w:rsid w:val="002F7D2B"/>
    <w:rsid w:val="002F7F07"/>
    <w:rsid w:val="002F7F30"/>
    <w:rsid w:val="002F7F32"/>
    <w:rsid w:val="00300156"/>
    <w:rsid w:val="003001B0"/>
    <w:rsid w:val="00300318"/>
    <w:rsid w:val="003006F3"/>
    <w:rsid w:val="00300733"/>
    <w:rsid w:val="00300ACE"/>
    <w:rsid w:val="00300C26"/>
    <w:rsid w:val="00300CC0"/>
    <w:rsid w:val="00300E0B"/>
    <w:rsid w:val="00300E6B"/>
    <w:rsid w:val="00301079"/>
    <w:rsid w:val="003016D7"/>
    <w:rsid w:val="0030171B"/>
    <w:rsid w:val="00301875"/>
    <w:rsid w:val="00301A7C"/>
    <w:rsid w:val="00301AE1"/>
    <w:rsid w:val="00301B9A"/>
    <w:rsid w:val="00301E4F"/>
    <w:rsid w:val="00302002"/>
    <w:rsid w:val="00302065"/>
    <w:rsid w:val="0030211F"/>
    <w:rsid w:val="00302131"/>
    <w:rsid w:val="0030236E"/>
    <w:rsid w:val="00302383"/>
    <w:rsid w:val="003024CE"/>
    <w:rsid w:val="00302647"/>
    <w:rsid w:val="00302728"/>
    <w:rsid w:val="00302A33"/>
    <w:rsid w:val="00302A8D"/>
    <w:rsid w:val="00302A95"/>
    <w:rsid w:val="00302AE8"/>
    <w:rsid w:val="00302C9C"/>
    <w:rsid w:val="00302D13"/>
    <w:rsid w:val="00302FA4"/>
    <w:rsid w:val="00302FA7"/>
    <w:rsid w:val="00303073"/>
    <w:rsid w:val="00303096"/>
    <w:rsid w:val="003031FA"/>
    <w:rsid w:val="0030328C"/>
    <w:rsid w:val="003036D5"/>
    <w:rsid w:val="0030370F"/>
    <w:rsid w:val="00303AA2"/>
    <w:rsid w:val="00303ABF"/>
    <w:rsid w:val="00303AC8"/>
    <w:rsid w:val="00303D03"/>
    <w:rsid w:val="00303DC4"/>
    <w:rsid w:val="00303E02"/>
    <w:rsid w:val="00303F05"/>
    <w:rsid w:val="00303F0D"/>
    <w:rsid w:val="00304120"/>
    <w:rsid w:val="003042C2"/>
    <w:rsid w:val="003043AB"/>
    <w:rsid w:val="003046B9"/>
    <w:rsid w:val="003046E5"/>
    <w:rsid w:val="003047E6"/>
    <w:rsid w:val="003049B5"/>
    <w:rsid w:val="00304B9D"/>
    <w:rsid w:val="00304DC2"/>
    <w:rsid w:val="00304DDD"/>
    <w:rsid w:val="0030504B"/>
    <w:rsid w:val="003050B0"/>
    <w:rsid w:val="00305294"/>
    <w:rsid w:val="00305348"/>
    <w:rsid w:val="00305375"/>
    <w:rsid w:val="00305478"/>
    <w:rsid w:val="00305649"/>
    <w:rsid w:val="00305672"/>
    <w:rsid w:val="003056DA"/>
    <w:rsid w:val="00305853"/>
    <w:rsid w:val="003058F4"/>
    <w:rsid w:val="00305906"/>
    <w:rsid w:val="00305938"/>
    <w:rsid w:val="00305A91"/>
    <w:rsid w:val="00305B2A"/>
    <w:rsid w:val="00305B51"/>
    <w:rsid w:val="00305BDB"/>
    <w:rsid w:val="00305C6F"/>
    <w:rsid w:val="00305D67"/>
    <w:rsid w:val="00305F0B"/>
    <w:rsid w:val="00305F3E"/>
    <w:rsid w:val="00305F6D"/>
    <w:rsid w:val="003061D3"/>
    <w:rsid w:val="00306610"/>
    <w:rsid w:val="0030670D"/>
    <w:rsid w:val="00306743"/>
    <w:rsid w:val="00306A12"/>
    <w:rsid w:val="00306A47"/>
    <w:rsid w:val="00306DD9"/>
    <w:rsid w:val="00307131"/>
    <w:rsid w:val="003071C3"/>
    <w:rsid w:val="003071C6"/>
    <w:rsid w:val="0030754E"/>
    <w:rsid w:val="003075D0"/>
    <w:rsid w:val="0030763B"/>
    <w:rsid w:val="00307821"/>
    <w:rsid w:val="00307A63"/>
    <w:rsid w:val="00307B3D"/>
    <w:rsid w:val="00307BC2"/>
    <w:rsid w:val="00307C75"/>
    <w:rsid w:val="00307DD5"/>
    <w:rsid w:val="00307E0B"/>
    <w:rsid w:val="00307E62"/>
    <w:rsid w:val="00307ECB"/>
    <w:rsid w:val="0031018E"/>
    <w:rsid w:val="003101C5"/>
    <w:rsid w:val="0031048E"/>
    <w:rsid w:val="00310652"/>
    <w:rsid w:val="0031068D"/>
    <w:rsid w:val="00310698"/>
    <w:rsid w:val="003106B2"/>
    <w:rsid w:val="003107ED"/>
    <w:rsid w:val="003107F1"/>
    <w:rsid w:val="00310821"/>
    <w:rsid w:val="00310834"/>
    <w:rsid w:val="00310A84"/>
    <w:rsid w:val="00310ADC"/>
    <w:rsid w:val="00310B0D"/>
    <w:rsid w:val="00310C19"/>
    <w:rsid w:val="00310D5A"/>
    <w:rsid w:val="00310F43"/>
    <w:rsid w:val="003110ED"/>
    <w:rsid w:val="0031124D"/>
    <w:rsid w:val="003113DE"/>
    <w:rsid w:val="00311455"/>
    <w:rsid w:val="003114F0"/>
    <w:rsid w:val="00311654"/>
    <w:rsid w:val="00311705"/>
    <w:rsid w:val="00311769"/>
    <w:rsid w:val="003117C9"/>
    <w:rsid w:val="00311AAD"/>
    <w:rsid w:val="00311C1E"/>
    <w:rsid w:val="00311C44"/>
    <w:rsid w:val="00311CC0"/>
    <w:rsid w:val="00311D40"/>
    <w:rsid w:val="00311D44"/>
    <w:rsid w:val="00311D5F"/>
    <w:rsid w:val="00311E3C"/>
    <w:rsid w:val="00311F69"/>
    <w:rsid w:val="003121AD"/>
    <w:rsid w:val="003125AE"/>
    <w:rsid w:val="003125BD"/>
    <w:rsid w:val="00312714"/>
    <w:rsid w:val="003127C1"/>
    <w:rsid w:val="003128C5"/>
    <w:rsid w:val="00312ADC"/>
    <w:rsid w:val="00312B51"/>
    <w:rsid w:val="00312BC6"/>
    <w:rsid w:val="00312C68"/>
    <w:rsid w:val="00312CB0"/>
    <w:rsid w:val="00312CFB"/>
    <w:rsid w:val="00312DA2"/>
    <w:rsid w:val="00312DC4"/>
    <w:rsid w:val="00312ECB"/>
    <w:rsid w:val="00313482"/>
    <w:rsid w:val="003135A9"/>
    <w:rsid w:val="0031381F"/>
    <w:rsid w:val="00313A98"/>
    <w:rsid w:val="00313C59"/>
    <w:rsid w:val="00313C73"/>
    <w:rsid w:val="0031409F"/>
    <w:rsid w:val="003141F7"/>
    <w:rsid w:val="0031426B"/>
    <w:rsid w:val="00314297"/>
    <w:rsid w:val="003144CF"/>
    <w:rsid w:val="0031462D"/>
    <w:rsid w:val="0031476F"/>
    <w:rsid w:val="00314887"/>
    <w:rsid w:val="00314A3B"/>
    <w:rsid w:val="00314C1F"/>
    <w:rsid w:val="00314CA7"/>
    <w:rsid w:val="00314DB0"/>
    <w:rsid w:val="00314DFB"/>
    <w:rsid w:val="00314FC8"/>
    <w:rsid w:val="0031506B"/>
    <w:rsid w:val="003150D0"/>
    <w:rsid w:val="003150EE"/>
    <w:rsid w:val="003151D5"/>
    <w:rsid w:val="00315228"/>
    <w:rsid w:val="00315307"/>
    <w:rsid w:val="00315443"/>
    <w:rsid w:val="00315452"/>
    <w:rsid w:val="00315672"/>
    <w:rsid w:val="0031586A"/>
    <w:rsid w:val="00315B13"/>
    <w:rsid w:val="00315B44"/>
    <w:rsid w:val="00315D22"/>
    <w:rsid w:val="00315DBC"/>
    <w:rsid w:val="00315DEA"/>
    <w:rsid w:val="00315DF4"/>
    <w:rsid w:val="00315EA6"/>
    <w:rsid w:val="0031604C"/>
    <w:rsid w:val="00316084"/>
    <w:rsid w:val="003162A0"/>
    <w:rsid w:val="00316434"/>
    <w:rsid w:val="00316549"/>
    <w:rsid w:val="0031657D"/>
    <w:rsid w:val="003166CB"/>
    <w:rsid w:val="003167AC"/>
    <w:rsid w:val="00316811"/>
    <w:rsid w:val="00316AA5"/>
    <w:rsid w:val="00316BDF"/>
    <w:rsid w:val="00316C7C"/>
    <w:rsid w:val="00316D5A"/>
    <w:rsid w:val="00316EB5"/>
    <w:rsid w:val="00316F9B"/>
    <w:rsid w:val="0031720E"/>
    <w:rsid w:val="00317210"/>
    <w:rsid w:val="003172D1"/>
    <w:rsid w:val="00317402"/>
    <w:rsid w:val="0031750B"/>
    <w:rsid w:val="00317586"/>
    <w:rsid w:val="003176B5"/>
    <w:rsid w:val="003178D0"/>
    <w:rsid w:val="00317B65"/>
    <w:rsid w:val="00317B8F"/>
    <w:rsid w:val="00317D53"/>
    <w:rsid w:val="00317D85"/>
    <w:rsid w:val="00317E0E"/>
    <w:rsid w:val="00317FF9"/>
    <w:rsid w:val="003202CB"/>
    <w:rsid w:val="003202D0"/>
    <w:rsid w:val="00320401"/>
    <w:rsid w:val="00320550"/>
    <w:rsid w:val="00320731"/>
    <w:rsid w:val="00320A6C"/>
    <w:rsid w:val="00320C98"/>
    <w:rsid w:val="00320D56"/>
    <w:rsid w:val="00320F0B"/>
    <w:rsid w:val="00320F85"/>
    <w:rsid w:val="00321031"/>
    <w:rsid w:val="0032127C"/>
    <w:rsid w:val="003214DA"/>
    <w:rsid w:val="003215EB"/>
    <w:rsid w:val="003216B4"/>
    <w:rsid w:val="003216C5"/>
    <w:rsid w:val="003217ED"/>
    <w:rsid w:val="00321823"/>
    <w:rsid w:val="003218A9"/>
    <w:rsid w:val="00321960"/>
    <w:rsid w:val="00321B94"/>
    <w:rsid w:val="00321DFB"/>
    <w:rsid w:val="00321E3F"/>
    <w:rsid w:val="00321E6D"/>
    <w:rsid w:val="00321F15"/>
    <w:rsid w:val="00321FF0"/>
    <w:rsid w:val="00322094"/>
    <w:rsid w:val="00322106"/>
    <w:rsid w:val="0032217D"/>
    <w:rsid w:val="003221A5"/>
    <w:rsid w:val="00322262"/>
    <w:rsid w:val="003222E8"/>
    <w:rsid w:val="003224D2"/>
    <w:rsid w:val="0032259D"/>
    <w:rsid w:val="003225C4"/>
    <w:rsid w:val="00322656"/>
    <w:rsid w:val="00322709"/>
    <w:rsid w:val="00322A8F"/>
    <w:rsid w:val="00322A98"/>
    <w:rsid w:val="00322AE3"/>
    <w:rsid w:val="00322C8E"/>
    <w:rsid w:val="00322CB1"/>
    <w:rsid w:val="00322D3E"/>
    <w:rsid w:val="00322F4E"/>
    <w:rsid w:val="00323097"/>
    <w:rsid w:val="003230D3"/>
    <w:rsid w:val="003230E6"/>
    <w:rsid w:val="003231E5"/>
    <w:rsid w:val="003232E2"/>
    <w:rsid w:val="0032332E"/>
    <w:rsid w:val="003233D5"/>
    <w:rsid w:val="003234CF"/>
    <w:rsid w:val="003234DE"/>
    <w:rsid w:val="003236E8"/>
    <w:rsid w:val="00323738"/>
    <w:rsid w:val="00323745"/>
    <w:rsid w:val="003238CA"/>
    <w:rsid w:val="00323946"/>
    <w:rsid w:val="003239A6"/>
    <w:rsid w:val="003239DD"/>
    <w:rsid w:val="00323A40"/>
    <w:rsid w:val="00323AF0"/>
    <w:rsid w:val="00323BBD"/>
    <w:rsid w:val="00323BD7"/>
    <w:rsid w:val="00323CE0"/>
    <w:rsid w:val="00323DC5"/>
    <w:rsid w:val="00323EAC"/>
    <w:rsid w:val="00323F1A"/>
    <w:rsid w:val="00323F2B"/>
    <w:rsid w:val="00323F8E"/>
    <w:rsid w:val="00323FEF"/>
    <w:rsid w:val="003241D3"/>
    <w:rsid w:val="003243E6"/>
    <w:rsid w:val="0032440B"/>
    <w:rsid w:val="00324761"/>
    <w:rsid w:val="00324890"/>
    <w:rsid w:val="00324923"/>
    <w:rsid w:val="00324ABE"/>
    <w:rsid w:val="00324C75"/>
    <w:rsid w:val="00324CE2"/>
    <w:rsid w:val="00324D1E"/>
    <w:rsid w:val="00324DF2"/>
    <w:rsid w:val="00324ECA"/>
    <w:rsid w:val="00324FA4"/>
    <w:rsid w:val="00325291"/>
    <w:rsid w:val="003253F2"/>
    <w:rsid w:val="0032554B"/>
    <w:rsid w:val="00325647"/>
    <w:rsid w:val="00325794"/>
    <w:rsid w:val="0032587B"/>
    <w:rsid w:val="00325C60"/>
    <w:rsid w:val="00325D07"/>
    <w:rsid w:val="00325E02"/>
    <w:rsid w:val="00325F7A"/>
    <w:rsid w:val="00326137"/>
    <w:rsid w:val="00326288"/>
    <w:rsid w:val="00326303"/>
    <w:rsid w:val="00326382"/>
    <w:rsid w:val="003263BD"/>
    <w:rsid w:val="003263F5"/>
    <w:rsid w:val="003264B4"/>
    <w:rsid w:val="003265A2"/>
    <w:rsid w:val="00326608"/>
    <w:rsid w:val="0032664E"/>
    <w:rsid w:val="0032664F"/>
    <w:rsid w:val="0032672E"/>
    <w:rsid w:val="00326747"/>
    <w:rsid w:val="003269C9"/>
    <w:rsid w:val="00326A54"/>
    <w:rsid w:val="00326A91"/>
    <w:rsid w:val="00326B41"/>
    <w:rsid w:val="00326BA5"/>
    <w:rsid w:val="00326CEA"/>
    <w:rsid w:val="00326F85"/>
    <w:rsid w:val="00326FE2"/>
    <w:rsid w:val="003271F5"/>
    <w:rsid w:val="003272D8"/>
    <w:rsid w:val="0032730B"/>
    <w:rsid w:val="003274AC"/>
    <w:rsid w:val="003276A2"/>
    <w:rsid w:val="003277E1"/>
    <w:rsid w:val="00327867"/>
    <w:rsid w:val="003278AC"/>
    <w:rsid w:val="003278D3"/>
    <w:rsid w:val="00327A78"/>
    <w:rsid w:val="00327C46"/>
    <w:rsid w:val="00327D65"/>
    <w:rsid w:val="00327DA4"/>
    <w:rsid w:val="00327E6F"/>
    <w:rsid w:val="00330086"/>
    <w:rsid w:val="003300D3"/>
    <w:rsid w:val="003301A9"/>
    <w:rsid w:val="00330269"/>
    <w:rsid w:val="003302A2"/>
    <w:rsid w:val="003303B4"/>
    <w:rsid w:val="003303F7"/>
    <w:rsid w:val="00330748"/>
    <w:rsid w:val="0033081E"/>
    <w:rsid w:val="00330981"/>
    <w:rsid w:val="00330A05"/>
    <w:rsid w:val="00330AA0"/>
    <w:rsid w:val="00330B78"/>
    <w:rsid w:val="00330BED"/>
    <w:rsid w:val="00330CCD"/>
    <w:rsid w:val="00330F28"/>
    <w:rsid w:val="00330F68"/>
    <w:rsid w:val="00331070"/>
    <w:rsid w:val="0033108E"/>
    <w:rsid w:val="00331160"/>
    <w:rsid w:val="0033117C"/>
    <w:rsid w:val="00331264"/>
    <w:rsid w:val="003312BE"/>
    <w:rsid w:val="00331417"/>
    <w:rsid w:val="003314B9"/>
    <w:rsid w:val="003314C5"/>
    <w:rsid w:val="003315E4"/>
    <w:rsid w:val="003315EE"/>
    <w:rsid w:val="00331625"/>
    <w:rsid w:val="0033179F"/>
    <w:rsid w:val="003319F8"/>
    <w:rsid w:val="00331A4B"/>
    <w:rsid w:val="00331AB9"/>
    <w:rsid w:val="00331AC4"/>
    <w:rsid w:val="00331F0D"/>
    <w:rsid w:val="00332008"/>
    <w:rsid w:val="0033211F"/>
    <w:rsid w:val="0033222D"/>
    <w:rsid w:val="003323C2"/>
    <w:rsid w:val="003323F1"/>
    <w:rsid w:val="00332445"/>
    <w:rsid w:val="0033254C"/>
    <w:rsid w:val="0033262D"/>
    <w:rsid w:val="003327A5"/>
    <w:rsid w:val="003327AB"/>
    <w:rsid w:val="00332A5F"/>
    <w:rsid w:val="00332B16"/>
    <w:rsid w:val="00332D22"/>
    <w:rsid w:val="00332EF7"/>
    <w:rsid w:val="003330F8"/>
    <w:rsid w:val="00333168"/>
    <w:rsid w:val="0033318C"/>
    <w:rsid w:val="003331A7"/>
    <w:rsid w:val="003331F2"/>
    <w:rsid w:val="0033356D"/>
    <w:rsid w:val="003335FF"/>
    <w:rsid w:val="0033374C"/>
    <w:rsid w:val="00333850"/>
    <w:rsid w:val="0033388A"/>
    <w:rsid w:val="003338F6"/>
    <w:rsid w:val="00333C15"/>
    <w:rsid w:val="00333C7F"/>
    <w:rsid w:val="00333DA2"/>
    <w:rsid w:val="00334032"/>
    <w:rsid w:val="003340F0"/>
    <w:rsid w:val="00334151"/>
    <w:rsid w:val="003341C4"/>
    <w:rsid w:val="0033423C"/>
    <w:rsid w:val="00334276"/>
    <w:rsid w:val="003344C6"/>
    <w:rsid w:val="003345F1"/>
    <w:rsid w:val="003347B6"/>
    <w:rsid w:val="00334863"/>
    <w:rsid w:val="00334BBD"/>
    <w:rsid w:val="00334DD0"/>
    <w:rsid w:val="00334DF5"/>
    <w:rsid w:val="00334DF8"/>
    <w:rsid w:val="00334E6A"/>
    <w:rsid w:val="0033509A"/>
    <w:rsid w:val="00335104"/>
    <w:rsid w:val="00335258"/>
    <w:rsid w:val="003352E4"/>
    <w:rsid w:val="0033530F"/>
    <w:rsid w:val="0033533E"/>
    <w:rsid w:val="003353C5"/>
    <w:rsid w:val="003354EA"/>
    <w:rsid w:val="003354EE"/>
    <w:rsid w:val="0033578A"/>
    <w:rsid w:val="00335887"/>
    <w:rsid w:val="00335B24"/>
    <w:rsid w:val="00335BA6"/>
    <w:rsid w:val="00335BBD"/>
    <w:rsid w:val="00335F0E"/>
    <w:rsid w:val="00336207"/>
    <w:rsid w:val="00336248"/>
    <w:rsid w:val="00336389"/>
    <w:rsid w:val="00336481"/>
    <w:rsid w:val="003364B8"/>
    <w:rsid w:val="003364EE"/>
    <w:rsid w:val="003364F9"/>
    <w:rsid w:val="003365FA"/>
    <w:rsid w:val="003367F0"/>
    <w:rsid w:val="003367FF"/>
    <w:rsid w:val="00336BF0"/>
    <w:rsid w:val="00336D23"/>
    <w:rsid w:val="00336D32"/>
    <w:rsid w:val="00336D5C"/>
    <w:rsid w:val="00336D87"/>
    <w:rsid w:val="00336DEC"/>
    <w:rsid w:val="003370EE"/>
    <w:rsid w:val="003371DE"/>
    <w:rsid w:val="003373E1"/>
    <w:rsid w:val="003373E3"/>
    <w:rsid w:val="003376AA"/>
    <w:rsid w:val="00337734"/>
    <w:rsid w:val="00337791"/>
    <w:rsid w:val="003378C3"/>
    <w:rsid w:val="003379DF"/>
    <w:rsid w:val="00337A16"/>
    <w:rsid w:val="00337C79"/>
    <w:rsid w:val="00337DAE"/>
    <w:rsid w:val="00337DB0"/>
    <w:rsid w:val="00337E1A"/>
    <w:rsid w:val="00337E3A"/>
    <w:rsid w:val="00337EF0"/>
    <w:rsid w:val="00337FFB"/>
    <w:rsid w:val="00340083"/>
    <w:rsid w:val="00340111"/>
    <w:rsid w:val="00340183"/>
    <w:rsid w:val="00340221"/>
    <w:rsid w:val="003402BD"/>
    <w:rsid w:val="0034039D"/>
    <w:rsid w:val="00340413"/>
    <w:rsid w:val="00340462"/>
    <w:rsid w:val="00340922"/>
    <w:rsid w:val="00340B9A"/>
    <w:rsid w:val="00340D22"/>
    <w:rsid w:val="00340D8B"/>
    <w:rsid w:val="00340F55"/>
    <w:rsid w:val="00341008"/>
    <w:rsid w:val="0034109D"/>
    <w:rsid w:val="003411AC"/>
    <w:rsid w:val="00341230"/>
    <w:rsid w:val="00341242"/>
    <w:rsid w:val="003412B8"/>
    <w:rsid w:val="00341367"/>
    <w:rsid w:val="0034138A"/>
    <w:rsid w:val="00341464"/>
    <w:rsid w:val="003415AF"/>
    <w:rsid w:val="00341833"/>
    <w:rsid w:val="00341899"/>
    <w:rsid w:val="00341B2C"/>
    <w:rsid w:val="00341BA6"/>
    <w:rsid w:val="00341D59"/>
    <w:rsid w:val="00341D88"/>
    <w:rsid w:val="00341DD9"/>
    <w:rsid w:val="00341FB1"/>
    <w:rsid w:val="00342344"/>
    <w:rsid w:val="003423F2"/>
    <w:rsid w:val="00342450"/>
    <w:rsid w:val="003426B7"/>
    <w:rsid w:val="003427D4"/>
    <w:rsid w:val="003429FB"/>
    <w:rsid w:val="00342A3B"/>
    <w:rsid w:val="00342E06"/>
    <w:rsid w:val="00342E5B"/>
    <w:rsid w:val="0034303C"/>
    <w:rsid w:val="0034306A"/>
    <w:rsid w:val="0034311C"/>
    <w:rsid w:val="00343232"/>
    <w:rsid w:val="0034330C"/>
    <w:rsid w:val="00343397"/>
    <w:rsid w:val="003434F2"/>
    <w:rsid w:val="003436A4"/>
    <w:rsid w:val="00343719"/>
    <w:rsid w:val="003438CE"/>
    <w:rsid w:val="0034391A"/>
    <w:rsid w:val="00343BB2"/>
    <w:rsid w:val="00343E41"/>
    <w:rsid w:val="00343E55"/>
    <w:rsid w:val="00343EA9"/>
    <w:rsid w:val="00344069"/>
    <w:rsid w:val="003443A2"/>
    <w:rsid w:val="003443A8"/>
    <w:rsid w:val="00344494"/>
    <w:rsid w:val="0034449A"/>
    <w:rsid w:val="003444F7"/>
    <w:rsid w:val="0034453A"/>
    <w:rsid w:val="00344664"/>
    <w:rsid w:val="003446DD"/>
    <w:rsid w:val="0034484A"/>
    <w:rsid w:val="003448AA"/>
    <w:rsid w:val="003448E9"/>
    <w:rsid w:val="00344B34"/>
    <w:rsid w:val="00344BE2"/>
    <w:rsid w:val="00344ED5"/>
    <w:rsid w:val="00344ED6"/>
    <w:rsid w:val="00344FAC"/>
    <w:rsid w:val="003450C1"/>
    <w:rsid w:val="003453ED"/>
    <w:rsid w:val="003454F4"/>
    <w:rsid w:val="00345771"/>
    <w:rsid w:val="0034586B"/>
    <w:rsid w:val="00345B13"/>
    <w:rsid w:val="00345B21"/>
    <w:rsid w:val="00345C0C"/>
    <w:rsid w:val="00345CA2"/>
    <w:rsid w:val="00345CC9"/>
    <w:rsid w:val="00345E27"/>
    <w:rsid w:val="00345E46"/>
    <w:rsid w:val="00345E47"/>
    <w:rsid w:val="00345EAC"/>
    <w:rsid w:val="003460A3"/>
    <w:rsid w:val="0034618C"/>
    <w:rsid w:val="003461E9"/>
    <w:rsid w:val="003462AB"/>
    <w:rsid w:val="00346411"/>
    <w:rsid w:val="0034654F"/>
    <w:rsid w:val="00346789"/>
    <w:rsid w:val="003467FF"/>
    <w:rsid w:val="003468D5"/>
    <w:rsid w:val="003468DE"/>
    <w:rsid w:val="0034696A"/>
    <w:rsid w:val="00346A11"/>
    <w:rsid w:val="00346AA0"/>
    <w:rsid w:val="00346B41"/>
    <w:rsid w:val="00346B42"/>
    <w:rsid w:val="00346B7C"/>
    <w:rsid w:val="00346D27"/>
    <w:rsid w:val="00346D91"/>
    <w:rsid w:val="00346E6A"/>
    <w:rsid w:val="0034700A"/>
    <w:rsid w:val="00347314"/>
    <w:rsid w:val="0034741C"/>
    <w:rsid w:val="003474D0"/>
    <w:rsid w:val="003474EA"/>
    <w:rsid w:val="003475E2"/>
    <w:rsid w:val="003475EC"/>
    <w:rsid w:val="0034760A"/>
    <w:rsid w:val="00347831"/>
    <w:rsid w:val="00347885"/>
    <w:rsid w:val="003478C5"/>
    <w:rsid w:val="0034792F"/>
    <w:rsid w:val="00347A04"/>
    <w:rsid w:val="00347ABF"/>
    <w:rsid w:val="00347B08"/>
    <w:rsid w:val="00347B43"/>
    <w:rsid w:val="00347CE3"/>
    <w:rsid w:val="00347EC1"/>
    <w:rsid w:val="00347FF4"/>
    <w:rsid w:val="003500B8"/>
    <w:rsid w:val="003500EE"/>
    <w:rsid w:val="0035019D"/>
    <w:rsid w:val="00350244"/>
    <w:rsid w:val="0035031E"/>
    <w:rsid w:val="0035038D"/>
    <w:rsid w:val="00350401"/>
    <w:rsid w:val="003504A4"/>
    <w:rsid w:val="00350523"/>
    <w:rsid w:val="00350768"/>
    <w:rsid w:val="0035078A"/>
    <w:rsid w:val="003507E8"/>
    <w:rsid w:val="00350914"/>
    <w:rsid w:val="00350A5D"/>
    <w:rsid w:val="00350B53"/>
    <w:rsid w:val="00350B88"/>
    <w:rsid w:val="00350C16"/>
    <w:rsid w:val="00350C73"/>
    <w:rsid w:val="00350ED3"/>
    <w:rsid w:val="00350F79"/>
    <w:rsid w:val="00350FCE"/>
    <w:rsid w:val="00351027"/>
    <w:rsid w:val="00351123"/>
    <w:rsid w:val="00351190"/>
    <w:rsid w:val="00351225"/>
    <w:rsid w:val="003513BA"/>
    <w:rsid w:val="00351401"/>
    <w:rsid w:val="0035141D"/>
    <w:rsid w:val="00351580"/>
    <w:rsid w:val="00351751"/>
    <w:rsid w:val="003519AB"/>
    <w:rsid w:val="00351B59"/>
    <w:rsid w:val="00351C08"/>
    <w:rsid w:val="00351C5C"/>
    <w:rsid w:val="00351CD6"/>
    <w:rsid w:val="00351DA3"/>
    <w:rsid w:val="00351FD3"/>
    <w:rsid w:val="0035206A"/>
    <w:rsid w:val="00352121"/>
    <w:rsid w:val="0035258D"/>
    <w:rsid w:val="00352648"/>
    <w:rsid w:val="0035279C"/>
    <w:rsid w:val="003528CD"/>
    <w:rsid w:val="0035290C"/>
    <w:rsid w:val="003529D5"/>
    <w:rsid w:val="00352AF0"/>
    <w:rsid w:val="00352C16"/>
    <w:rsid w:val="00352DB4"/>
    <w:rsid w:val="00353001"/>
    <w:rsid w:val="00353175"/>
    <w:rsid w:val="0035328B"/>
    <w:rsid w:val="003533FC"/>
    <w:rsid w:val="0035350D"/>
    <w:rsid w:val="003538A1"/>
    <w:rsid w:val="00353908"/>
    <w:rsid w:val="00353CF2"/>
    <w:rsid w:val="00353D2C"/>
    <w:rsid w:val="00353DA1"/>
    <w:rsid w:val="00353DCC"/>
    <w:rsid w:val="00353DCD"/>
    <w:rsid w:val="003540DC"/>
    <w:rsid w:val="00354131"/>
    <w:rsid w:val="00354136"/>
    <w:rsid w:val="00354191"/>
    <w:rsid w:val="00354192"/>
    <w:rsid w:val="00354231"/>
    <w:rsid w:val="00354369"/>
    <w:rsid w:val="00354428"/>
    <w:rsid w:val="003544E8"/>
    <w:rsid w:val="00354575"/>
    <w:rsid w:val="00354606"/>
    <w:rsid w:val="003547C6"/>
    <w:rsid w:val="00354BB5"/>
    <w:rsid w:val="00354DBD"/>
    <w:rsid w:val="003551A7"/>
    <w:rsid w:val="00355211"/>
    <w:rsid w:val="0035521A"/>
    <w:rsid w:val="0035523A"/>
    <w:rsid w:val="00355538"/>
    <w:rsid w:val="0035553A"/>
    <w:rsid w:val="00355554"/>
    <w:rsid w:val="0035555B"/>
    <w:rsid w:val="0035566D"/>
    <w:rsid w:val="00355780"/>
    <w:rsid w:val="00355799"/>
    <w:rsid w:val="00355935"/>
    <w:rsid w:val="00355AB2"/>
    <w:rsid w:val="00355CE5"/>
    <w:rsid w:val="00355E59"/>
    <w:rsid w:val="00355F61"/>
    <w:rsid w:val="00355F62"/>
    <w:rsid w:val="00355FC3"/>
    <w:rsid w:val="00356032"/>
    <w:rsid w:val="0035623B"/>
    <w:rsid w:val="003562AE"/>
    <w:rsid w:val="0035644D"/>
    <w:rsid w:val="00356571"/>
    <w:rsid w:val="00356699"/>
    <w:rsid w:val="0035676F"/>
    <w:rsid w:val="00356C53"/>
    <w:rsid w:val="00356C81"/>
    <w:rsid w:val="00356CA5"/>
    <w:rsid w:val="00356CA9"/>
    <w:rsid w:val="00356CEE"/>
    <w:rsid w:val="00356D1C"/>
    <w:rsid w:val="00356D41"/>
    <w:rsid w:val="00356D88"/>
    <w:rsid w:val="00356E9E"/>
    <w:rsid w:val="00356EC1"/>
    <w:rsid w:val="00356ECB"/>
    <w:rsid w:val="00356F29"/>
    <w:rsid w:val="00356FD2"/>
    <w:rsid w:val="003571AA"/>
    <w:rsid w:val="00357211"/>
    <w:rsid w:val="0035728F"/>
    <w:rsid w:val="003573F0"/>
    <w:rsid w:val="00357527"/>
    <w:rsid w:val="003575C5"/>
    <w:rsid w:val="003575C7"/>
    <w:rsid w:val="00357674"/>
    <w:rsid w:val="003579F5"/>
    <w:rsid w:val="00357A17"/>
    <w:rsid w:val="00357A90"/>
    <w:rsid w:val="00357B04"/>
    <w:rsid w:val="00357B65"/>
    <w:rsid w:val="00357C0B"/>
    <w:rsid w:val="00357C56"/>
    <w:rsid w:val="00357DEA"/>
    <w:rsid w:val="00360098"/>
    <w:rsid w:val="003600CA"/>
    <w:rsid w:val="00360186"/>
    <w:rsid w:val="00360398"/>
    <w:rsid w:val="003603C5"/>
    <w:rsid w:val="003604B8"/>
    <w:rsid w:val="003605FF"/>
    <w:rsid w:val="00360AB8"/>
    <w:rsid w:val="00360ADD"/>
    <w:rsid w:val="00360C33"/>
    <w:rsid w:val="00360E85"/>
    <w:rsid w:val="00361276"/>
    <w:rsid w:val="00361493"/>
    <w:rsid w:val="003619B3"/>
    <w:rsid w:val="00361A95"/>
    <w:rsid w:val="00361ADA"/>
    <w:rsid w:val="00361B15"/>
    <w:rsid w:val="00361B2D"/>
    <w:rsid w:val="00361D44"/>
    <w:rsid w:val="00361D7B"/>
    <w:rsid w:val="00361E31"/>
    <w:rsid w:val="00361FC0"/>
    <w:rsid w:val="003621A2"/>
    <w:rsid w:val="003621A5"/>
    <w:rsid w:val="0036248C"/>
    <w:rsid w:val="0036296D"/>
    <w:rsid w:val="0036298B"/>
    <w:rsid w:val="00362A11"/>
    <w:rsid w:val="00362A2E"/>
    <w:rsid w:val="00362B5F"/>
    <w:rsid w:val="00362CDB"/>
    <w:rsid w:val="00362CE6"/>
    <w:rsid w:val="00362DDA"/>
    <w:rsid w:val="00362EA9"/>
    <w:rsid w:val="00362EDF"/>
    <w:rsid w:val="003631CA"/>
    <w:rsid w:val="00363443"/>
    <w:rsid w:val="003637B1"/>
    <w:rsid w:val="003637B7"/>
    <w:rsid w:val="003637C0"/>
    <w:rsid w:val="003637E0"/>
    <w:rsid w:val="003638F9"/>
    <w:rsid w:val="00363A77"/>
    <w:rsid w:val="00363ACA"/>
    <w:rsid w:val="00363B05"/>
    <w:rsid w:val="00363BD0"/>
    <w:rsid w:val="00363BEA"/>
    <w:rsid w:val="00363C34"/>
    <w:rsid w:val="003641C9"/>
    <w:rsid w:val="0036424F"/>
    <w:rsid w:val="00364304"/>
    <w:rsid w:val="0036436A"/>
    <w:rsid w:val="0036447D"/>
    <w:rsid w:val="003644BE"/>
    <w:rsid w:val="00364608"/>
    <w:rsid w:val="0036468B"/>
    <w:rsid w:val="00364849"/>
    <w:rsid w:val="00364886"/>
    <w:rsid w:val="003648AE"/>
    <w:rsid w:val="00364926"/>
    <w:rsid w:val="00364969"/>
    <w:rsid w:val="00364F4B"/>
    <w:rsid w:val="00365087"/>
    <w:rsid w:val="0036518A"/>
    <w:rsid w:val="003655CC"/>
    <w:rsid w:val="0036568B"/>
    <w:rsid w:val="00365817"/>
    <w:rsid w:val="00365975"/>
    <w:rsid w:val="00365A81"/>
    <w:rsid w:val="00365B09"/>
    <w:rsid w:val="00365C35"/>
    <w:rsid w:val="00365D18"/>
    <w:rsid w:val="00365D70"/>
    <w:rsid w:val="00365E29"/>
    <w:rsid w:val="00365F02"/>
    <w:rsid w:val="00365F34"/>
    <w:rsid w:val="00365F38"/>
    <w:rsid w:val="0036606B"/>
    <w:rsid w:val="0036622B"/>
    <w:rsid w:val="003663F3"/>
    <w:rsid w:val="003664C9"/>
    <w:rsid w:val="003665D7"/>
    <w:rsid w:val="003665FB"/>
    <w:rsid w:val="00366645"/>
    <w:rsid w:val="0036682F"/>
    <w:rsid w:val="00366A15"/>
    <w:rsid w:val="00366D65"/>
    <w:rsid w:val="00366E08"/>
    <w:rsid w:val="00366ED9"/>
    <w:rsid w:val="003670F6"/>
    <w:rsid w:val="003670FD"/>
    <w:rsid w:val="003671CF"/>
    <w:rsid w:val="003673A9"/>
    <w:rsid w:val="00367440"/>
    <w:rsid w:val="0036756A"/>
    <w:rsid w:val="003675D6"/>
    <w:rsid w:val="00367698"/>
    <w:rsid w:val="0036790F"/>
    <w:rsid w:val="003679A9"/>
    <w:rsid w:val="00367A87"/>
    <w:rsid w:val="00367BDB"/>
    <w:rsid w:val="00367BDC"/>
    <w:rsid w:val="00367CDC"/>
    <w:rsid w:val="00370132"/>
    <w:rsid w:val="0037014D"/>
    <w:rsid w:val="003702F8"/>
    <w:rsid w:val="00370304"/>
    <w:rsid w:val="0037036D"/>
    <w:rsid w:val="00370523"/>
    <w:rsid w:val="00370531"/>
    <w:rsid w:val="0037054D"/>
    <w:rsid w:val="003705D4"/>
    <w:rsid w:val="003706C9"/>
    <w:rsid w:val="00370734"/>
    <w:rsid w:val="003707E6"/>
    <w:rsid w:val="003707FA"/>
    <w:rsid w:val="00370A40"/>
    <w:rsid w:val="00370C12"/>
    <w:rsid w:val="00370D1A"/>
    <w:rsid w:val="00370DF7"/>
    <w:rsid w:val="00370F3B"/>
    <w:rsid w:val="00371266"/>
    <w:rsid w:val="003715D6"/>
    <w:rsid w:val="0037166D"/>
    <w:rsid w:val="00371A70"/>
    <w:rsid w:val="00371B22"/>
    <w:rsid w:val="00371BB6"/>
    <w:rsid w:val="00371DBB"/>
    <w:rsid w:val="003721B4"/>
    <w:rsid w:val="0037220F"/>
    <w:rsid w:val="003723D4"/>
    <w:rsid w:val="003724C5"/>
    <w:rsid w:val="0037255F"/>
    <w:rsid w:val="0037258B"/>
    <w:rsid w:val="0037263B"/>
    <w:rsid w:val="0037269A"/>
    <w:rsid w:val="0037279C"/>
    <w:rsid w:val="00372808"/>
    <w:rsid w:val="003728D7"/>
    <w:rsid w:val="0037296B"/>
    <w:rsid w:val="003729B6"/>
    <w:rsid w:val="00372A06"/>
    <w:rsid w:val="00372A9B"/>
    <w:rsid w:val="00372CCC"/>
    <w:rsid w:val="00372FE8"/>
    <w:rsid w:val="0037301B"/>
    <w:rsid w:val="00373061"/>
    <w:rsid w:val="0037306D"/>
    <w:rsid w:val="0037306F"/>
    <w:rsid w:val="00373125"/>
    <w:rsid w:val="00373268"/>
    <w:rsid w:val="00373286"/>
    <w:rsid w:val="0037332A"/>
    <w:rsid w:val="003733CC"/>
    <w:rsid w:val="003734F0"/>
    <w:rsid w:val="0037380D"/>
    <w:rsid w:val="00373966"/>
    <w:rsid w:val="00373BFA"/>
    <w:rsid w:val="00373E59"/>
    <w:rsid w:val="00373F6F"/>
    <w:rsid w:val="00373F85"/>
    <w:rsid w:val="003740EF"/>
    <w:rsid w:val="00374200"/>
    <w:rsid w:val="00374314"/>
    <w:rsid w:val="00374532"/>
    <w:rsid w:val="0037467B"/>
    <w:rsid w:val="00374864"/>
    <w:rsid w:val="00374869"/>
    <w:rsid w:val="003748E2"/>
    <w:rsid w:val="00374941"/>
    <w:rsid w:val="003749B1"/>
    <w:rsid w:val="00374AC0"/>
    <w:rsid w:val="00374AC9"/>
    <w:rsid w:val="00374B27"/>
    <w:rsid w:val="00374CAF"/>
    <w:rsid w:val="00374DFE"/>
    <w:rsid w:val="00374FCA"/>
    <w:rsid w:val="00374FD3"/>
    <w:rsid w:val="003752A5"/>
    <w:rsid w:val="00375354"/>
    <w:rsid w:val="00375361"/>
    <w:rsid w:val="003753C0"/>
    <w:rsid w:val="0037548D"/>
    <w:rsid w:val="00375570"/>
    <w:rsid w:val="00375609"/>
    <w:rsid w:val="0037568B"/>
    <w:rsid w:val="00375704"/>
    <w:rsid w:val="00375824"/>
    <w:rsid w:val="00375871"/>
    <w:rsid w:val="003758A6"/>
    <w:rsid w:val="00375A3E"/>
    <w:rsid w:val="00375B41"/>
    <w:rsid w:val="00375C23"/>
    <w:rsid w:val="00375CC0"/>
    <w:rsid w:val="00375D67"/>
    <w:rsid w:val="00375E68"/>
    <w:rsid w:val="00375EFA"/>
    <w:rsid w:val="00375F2D"/>
    <w:rsid w:val="00375FCC"/>
    <w:rsid w:val="00376154"/>
    <w:rsid w:val="00376258"/>
    <w:rsid w:val="003762B1"/>
    <w:rsid w:val="00376390"/>
    <w:rsid w:val="00376391"/>
    <w:rsid w:val="00376596"/>
    <w:rsid w:val="003765C2"/>
    <w:rsid w:val="00376709"/>
    <w:rsid w:val="00376887"/>
    <w:rsid w:val="00376D47"/>
    <w:rsid w:val="00376E8E"/>
    <w:rsid w:val="00376F2F"/>
    <w:rsid w:val="00377291"/>
    <w:rsid w:val="003772BC"/>
    <w:rsid w:val="00377519"/>
    <w:rsid w:val="00377580"/>
    <w:rsid w:val="0037769F"/>
    <w:rsid w:val="00377838"/>
    <w:rsid w:val="00377B69"/>
    <w:rsid w:val="00377BC5"/>
    <w:rsid w:val="00377BDC"/>
    <w:rsid w:val="00377D0D"/>
    <w:rsid w:val="00377E36"/>
    <w:rsid w:val="00377EE8"/>
    <w:rsid w:val="00377F8E"/>
    <w:rsid w:val="00377FB2"/>
    <w:rsid w:val="00380067"/>
    <w:rsid w:val="003800AB"/>
    <w:rsid w:val="003803B4"/>
    <w:rsid w:val="0038045E"/>
    <w:rsid w:val="003805CE"/>
    <w:rsid w:val="003805D2"/>
    <w:rsid w:val="003805FC"/>
    <w:rsid w:val="003807CD"/>
    <w:rsid w:val="00380ABE"/>
    <w:rsid w:val="00380C02"/>
    <w:rsid w:val="00380C7A"/>
    <w:rsid w:val="00380D5D"/>
    <w:rsid w:val="00380E71"/>
    <w:rsid w:val="003810F1"/>
    <w:rsid w:val="00381185"/>
    <w:rsid w:val="00381331"/>
    <w:rsid w:val="0038136E"/>
    <w:rsid w:val="00381532"/>
    <w:rsid w:val="003816FC"/>
    <w:rsid w:val="00381760"/>
    <w:rsid w:val="003819A2"/>
    <w:rsid w:val="003819B5"/>
    <w:rsid w:val="00381A95"/>
    <w:rsid w:val="00381D5A"/>
    <w:rsid w:val="00381D70"/>
    <w:rsid w:val="00381DBD"/>
    <w:rsid w:val="00381EEC"/>
    <w:rsid w:val="00381F79"/>
    <w:rsid w:val="00382110"/>
    <w:rsid w:val="0038219F"/>
    <w:rsid w:val="003824EB"/>
    <w:rsid w:val="00382613"/>
    <w:rsid w:val="0038261C"/>
    <w:rsid w:val="003827FA"/>
    <w:rsid w:val="00382871"/>
    <w:rsid w:val="003828AE"/>
    <w:rsid w:val="003829ED"/>
    <w:rsid w:val="003829F6"/>
    <w:rsid w:val="00382A17"/>
    <w:rsid w:val="00382A5A"/>
    <w:rsid w:val="00382C3B"/>
    <w:rsid w:val="00382DA5"/>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D0"/>
    <w:rsid w:val="00383AFF"/>
    <w:rsid w:val="00383CD9"/>
    <w:rsid w:val="00383D43"/>
    <w:rsid w:val="00383DA1"/>
    <w:rsid w:val="00383DD1"/>
    <w:rsid w:val="00383E33"/>
    <w:rsid w:val="0038402F"/>
    <w:rsid w:val="003840AA"/>
    <w:rsid w:val="003840AD"/>
    <w:rsid w:val="00384301"/>
    <w:rsid w:val="003843DC"/>
    <w:rsid w:val="0038441B"/>
    <w:rsid w:val="00384537"/>
    <w:rsid w:val="00384568"/>
    <w:rsid w:val="003846F6"/>
    <w:rsid w:val="003848EE"/>
    <w:rsid w:val="003849B6"/>
    <w:rsid w:val="00384DCF"/>
    <w:rsid w:val="00384FC4"/>
    <w:rsid w:val="00385016"/>
    <w:rsid w:val="00385199"/>
    <w:rsid w:val="003853A0"/>
    <w:rsid w:val="003853CB"/>
    <w:rsid w:val="003855EC"/>
    <w:rsid w:val="003856C6"/>
    <w:rsid w:val="003856E3"/>
    <w:rsid w:val="0038574E"/>
    <w:rsid w:val="00385861"/>
    <w:rsid w:val="00385B04"/>
    <w:rsid w:val="00385B0F"/>
    <w:rsid w:val="00385C13"/>
    <w:rsid w:val="00385D0E"/>
    <w:rsid w:val="00385D6D"/>
    <w:rsid w:val="00386056"/>
    <w:rsid w:val="003860BE"/>
    <w:rsid w:val="00386247"/>
    <w:rsid w:val="00386426"/>
    <w:rsid w:val="003864EB"/>
    <w:rsid w:val="003864F5"/>
    <w:rsid w:val="003865A5"/>
    <w:rsid w:val="003865AA"/>
    <w:rsid w:val="003865F6"/>
    <w:rsid w:val="00386600"/>
    <w:rsid w:val="0038670A"/>
    <w:rsid w:val="00386714"/>
    <w:rsid w:val="00386757"/>
    <w:rsid w:val="0038692A"/>
    <w:rsid w:val="00386956"/>
    <w:rsid w:val="00386D19"/>
    <w:rsid w:val="00386DF9"/>
    <w:rsid w:val="00386EAF"/>
    <w:rsid w:val="00386F20"/>
    <w:rsid w:val="00386FDF"/>
    <w:rsid w:val="00386FE5"/>
    <w:rsid w:val="00387132"/>
    <w:rsid w:val="00387215"/>
    <w:rsid w:val="00387230"/>
    <w:rsid w:val="00387282"/>
    <w:rsid w:val="0038740D"/>
    <w:rsid w:val="003875C5"/>
    <w:rsid w:val="00387671"/>
    <w:rsid w:val="00387739"/>
    <w:rsid w:val="00387765"/>
    <w:rsid w:val="0038790C"/>
    <w:rsid w:val="00387980"/>
    <w:rsid w:val="00387AAF"/>
    <w:rsid w:val="00387C36"/>
    <w:rsid w:val="00387C44"/>
    <w:rsid w:val="00387C53"/>
    <w:rsid w:val="00387D04"/>
    <w:rsid w:val="00387D93"/>
    <w:rsid w:val="0039003D"/>
    <w:rsid w:val="00390332"/>
    <w:rsid w:val="0039042E"/>
    <w:rsid w:val="0039048E"/>
    <w:rsid w:val="00390589"/>
    <w:rsid w:val="003905F8"/>
    <w:rsid w:val="00390899"/>
    <w:rsid w:val="00390965"/>
    <w:rsid w:val="003909E9"/>
    <w:rsid w:val="00390ADD"/>
    <w:rsid w:val="00390C1A"/>
    <w:rsid w:val="00390CC8"/>
    <w:rsid w:val="00390DD7"/>
    <w:rsid w:val="00390F11"/>
    <w:rsid w:val="00391215"/>
    <w:rsid w:val="00391232"/>
    <w:rsid w:val="0039128C"/>
    <w:rsid w:val="00391311"/>
    <w:rsid w:val="0039136C"/>
    <w:rsid w:val="00391395"/>
    <w:rsid w:val="003913E5"/>
    <w:rsid w:val="00391486"/>
    <w:rsid w:val="0039188B"/>
    <w:rsid w:val="003918F3"/>
    <w:rsid w:val="0039191C"/>
    <w:rsid w:val="0039193F"/>
    <w:rsid w:val="00391AE0"/>
    <w:rsid w:val="00391E55"/>
    <w:rsid w:val="00392031"/>
    <w:rsid w:val="00392034"/>
    <w:rsid w:val="0039221E"/>
    <w:rsid w:val="003922DA"/>
    <w:rsid w:val="0039238E"/>
    <w:rsid w:val="00392750"/>
    <w:rsid w:val="003927EE"/>
    <w:rsid w:val="00392951"/>
    <w:rsid w:val="00392A47"/>
    <w:rsid w:val="00392A4D"/>
    <w:rsid w:val="00392A9B"/>
    <w:rsid w:val="00392C83"/>
    <w:rsid w:val="00392C92"/>
    <w:rsid w:val="00392DF2"/>
    <w:rsid w:val="00392EAC"/>
    <w:rsid w:val="00392ED1"/>
    <w:rsid w:val="00392EE5"/>
    <w:rsid w:val="00392FE7"/>
    <w:rsid w:val="003930F9"/>
    <w:rsid w:val="00393109"/>
    <w:rsid w:val="00393131"/>
    <w:rsid w:val="00393275"/>
    <w:rsid w:val="00393493"/>
    <w:rsid w:val="00393680"/>
    <w:rsid w:val="00393813"/>
    <w:rsid w:val="00393824"/>
    <w:rsid w:val="00393BCC"/>
    <w:rsid w:val="00393D58"/>
    <w:rsid w:val="00393DCD"/>
    <w:rsid w:val="00393E26"/>
    <w:rsid w:val="00393FD5"/>
    <w:rsid w:val="00393FEF"/>
    <w:rsid w:val="00394109"/>
    <w:rsid w:val="0039464D"/>
    <w:rsid w:val="00394732"/>
    <w:rsid w:val="0039473C"/>
    <w:rsid w:val="0039478A"/>
    <w:rsid w:val="003949E2"/>
    <w:rsid w:val="00394B46"/>
    <w:rsid w:val="00394C45"/>
    <w:rsid w:val="00394F69"/>
    <w:rsid w:val="00395078"/>
    <w:rsid w:val="00395119"/>
    <w:rsid w:val="00395164"/>
    <w:rsid w:val="003951EF"/>
    <w:rsid w:val="00395282"/>
    <w:rsid w:val="00395328"/>
    <w:rsid w:val="003953C1"/>
    <w:rsid w:val="003954F2"/>
    <w:rsid w:val="0039557E"/>
    <w:rsid w:val="003955F6"/>
    <w:rsid w:val="0039574F"/>
    <w:rsid w:val="003959DD"/>
    <w:rsid w:val="00395C35"/>
    <w:rsid w:val="00395C56"/>
    <w:rsid w:val="00395CD5"/>
    <w:rsid w:val="00395F5C"/>
    <w:rsid w:val="00395F91"/>
    <w:rsid w:val="00395FE8"/>
    <w:rsid w:val="00396726"/>
    <w:rsid w:val="00396905"/>
    <w:rsid w:val="003969BE"/>
    <w:rsid w:val="003969F9"/>
    <w:rsid w:val="00396CF4"/>
    <w:rsid w:val="00396D06"/>
    <w:rsid w:val="00397072"/>
    <w:rsid w:val="00397168"/>
    <w:rsid w:val="00397336"/>
    <w:rsid w:val="00397497"/>
    <w:rsid w:val="003974F5"/>
    <w:rsid w:val="003975E4"/>
    <w:rsid w:val="00397748"/>
    <w:rsid w:val="0039788E"/>
    <w:rsid w:val="003978BE"/>
    <w:rsid w:val="003979A5"/>
    <w:rsid w:val="003979D3"/>
    <w:rsid w:val="00397CC1"/>
    <w:rsid w:val="00397D20"/>
    <w:rsid w:val="00397E73"/>
    <w:rsid w:val="00397E96"/>
    <w:rsid w:val="00397EAE"/>
    <w:rsid w:val="00397F1C"/>
    <w:rsid w:val="003A013F"/>
    <w:rsid w:val="003A037D"/>
    <w:rsid w:val="003A049B"/>
    <w:rsid w:val="003A0860"/>
    <w:rsid w:val="003A08E7"/>
    <w:rsid w:val="003A0B93"/>
    <w:rsid w:val="003A0C6A"/>
    <w:rsid w:val="003A0D97"/>
    <w:rsid w:val="003A0DCA"/>
    <w:rsid w:val="003A0DCC"/>
    <w:rsid w:val="003A0F87"/>
    <w:rsid w:val="003A0FCD"/>
    <w:rsid w:val="003A10CB"/>
    <w:rsid w:val="003A10DE"/>
    <w:rsid w:val="003A1231"/>
    <w:rsid w:val="003A1288"/>
    <w:rsid w:val="003A16A1"/>
    <w:rsid w:val="003A16CB"/>
    <w:rsid w:val="003A16CD"/>
    <w:rsid w:val="003A1768"/>
    <w:rsid w:val="003A1C18"/>
    <w:rsid w:val="003A2290"/>
    <w:rsid w:val="003A24DD"/>
    <w:rsid w:val="003A27B9"/>
    <w:rsid w:val="003A2926"/>
    <w:rsid w:val="003A2A71"/>
    <w:rsid w:val="003A2B3A"/>
    <w:rsid w:val="003A2BDB"/>
    <w:rsid w:val="003A2F5B"/>
    <w:rsid w:val="003A310A"/>
    <w:rsid w:val="003A31E3"/>
    <w:rsid w:val="003A3298"/>
    <w:rsid w:val="003A3535"/>
    <w:rsid w:val="003A37DA"/>
    <w:rsid w:val="003A38E5"/>
    <w:rsid w:val="003A397B"/>
    <w:rsid w:val="003A3ACD"/>
    <w:rsid w:val="003A3AEE"/>
    <w:rsid w:val="003A3D91"/>
    <w:rsid w:val="003A3DFD"/>
    <w:rsid w:val="003A3E8A"/>
    <w:rsid w:val="003A3EB7"/>
    <w:rsid w:val="003A406E"/>
    <w:rsid w:val="003A4199"/>
    <w:rsid w:val="003A4306"/>
    <w:rsid w:val="003A43ED"/>
    <w:rsid w:val="003A44B2"/>
    <w:rsid w:val="003A458F"/>
    <w:rsid w:val="003A459E"/>
    <w:rsid w:val="003A46EA"/>
    <w:rsid w:val="003A481E"/>
    <w:rsid w:val="003A4836"/>
    <w:rsid w:val="003A4924"/>
    <w:rsid w:val="003A4A1A"/>
    <w:rsid w:val="003A4A41"/>
    <w:rsid w:val="003A4C13"/>
    <w:rsid w:val="003A4DBC"/>
    <w:rsid w:val="003A4E49"/>
    <w:rsid w:val="003A4F96"/>
    <w:rsid w:val="003A507E"/>
    <w:rsid w:val="003A5099"/>
    <w:rsid w:val="003A5199"/>
    <w:rsid w:val="003A52BD"/>
    <w:rsid w:val="003A5505"/>
    <w:rsid w:val="003A56A7"/>
    <w:rsid w:val="003A56E4"/>
    <w:rsid w:val="003A587F"/>
    <w:rsid w:val="003A58C6"/>
    <w:rsid w:val="003A592A"/>
    <w:rsid w:val="003A5A85"/>
    <w:rsid w:val="003A5B09"/>
    <w:rsid w:val="003A5BEE"/>
    <w:rsid w:val="003A5E23"/>
    <w:rsid w:val="003A5F59"/>
    <w:rsid w:val="003A6070"/>
    <w:rsid w:val="003A611E"/>
    <w:rsid w:val="003A6235"/>
    <w:rsid w:val="003A6253"/>
    <w:rsid w:val="003A62C5"/>
    <w:rsid w:val="003A62FC"/>
    <w:rsid w:val="003A63AD"/>
    <w:rsid w:val="003A63CD"/>
    <w:rsid w:val="003A63F7"/>
    <w:rsid w:val="003A6486"/>
    <w:rsid w:val="003A66B1"/>
    <w:rsid w:val="003A6AFC"/>
    <w:rsid w:val="003A6E66"/>
    <w:rsid w:val="003A6EA7"/>
    <w:rsid w:val="003A6F8E"/>
    <w:rsid w:val="003A70B6"/>
    <w:rsid w:val="003A72E3"/>
    <w:rsid w:val="003A73C3"/>
    <w:rsid w:val="003A740F"/>
    <w:rsid w:val="003A758E"/>
    <w:rsid w:val="003A75D3"/>
    <w:rsid w:val="003A76B1"/>
    <w:rsid w:val="003A76C0"/>
    <w:rsid w:val="003A7B12"/>
    <w:rsid w:val="003A7BC5"/>
    <w:rsid w:val="003A7BE2"/>
    <w:rsid w:val="003A7CE5"/>
    <w:rsid w:val="003A7D85"/>
    <w:rsid w:val="003A7D92"/>
    <w:rsid w:val="003A7E52"/>
    <w:rsid w:val="003A7F56"/>
    <w:rsid w:val="003A7F9C"/>
    <w:rsid w:val="003B00A7"/>
    <w:rsid w:val="003B0149"/>
    <w:rsid w:val="003B015E"/>
    <w:rsid w:val="003B0296"/>
    <w:rsid w:val="003B045A"/>
    <w:rsid w:val="003B0559"/>
    <w:rsid w:val="003B06E0"/>
    <w:rsid w:val="003B091C"/>
    <w:rsid w:val="003B09BD"/>
    <w:rsid w:val="003B0C5A"/>
    <w:rsid w:val="003B0CC8"/>
    <w:rsid w:val="003B0D96"/>
    <w:rsid w:val="003B0DD8"/>
    <w:rsid w:val="003B0EC0"/>
    <w:rsid w:val="003B0EC5"/>
    <w:rsid w:val="003B1052"/>
    <w:rsid w:val="003B1397"/>
    <w:rsid w:val="003B13A8"/>
    <w:rsid w:val="003B141C"/>
    <w:rsid w:val="003B1488"/>
    <w:rsid w:val="003B16D1"/>
    <w:rsid w:val="003B1909"/>
    <w:rsid w:val="003B190C"/>
    <w:rsid w:val="003B1C7C"/>
    <w:rsid w:val="003B1D19"/>
    <w:rsid w:val="003B1EC0"/>
    <w:rsid w:val="003B2630"/>
    <w:rsid w:val="003B2701"/>
    <w:rsid w:val="003B2A06"/>
    <w:rsid w:val="003B2A91"/>
    <w:rsid w:val="003B2C22"/>
    <w:rsid w:val="003B2CA1"/>
    <w:rsid w:val="003B2D3E"/>
    <w:rsid w:val="003B2D6C"/>
    <w:rsid w:val="003B2E4E"/>
    <w:rsid w:val="003B2E8C"/>
    <w:rsid w:val="003B2ED4"/>
    <w:rsid w:val="003B2FF8"/>
    <w:rsid w:val="003B30FB"/>
    <w:rsid w:val="003B314C"/>
    <w:rsid w:val="003B329F"/>
    <w:rsid w:val="003B33D2"/>
    <w:rsid w:val="003B3496"/>
    <w:rsid w:val="003B35AC"/>
    <w:rsid w:val="003B3606"/>
    <w:rsid w:val="003B3787"/>
    <w:rsid w:val="003B37CF"/>
    <w:rsid w:val="003B3835"/>
    <w:rsid w:val="003B38FA"/>
    <w:rsid w:val="003B395F"/>
    <w:rsid w:val="003B3A14"/>
    <w:rsid w:val="003B3B14"/>
    <w:rsid w:val="003B3BC7"/>
    <w:rsid w:val="003B3C7E"/>
    <w:rsid w:val="003B3CE8"/>
    <w:rsid w:val="003B3F2F"/>
    <w:rsid w:val="003B4041"/>
    <w:rsid w:val="003B41E4"/>
    <w:rsid w:val="003B4277"/>
    <w:rsid w:val="003B4439"/>
    <w:rsid w:val="003B4492"/>
    <w:rsid w:val="003B45EC"/>
    <w:rsid w:val="003B4601"/>
    <w:rsid w:val="003B49C7"/>
    <w:rsid w:val="003B4A05"/>
    <w:rsid w:val="003B4A6C"/>
    <w:rsid w:val="003B4F8C"/>
    <w:rsid w:val="003B5024"/>
    <w:rsid w:val="003B5185"/>
    <w:rsid w:val="003B51F9"/>
    <w:rsid w:val="003B5207"/>
    <w:rsid w:val="003B5256"/>
    <w:rsid w:val="003B53F7"/>
    <w:rsid w:val="003B5606"/>
    <w:rsid w:val="003B5651"/>
    <w:rsid w:val="003B5688"/>
    <w:rsid w:val="003B5B6F"/>
    <w:rsid w:val="003B5B98"/>
    <w:rsid w:val="003B5C14"/>
    <w:rsid w:val="003B5DA4"/>
    <w:rsid w:val="003B5FC9"/>
    <w:rsid w:val="003B607A"/>
    <w:rsid w:val="003B612A"/>
    <w:rsid w:val="003B6178"/>
    <w:rsid w:val="003B61FA"/>
    <w:rsid w:val="003B6286"/>
    <w:rsid w:val="003B636D"/>
    <w:rsid w:val="003B6385"/>
    <w:rsid w:val="003B66FF"/>
    <w:rsid w:val="003B6A61"/>
    <w:rsid w:val="003B6A7F"/>
    <w:rsid w:val="003B6AAE"/>
    <w:rsid w:val="003B6C33"/>
    <w:rsid w:val="003B6E26"/>
    <w:rsid w:val="003B6E4B"/>
    <w:rsid w:val="003B6EAD"/>
    <w:rsid w:val="003B6ED7"/>
    <w:rsid w:val="003B716A"/>
    <w:rsid w:val="003B734E"/>
    <w:rsid w:val="003B73A8"/>
    <w:rsid w:val="003B76A9"/>
    <w:rsid w:val="003B76C4"/>
    <w:rsid w:val="003B784B"/>
    <w:rsid w:val="003B78AC"/>
    <w:rsid w:val="003B7947"/>
    <w:rsid w:val="003B7AC5"/>
    <w:rsid w:val="003B7B7C"/>
    <w:rsid w:val="003B7CE0"/>
    <w:rsid w:val="003B7CF1"/>
    <w:rsid w:val="003B7DFF"/>
    <w:rsid w:val="003B7F0E"/>
    <w:rsid w:val="003C00DF"/>
    <w:rsid w:val="003C0271"/>
    <w:rsid w:val="003C03B8"/>
    <w:rsid w:val="003C05AF"/>
    <w:rsid w:val="003C0642"/>
    <w:rsid w:val="003C0657"/>
    <w:rsid w:val="003C081B"/>
    <w:rsid w:val="003C08A2"/>
    <w:rsid w:val="003C08BA"/>
    <w:rsid w:val="003C0A15"/>
    <w:rsid w:val="003C0AF4"/>
    <w:rsid w:val="003C0B05"/>
    <w:rsid w:val="003C0B23"/>
    <w:rsid w:val="003C0C3D"/>
    <w:rsid w:val="003C0C74"/>
    <w:rsid w:val="003C0C82"/>
    <w:rsid w:val="003C0D76"/>
    <w:rsid w:val="003C1047"/>
    <w:rsid w:val="003C113C"/>
    <w:rsid w:val="003C11E4"/>
    <w:rsid w:val="003C15D0"/>
    <w:rsid w:val="003C174C"/>
    <w:rsid w:val="003C17AB"/>
    <w:rsid w:val="003C187D"/>
    <w:rsid w:val="003C1911"/>
    <w:rsid w:val="003C19B3"/>
    <w:rsid w:val="003C1B24"/>
    <w:rsid w:val="003C1B3D"/>
    <w:rsid w:val="003C1D23"/>
    <w:rsid w:val="003C1E2A"/>
    <w:rsid w:val="003C1EF5"/>
    <w:rsid w:val="003C1F09"/>
    <w:rsid w:val="003C1F54"/>
    <w:rsid w:val="003C231E"/>
    <w:rsid w:val="003C23BE"/>
    <w:rsid w:val="003C2432"/>
    <w:rsid w:val="003C2451"/>
    <w:rsid w:val="003C2465"/>
    <w:rsid w:val="003C2537"/>
    <w:rsid w:val="003C26F0"/>
    <w:rsid w:val="003C297A"/>
    <w:rsid w:val="003C299A"/>
    <w:rsid w:val="003C2A86"/>
    <w:rsid w:val="003C2AE7"/>
    <w:rsid w:val="003C2CB7"/>
    <w:rsid w:val="003C2D18"/>
    <w:rsid w:val="003C2DB8"/>
    <w:rsid w:val="003C2E44"/>
    <w:rsid w:val="003C2F63"/>
    <w:rsid w:val="003C306C"/>
    <w:rsid w:val="003C307E"/>
    <w:rsid w:val="003C31BD"/>
    <w:rsid w:val="003C322D"/>
    <w:rsid w:val="003C33CE"/>
    <w:rsid w:val="003C34E8"/>
    <w:rsid w:val="003C3622"/>
    <w:rsid w:val="003C368B"/>
    <w:rsid w:val="003C3711"/>
    <w:rsid w:val="003C372F"/>
    <w:rsid w:val="003C37E2"/>
    <w:rsid w:val="003C3B57"/>
    <w:rsid w:val="003C3B85"/>
    <w:rsid w:val="003C3BCB"/>
    <w:rsid w:val="003C3C58"/>
    <w:rsid w:val="003C3D33"/>
    <w:rsid w:val="003C3DB3"/>
    <w:rsid w:val="003C3E1C"/>
    <w:rsid w:val="003C3EA1"/>
    <w:rsid w:val="003C3F1B"/>
    <w:rsid w:val="003C3F7C"/>
    <w:rsid w:val="003C3F9A"/>
    <w:rsid w:val="003C443D"/>
    <w:rsid w:val="003C45C6"/>
    <w:rsid w:val="003C4672"/>
    <w:rsid w:val="003C47A6"/>
    <w:rsid w:val="003C47DE"/>
    <w:rsid w:val="003C47FB"/>
    <w:rsid w:val="003C4862"/>
    <w:rsid w:val="003C4870"/>
    <w:rsid w:val="003C48FB"/>
    <w:rsid w:val="003C49C5"/>
    <w:rsid w:val="003C4A22"/>
    <w:rsid w:val="003C4C27"/>
    <w:rsid w:val="003C4C63"/>
    <w:rsid w:val="003C4D05"/>
    <w:rsid w:val="003C4D68"/>
    <w:rsid w:val="003C4E1C"/>
    <w:rsid w:val="003C4F32"/>
    <w:rsid w:val="003C5032"/>
    <w:rsid w:val="003C5150"/>
    <w:rsid w:val="003C51C9"/>
    <w:rsid w:val="003C52DA"/>
    <w:rsid w:val="003C53CD"/>
    <w:rsid w:val="003C5403"/>
    <w:rsid w:val="003C544E"/>
    <w:rsid w:val="003C5621"/>
    <w:rsid w:val="003C5849"/>
    <w:rsid w:val="003C58AE"/>
    <w:rsid w:val="003C58E0"/>
    <w:rsid w:val="003C595B"/>
    <w:rsid w:val="003C59EE"/>
    <w:rsid w:val="003C5A4F"/>
    <w:rsid w:val="003C5C62"/>
    <w:rsid w:val="003C5CB7"/>
    <w:rsid w:val="003C5D06"/>
    <w:rsid w:val="003C5DC9"/>
    <w:rsid w:val="003C5F67"/>
    <w:rsid w:val="003C6084"/>
    <w:rsid w:val="003C612A"/>
    <w:rsid w:val="003C6249"/>
    <w:rsid w:val="003C636E"/>
    <w:rsid w:val="003C63F6"/>
    <w:rsid w:val="003C64EF"/>
    <w:rsid w:val="003C65EE"/>
    <w:rsid w:val="003C662B"/>
    <w:rsid w:val="003C6665"/>
    <w:rsid w:val="003C67DC"/>
    <w:rsid w:val="003C68CE"/>
    <w:rsid w:val="003C68F8"/>
    <w:rsid w:val="003C6A15"/>
    <w:rsid w:val="003C6A7D"/>
    <w:rsid w:val="003C6B0F"/>
    <w:rsid w:val="003C6D82"/>
    <w:rsid w:val="003C6EC9"/>
    <w:rsid w:val="003C6F6F"/>
    <w:rsid w:val="003C6F98"/>
    <w:rsid w:val="003C7050"/>
    <w:rsid w:val="003C7362"/>
    <w:rsid w:val="003C740B"/>
    <w:rsid w:val="003C743E"/>
    <w:rsid w:val="003C7632"/>
    <w:rsid w:val="003C775F"/>
    <w:rsid w:val="003C77EA"/>
    <w:rsid w:val="003C7A3A"/>
    <w:rsid w:val="003C7B93"/>
    <w:rsid w:val="003C7C3B"/>
    <w:rsid w:val="003C7C79"/>
    <w:rsid w:val="003C7CE7"/>
    <w:rsid w:val="003C7D1C"/>
    <w:rsid w:val="003C7D32"/>
    <w:rsid w:val="003C7D4D"/>
    <w:rsid w:val="003C7EBD"/>
    <w:rsid w:val="003D0125"/>
    <w:rsid w:val="003D0239"/>
    <w:rsid w:val="003D024D"/>
    <w:rsid w:val="003D0604"/>
    <w:rsid w:val="003D07DA"/>
    <w:rsid w:val="003D07F1"/>
    <w:rsid w:val="003D08E2"/>
    <w:rsid w:val="003D0936"/>
    <w:rsid w:val="003D097E"/>
    <w:rsid w:val="003D0A57"/>
    <w:rsid w:val="003D0A7E"/>
    <w:rsid w:val="003D0AFD"/>
    <w:rsid w:val="003D0BC6"/>
    <w:rsid w:val="003D0BDA"/>
    <w:rsid w:val="003D0C9B"/>
    <w:rsid w:val="003D0CC9"/>
    <w:rsid w:val="003D0D99"/>
    <w:rsid w:val="003D0DF0"/>
    <w:rsid w:val="003D0E67"/>
    <w:rsid w:val="003D1024"/>
    <w:rsid w:val="003D1059"/>
    <w:rsid w:val="003D10BD"/>
    <w:rsid w:val="003D10CA"/>
    <w:rsid w:val="003D10DA"/>
    <w:rsid w:val="003D1147"/>
    <w:rsid w:val="003D1270"/>
    <w:rsid w:val="003D142E"/>
    <w:rsid w:val="003D1470"/>
    <w:rsid w:val="003D1754"/>
    <w:rsid w:val="003D193F"/>
    <w:rsid w:val="003D1B8B"/>
    <w:rsid w:val="003D1D7D"/>
    <w:rsid w:val="003D1DB5"/>
    <w:rsid w:val="003D1F63"/>
    <w:rsid w:val="003D22B6"/>
    <w:rsid w:val="003D22CF"/>
    <w:rsid w:val="003D23E3"/>
    <w:rsid w:val="003D24AD"/>
    <w:rsid w:val="003D25B1"/>
    <w:rsid w:val="003D25B8"/>
    <w:rsid w:val="003D271D"/>
    <w:rsid w:val="003D29CF"/>
    <w:rsid w:val="003D29FC"/>
    <w:rsid w:val="003D2A3C"/>
    <w:rsid w:val="003D2A92"/>
    <w:rsid w:val="003D2B3A"/>
    <w:rsid w:val="003D2BD9"/>
    <w:rsid w:val="003D2D93"/>
    <w:rsid w:val="003D2F9E"/>
    <w:rsid w:val="003D3136"/>
    <w:rsid w:val="003D3193"/>
    <w:rsid w:val="003D321F"/>
    <w:rsid w:val="003D3225"/>
    <w:rsid w:val="003D33D8"/>
    <w:rsid w:val="003D347A"/>
    <w:rsid w:val="003D3718"/>
    <w:rsid w:val="003D3823"/>
    <w:rsid w:val="003D3877"/>
    <w:rsid w:val="003D388B"/>
    <w:rsid w:val="003D3B35"/>
    <w:rsid w:val="003D3B84"/>
    <w:rsid w:val="003D3BD2"/>
    <w:rsid w:val="003D3CD8"/>
    <w:rsid w:val="003D3E9F"/>
    <w:rsid w:val="003D3EC7"/>
    <w:rsid w:val="003D3FE1"/>
    <w:rsid w:val="003D4075"/>
    <w:rsid w:val="003D4194"/>
    <w:rsid w:val="003D428A"/>
    <w:rsid w:val="003D430F"/>
    <w:rsid w:val="003D43A6"/>
    <w:rsid w:val="003D43DE"/>
    <w:rsid w:val="003D4498"/>
    <w:rsid w:val="003D482C"/>
    <w:rsid w:val="003D4886"/>
    <w:rsid w:val="003D48E2"/>
    <w:rsid w:val="003D4A2F"/>
    <w:rsid w:val="003D4A6B"/>
    <w:rsid w:val="003D4B9D"/>
    <w:rsid w:val="003D4CD1"/>
    <w:rsid w:val="003D4CE2"/>
    <w:rsid w:val="003D4D59"/>
    <w:rsid w:val="003D5110"/>
    <w:rsid w:val="003D549B"/>
    <w:rsid w:val="003D55A0"/>
    <w:rsid w:val="003D55C7"/>
    <w:rsid w:val="003D57AF"/>
    <w:rsid w:val="003D589E"/>
    <w:rsid w:val="003D5A82"/>
    <w:rsid w:val="003D5B9B"/>
    <w:rsid w:val="003D5D5F"/>
    <w:rsid w:val="003D609B"/>
    <w:rsid w:val="003D61BC"/>
    <w:rsid w:val="003D6291"/>
    <w:rsid w:val="003D6341"/>
    <w:rsid w:val="003D63A0"/>
    <w:rsid w:val="003D6406"/>
    <w:rsid w:val="003D65FF"/>
    <w:rsid w:val="003D662C"/>
    <w:rsid w:val="003D6736"/>
    <w:rsid w:val="003D697A"/>
    <w:rsid w:val="003D6A30"/>
    <w:rsid w:val="003D6BD0"/>
    <w:rsid w:val="003D6DC5"/>
    <w:rsid w:val="003D704E"/>
    <w:rsid w:val="003D70C4"/>
    <w:rsid w:val="003D714C"/>
    <w:rsid w:val="003D71C3"/>
    <w:rsid w:val="003D745D"/>
    <w:rsid w:val="003D7533"/>
    <w:rsid w:val="003D75D2"/>
    <w:rsid w:val="003D7633"/>
    <w:rsid w:val="003D768C"/>
    <w:rsid w:val="003D7710"/>
    <w:rsid w:val="003D79E3"/>
    <w:rsid w:val="003D7A42"/>
    <w:rsid w:val="003D7A68"/>
    <w:rsid w:val="003D7B29"/>
    <w:rsid w:val="003D7D47"/>
    <w:rsid w:val="003D7D5D"/>
    <w:rsid w:val="003D7D8D"/>
    <w:rsid w:val="003D7E92"/>
    <w:rsid w:val="003D7F17"/>
    <w:rsid w:val="003E00AE"/>
    <w:rsid w:val="003E0154"/>
    <w:rsid w:val="003E0204"/>
    <w:rsid w:val="003E024D"/>
    <w:rsid w:val="003E04A6"/>
    <w:rsid w:val="003E04FB"/>
    <w:rsid w:val="003E08EC"/>
    <w:rsid w:val="003E08EE"/>
    <w:rsid w:val="003E0918"/>
    <w:rsid w:val="003E0A1A"/>
    <w:rsid w:val="003E0A53"/>
    <w:rsid w:val="003E0BA4"/>
    <w:rsid w:val="003E0D0E"/>
    <w:rsid w:val="003E0D11"/>
    <w:rsid w:val="003E0E1A"/>
    <w:rsid w:val="003E1165"/>
    <w:rsid w:val="003E11F0"/>
    <w:rsid w:val="003E1362"/>
    <w:rsid w:val="003E14F2"/>
    <w:rsid w:val="003E152E"/>
    <w:rsid w:val="003E16A3"/>
    <w:rsid w:val="003E16D3"/>
    <w:rsid w:val="003E1786"/>
    <w:rsid w:val="003E1800"/>
    <w:rsid w:val="003E18C9"/>
    <w:rsid w:val="003E197C"/>
    <w:rsid w:val="003E19C6"/>
    <w:rsid w:val="003E1B01"/>
    <w:rsid w:val="003E1B3D"/>
    <w:rsid w:val="003E1B4F"/>
    <w:rsid w:val="003E1C8B"/>
    <w:rsid w:val="003E1EBF"/>
    <w:rsid w:val="003E1FED"/>
    <w:rsid w:val="003E2026"/>
    <w:rsid w:val="003E20EB"/>
    <w:rsid w:val="003E2145"/>
    <w:rsid w:val="003E22EC"/>
    <w:rsid w:val="003E24DF"/>
    <w:rsid w:val="003E263D"/>
    <w:rsid w:val="003E27C0"/>
    <w:rsid w:val="003E2981"/>
    <w:rsid w:val="003E2A7E"/>
    <w:rsid w:val="003E2ACC"/>
    <w:rsid w:val="003E305B"/>
    <w:rsid w:val="003E3170"/>
    <w:rsid w:val="003E321B"/>
    <w:rsid w:val="003E3327"/>
    <w:rsid w:val="003E35B7"/>
    <w:rsid w:val="003E35E5"/>
    <w:rsid w:val="003E37F3"/>
    <w:rsid w:val="003E3936"/>
    <w:rsid w:val="003E3A8B"/>
    <w:rsid w:val="003E3AAC"/>
    <w:rsid w:val="003E3B1A"/>
    <w:rsid w:val="003E3B21"/>
    <w:rsid w:val="003E3B5E"/>
    <w:rsid w:val="003E3E25"/>
    <w:rsid w:val="003E3EFD"/>
    <w:rsid w:val="003E3FA3"/>
    <w:rsid w:val="003E4014"/>
    <w:rsid w:val="003E40D6"/>
    <w:rsid w:val="003E4125"/>
    <w:rsid w:val="003E423B"/>
    <w:rsid w:val="003E44E1"/>
    <w:rsid w:val="003E4511"/>
    <w:rsid w:val="003E462D"/>
    <w:rsid w:val="003E46CC"/>
    <w:rsid w:val="003E46ED"/>
    <w:rsid w:val="003E4913"/>
    <w:rsid w:val="003E49DA"/>
    <w:rsid w:val="003E4A42"/>
    <w:rsid w:val="003E4B07"/>
    <w:rsid w:val="003E4E1D"/>
    <w:rsid w:val="003E4E77"/>
    <w:rsid w:val="003E52B0"/>
    <w:rsid w:val="003E52D0"/>
    <w:rsid w:val="003E52F0"/>
    <w:rsid w:val="003E5312"/>
    <w:rsid w:val="003E53B0"/>
    <w:rsid w:val="003E5428"/>
    <w:rsid w:val="003E555C"/>
    <w:rsid w:val="003E5610"/>
    <w:rsid w:val="003E57A7"/>
    <w:rsid w:val="003E5831"/>
    <w:rsid w:val="003E597E"/>
    <w:rsid w:val="003E5B5C"/>
    <w:rsid w:val="003E5BD0"/>
    <w:rsid w:val="003E5CBB"/>
    <w:rsid w:val="003E5E12"/>
    <w:rsid w:val="003E5E76"/>
    <w:rsid w:val="003E5EE3"/>
    <w:rsid w:val="003E60CB"/>
    <w:rsid w:val="003E60F7"/>
    <w:rsid w:val="003E6110"/>
    <w:rsid w:val="003E61AC"/>
    <w:rsid w:val="003E63B9"/>
    <w:rsid w:val="003E63D1"/>
    <w:rsid w:val="003E63E5"/>
    <w:rsid w:val="003E6460"/>
    <w:rsid w:val="003E652A"/>
    <w:rsid w:val="003E65D8"/>
    <w:rsid w:val="003E660B"/>
    <w:rsid w:val="003E6667"/>
    <w:rsid w:val="003E673A"/>
    <w:rsid w:val="003E6942"/>
    <w:rsid w:val="003E6B19"/>
    <w:rsid w:val="003E6DA4"/>
    <w:rsid w:val="003E713C"/>
    <w:rsid w:val="003E727B"/>
    <w:rsid w:val="003E7326"/>
    <w:rsid w:val="003E74AE"/>
    <w:rsid w:val="003E761A"/>
    <w:rsid w:val="003E76FB"/>
    <w:rsid w:val="003E7749"/>
    <w:rsid w:val="003E7A05"/>
    <w:rsid w:val="003E7B7E"/>
    <w:rsid w:val="003E7C66"/>
    <w:rsid w:val="003E7C74"/>
    <w:rsid w:val="003E7E82"/>
    <w:rsid w:val="003E7EE5"/>
    <w:rsid w:val="003E7F5F"/>
    <w:rsid w:val="003E7FF7"/>
    <w:rsid w:val="003F009A"/>
    <w:rsid w:val="003F00B3"/>
    <w:rsid w:val="003F0277"/>
    <w:rsid w:val="003F02E9"/>
    <w:rsid w:val="003F0448"/>
    <w:rsid w:val="003F05C1"/>
    <w:rsid w:val="003F0718"/>
    <w:rsid w:val="003F0889"/>
    <w:rsid w:val="003F0A06"/>
    <w:rsid w:val="003F0A75"/>
    <w:rsid w:val="003F0BAF"/>
    <w:rsid w:val="003F0C09"/>
    <w:rsid w:val="003F0D21"/>
    <w:rsid w:val="003F0D99"/>
    <w:rsid w:val="003F0F2F"/>
    <w:rsid w:val="003F0F32"/>
    <w:rsid w:val="003F11A2"/>
    <w:rsid w:val="003F11BD"/>
    <w:rsid w:val="003F1244"/>
    <w:rsid w:val="003F1254"/>
    <w:rsid w:val="003F12DB"/>
    <w:rsid w:val="003F1366"/>
    <w:rsid w:val="003F14ED"/>
    <w:rsid w:val="003F15A7"/>
    <w:rsid w:val="003F1770"/>
    <w:rsid w:val="003F1780"/>
    <w:rsid w:val="003F17A6"/>
    <w:rsid w:val="003F19FA"/>
    <w:rsid w:val="003F1E25"/>
    <w:rsid w:val="003F1F10"/>
    <w:rsid w:val="003F1F42"/>
    <w:rsid w:val="003F210A"/>
    <w:rsid w:val="003F21B1"/>
    <w:rsid w:val="003F21B8"/>
    <w:rsid w:val="003F22F5"/>
    <w:rsid w:val="003F2575"/>
    <w:rsid w:val="003F25ED"/>
    <w:rsid w:val="003F2605"/>
    <w:rsid w:val="003F27AF"/>
    <w:rsid w:val="003F27C4"/>
    <w:rsid w:val="003F2899"/>
    <w:rsid w:val="003F2948"/>
    <w:rsid w:val="003F29D0"/>
    <w:rsid w:val="003F2C27"/>
    <w:rsid w:val="003F2D42"/>
    <w:rsid w:val="003F2E54"/>
    <w:rsid w:val="003F30CE"/>
    <w:rsid w:val="003F30E9"/>
    <w:rsid w:val="003F3197"/>
    <w:rsid w:val="003F3214"/>
    <w:rsid w:val="003F33E6"/>
    <w:rsid w:val="003F3405"/>
    <w:rsid w:val="003F35A2"/>
    <w:rsid w:val="003F3687"/>
    <w:rsid w:val="003F36E7"/>
    <w:rsid w:val="003F3703"/>
    <w:rsid w:val="003F3888"/>
    <w:rsid w:val="003F3E74"/>
    <w:rsid w:val="003F3E7A"/>
    <w:rsid w:val="003F3EE5"/>
    <w:rsid w:val="003F3F05"/>
    <w:rsid w:val="003F3F37"/>
    <w:rsid w:val="003F3F40"/>
    <w:rsid w:val="003F4057"/>
    <w:rsid w:val="003F4140"/>
    <w:rsid w:val="003F4192"/>
    <w:rsid w:val="003F4490"/>
    <w:rsid w:val="003F44FF"/>
    <w:rsid w:val="003F45D4"/>
    <w:rsid w:val="003F4698"/>
    <w:rsid w:val="003F48E4"/>
    <w:rsid w:val="003F4C4A"/>
    <w:rsid w:val="003F4E03"/>
    <w:rsid w:val="003F4E0A"/>
    <w:rsid w:val="003F4FD7"/>
    <w:rsid w:val="003F51DE"/>
    <w:rsid w:val="003F56D4"/>
    <w:rsid w:val="003F574F"/>
    <w:rsid w:val="003F5970"/>
    <w:rsid w:val="003F5A2A"/>
    <w:rsid w:val="003F5A61"/>
    <w:rsid w:val="003F5C05"/>
    <w:rsid w:val="003F5E0F"/>
    <w:rsid w:val="003F5E3A"/>
    <w:rsid w:val="003F5F26"/>
    <w:rsid w:val="003F61B7"/>
    <w:rsid w:val="003F651C"/>
    <w:rsid w:val="003F6598"/>
    <w:rsid w:val="003F674F"/>
    <w:rsid w:val="003F67C8"/>
    <w:rsid w:val="003F6886"/>
    <w:rsid w:val="003F68AB"/>
    <w:rsid w:val="003F68E7"/>
    <w:rsid w:val="003F6927"/>
    <w:rsid w:val="003F69E6"/>
    <w:rsid w:val="003F6BF9"/>
    <w:rsid w:val="003F6C38"/>
    <w:rsid w:val="003F6C9A"/>
    <w:rsid w:val="003F6CE2"/>
    <w:rsid w:val="003F6D63"/>
    <w:rsid w:val="003F7058"/>
    <w:rsid w:val="003F7174"/>
    <w:rsid w:val="003F75DF"/>
    <w:rsid w:val="003F7733"/>
    <w:rsid w:val="003F7A15"/>
    <w:rsid w:val="003F7AFE"/>
    <w:rsid w:val="003F7B2B"/>
    <w:rsid w:val="003F7C28"/>
    <w:rsid w:val="003F7CBF"/>
    <w:rsid w:val="003F7F82"/>
    <w:rsid w:val="00400066"/>
    <w:rsid w:val="00400171"/>
    <w:rsid w:val="004001A9"/>
    <w:rsid w:val="004001AF"/>
    <w:rsid w:val="00400232"/>
    <w:rsid w:val="00400378"/>
    <w:rsid w:val="004005D1"/>
    <w:rsid w:val="004005DA"/>
    <w:rsid w:val="00400644"/>
    <w:rsid w:val="00400684"/>
    <w:rsid w:val="00400695"/>
    <w:rsid w:val="00400764"/>
    <w:rsid w:val="00400892"/>
    <w:rsid w:val="00400C95"/>
    <w:rsid w:val="00400CED"/>
    <w:rsid w:val="00400D4B"/>
    <w:rsid w:val="00400DE2"/>
    <w:rsid w:val="004010B4"/>
    <w:rsid w:val="00401147"/>
    <w:rsid w:val="00401164"/>
    <w:rsid w:val="0040150F"/>
    <w:rsid w:val="00401675"/>
    <w:rsid w:val="004017C4"/>
    <w:rsid w:val="0040185A"/>
    <w:rsid w:val="00401864"/>
    <w:rsid w:val="004018F6"/>
    <w:rsid w:val="00401AFD"/>
    <w:rsid w:val="00401B0E"/>
    <w:rsid w:val="00401E2A"/>
    <w:rsid w:val="00401E2C"/>
    <w:rsid w:val="00401E60"/>
    <w:rsid w:val="0040209E"/>
    <w:rsid w:val="004020F9"/>
    <w:rsid w:val="0040252A"/>
    <w:rsid w:val="004026AB"/>
    <w:rsid w:val="00402717"/>
    <w:rsid w:val="004027B1"/>
    <w:rsid w:val="00402939"/>
    <w:rsid w:val="00402AC9"/>
    <w:rsid w:val="00402B12"/>
    <w:rsid w:val="00402C71"/>
    <w:rsid w:val="00402CDF"/>
    <w:rsid w:val="00402D7A"/>
    <w:rsid w:val="00402DB6"/>
    <w:rsid w:val="00403347"/>
    <w:rsid w:val="0040356A"/>
    <w:rsid w:val="0040361B"/>
    <w:rsid w:val="00403760"/>
    <w:rsid w:val="004037EA"/>
    <w:rsid w:val="004037EC"/>
    <w:rsid w:val="004037FA"/>
    <w:rsid w:val="00403884"/>
    <w:rsid w:val="00403895"/>
    <w:rsid w:val="00403BE4"/>
    <w:rsid w:val="00403D42"/>
    <w:rsid w:val="00403EE6"/>
    <w:rsid w:val="00403FD5"/>
    <w:rsid w:val="00403FF4"/>
    <w:rsid w:val="004041B8"/>
    <w:rsid w:val="004043B9"/>
    <w:rsid w:val="004043DF"/>
    <w:rsid w:val="0040454F"/>
    <w:rsid w:val="004045D3"/>
    <w:rsid w:val="004046D1"/>
    <w:rsid w:val="004047DA"/>
    <w:rsid w:val="0040480B"/>
    <w:rsid w:val="00404913"/>
    <w:rsid w:val="00404B81"/>
    <w:rsid w:val="00404FEF"/>
    <w:rsid w:val="00404FF0"/>
    <w:rsid w:val="004050E4"/>
    <w:rsid w:val="004051B1"/>
    <w:rsid w:val="00405233"/>
    <w:rsid w:val="00405CFB"/>
    <w:rsid w:val="00405D67"/>
    <w:rsid w:val="00405DFB"/>
    <w:rsid w:val="00406069"/>
    <w:rsid w:val="0040618F"/>
    <w:rsid w:val="00406278"/>
    <w:rsid w:val="00406375"/>
    <w:rsid w:val="00406486"/>
    <w:rsid w:val="0040669E"/>
    <w:rsid w:val="00406724"/>
    <w:rsid w:val="00406A8E"/>
    <w:rsid w:val="00406F41"/>
    <w:rsid w:val="00406F7E"/>
    <w:rsid w:val="00407264"/>
    <w:rsid w:val="00407271"/>
    <w:rsid w:val="004075F7"/>
    <w:rsid w:val="00407710"/>
    <w:rsid w:val="0040778A"/>
    <w:rsid w:val="004077A2"/>
    <w:rsid w:val="00407B19"/>
    <w:rsid w:val="00407E7D"/>
    <w:rsid w:val="00407E85"/>
    <w:rsid w:val="00407FE3"/>
    <w:rsid w:val="0041002B"/>
    <w:rsid w:val="00410143"/>
    <w:rsid w:val="00410196"/>
    <w:rsid w:val="00410246"/>
    <w:rsid w:val="004102F0"/>
    <w:rsid w:val="0041032E"/>
    <w:rsid w:val="00410427"/>
    <w:rsid w:val="00410627"/>
    <w:rsid w:val="0041071B"/>
    <w:rsid w:val="004107BD"/>
    <w:rsid w:val="004107E2"/>
    <w:rsid w:val="00410815"/>
    <w:rsid w:val="004108A8"/>
    <w:rsid w:val="00410B02"/>
    <w:rsid w:val="00410CE9"/>
    <w:rsid w:val="00410D6F"/>
    <w:rsid w:val="00410E62"/>
    <w:rsid w:val="00410F1A"/>
    <w:rsid w:val="00410FA8"/>
    <w:rsid w:val="004111A0"/>
    <w:rsid w:val="0041133A"/>
    <w:rsid w:val="004118C8"/>
    <w:rsid w:val="0041191B"/>
    <w:rsid w:val="00411A72"/>
    <w:rsid w:val="00411D5D"/>
    <w:rsid w:val="00411F49"/>
    <w:rsid w:val="004120FE"/>
    <w:rsid w:val="004121A2"/>
    <w:rsid w:val="004121EE"/>
    <w:rsid w:val="0041229A"/>
    <w:rsid w:val="00412510"/>
    <w:rsid w:val="0041260A"/>
    <w:rsid w:val="00412688"/>
    <w:rsid w:val="00412723"/>
    <w:rsid w:val="004127A0"/>
    <w:rsid w:val="004127B8"/>
    <w:rsid w:val="004129F6"/>
    <w:rsid w:val="00412A78"/>
    <w:rsid w:val="00412A86"/>
    <w:rsid w:val="00412C1F"/>
    <w:rsid w:val="00412E9C"/>
    <w:rsid w:val="00413159"/>
    <w:rsid w:val="00413667"/>
    <w:rsid w:val="00413790"/>
    <w:rsid w:val="004137CF"/>
    <w:rsid w:val="00413849"/>
    <w:rsid w:val="00413909"/>
    <w:rsid w:val="0041394E"/>
    <w:rsid w:val="0041398E"/>
    <w:rsid w:val="00413A4E"/>
    <w:rsid w:val="00413B61"/>
    <w:rsid w:val="00413CCE"/>
    <w:rsid w:val="00413D1A"/>
    <w:rsid w:val="00413D9C"/>
    <w:rsid w:val="00413ECA"/>
    <w:rsid w:val="00413ED8"/>
    <w:rsid w:val="0041421B"/>
    <w:rsid w:val="004142EB"/>
    <w:rsid w:val="00414300"/>
    <w:rsid w:val="00414370"/>
    <w:rsid w:val="00414597"/>
    <w:rsid w:val="00414700"/>
    <w:rsid w:val="00414903"/>
    <w:rsid w:val="00414ACC"/>
    <w:rsid w:val="00414C15"/>
    <w:rsid w:val="00414CD2"/>
    <w:rsid w:val="00414D39"/>
    <w:rsid w:val="00414E16"/>
    <w:rsid w:val="00415071"/>
    <w:rsid w:val="00415278"/>
    <w:rsid w:val="0041551B"/>
    <w:rsid w:val="00415701"/>
    <w:rsid w:val="00415883"/>
    <w:rsid w:val="00415A5A"/>
    <w:rsid w:val="00415A81"/>
    <w:rsid w:val="00415D0F"/>
    <w:rsid w:val="00415EB4"/>
    <w:rsid w:val="00415FF1"/>
    <w:rsid w:val="004161FE"/>
    <w:rsid w:val="00416327"/>
    <w:rsid w:val="0041632B"/>
    <w:rsid w:val="0041638C"/>
    <w:rsid w:val="004163FB"/>
    <w:rsid w:val="00416558"/>
    <w:rsid w:val="004165E9"/>
    <w:rsid w:val="00416717"/>
    <w:rsid w:val="004167DA"/>
    <w:rsid w:val="004169EE"/>
    <w:rsid w:val="00416A6A"/>
    <w:rsid w:val="00416AF6"/>
    <w:rsid w:val="00416B10"/>
    <w:rsid w:val="00416BB2"/>
    <w:rsid w:val="00416D3A"/>
    <w:rsid w:val="004176CF"/>
    <w:rsid w:val="004176E5"/>
    <w:rsid w:val="0041773D"/>
    <w:rsid w:val="004178EB"/>
    <w:rsid w:val="00417997"/>
    <w:rsid w:val="00417B5B"/>
    <w:rsid w:val="00417B81"/>
    <w:rsid w:val="00417C4F"/>
    <w:rsid w:val="00417DC8"/>
    <w:rsid w:val="00417F22"/>
    <w:rsid w:val="0042004E"/>
    <w:rsid w:val="004200AA"/>
    <w:rsid w:val="004200AF"/>
    <w:rsid w:val="0042029B"/>
    <w:rsid w:val="00420649"/>
    <w:rsid w:val="00420739"/>
    <w:rsid w:val="004207EE"/>
    <w:rsid w:val="0042086D"/>
    <w:rsid w:val="0042087A"/>
    <w:rsid w:val="00420934"/>
    <w:rsid w:val="004209B8"/>
    <w:rsid w:val="00420AF8"/>
    <w:rsid w:val="00420B13"/>
    <w:rsid w:val="00420E42"/>
    <w:rsid w:val="00420EC6"/>
    <w:rsid w:val="00420FBE"/>
    <w:rsid w:val="0042106C"/>
    <w:rsid w:val="00421093"/>
    <w:rsid w:val="004210AA"/>
    <w:rsid w:val="004210DF"/>
    <w:rsid w:val="004210E9"/>
    <w:rsid w:val="00421299"/>
    <w:rsid w:val="004212DF"/>
    <w:rsid w:val="0042131E"/>
    <w:rsid w:val="0042138E"/>
    <w:rsid w:val="00421488"/>
    <w:rsid w:val="004214ED"/>
    <w:rsid w:val="00421565"/>
    <w:rsid w:val="004215D9"/>
    <w:rsid w:val="0042180B"/>
    <w:rsid w:val="00421811"/>
    <w:rsid w:val="0042189C"/>
    <w:rsid w:val="004219C2"/>
    <w:rsid w:val="00421AC7"/>
    <w:rsid w:val="00421DA5"/>
    <w:rsid w:val="00421E9D"/>
    <w:rsid w:val="00421EB7"/>
    <w:rsid w:val="00421F65"/>
    <w:rsid w:val="00421FF6"/>
    <w:rsid w:val="00422036"/>
    <w:rsid w:val="004220EB"/>
    <w:rsid w:val="004220F2"/>
    <w:rsid w:val="0042211B"/>
    <w:rsid w:val="00422292"/>
    <w:rsid w:val="004222CA"/>
    <w:rsid w:val="004222ED"/>
    <w:rsid w:val="00422483"/>
    <w:rsid w:val="004226E9"/>
    <w:rsid w:val="00422738"/>
    <w:rsid w:val="004227E9"/>
    <w:rsid w:val="004229DF"/>
    <w:rsid w:val="00422AC7"/>
    <w:rsid w:val="00422C76"/>
    <w:rsid w:val="00422CF8"/>
    <w:rsid w:val="00422E5A"/>
    <w:rsid w:val="00422E68"/>
    <w:rsid w:val="00422ED4"/>
    <w:rsid w:val="0042322D"/>
    <w:rsid w:val="00423294"/>
    <w:rsid w:val="004232B3"/>
    <w:rsid w:val="0042340F"/>
    <w:rsid w:val="004236AC"/>
    <w:rsid w:val="004237AA"/>
    <w:rsid w:val="00423A86"/>
    <w:rsid w:val="00423B0C"/>
    <w:rsid w:val="00423D9B"/>
    <w:rsid w:val="00423DD2"/>
    <w:rsid w:val="00423DFF"/>
    <w:rsid w:val="00423F52"/>
    <w:rsid w:val="00423FFA"/>
    <w:rsid w:val="00424050"/>
    <w:rsid w:val="00424133"/>
    <w:rsid w:val="00424176"/>
    <w:rsid w:val="00424209"/>
    <w:rsid w:val="00424244"/>
    <w:rsid w:val="00424340"/>
    <w:rsid w:val="004243A5"/>
    <w:rsid w:val="00424487"/>
    <w:rsid w:val="00424528"/>
    <w:rsid w:val="00424542"/>
    <w:rsid w:val="00424609"/>
    <w:rsid w:val="00424869"/>
    <w:rsid w:val="00424925"/>
    <w:rsid w:val="00424A85"/>
    <w:rsid w:val="00424AC4"/>
    <w:rsid w:val="00424AD7"/>
    <w:rsid w:val="00424B36"/>
    <w:rsid w:val="00424C12"/>
    <w:rsid w:val="00424C5A"/>
    <w:rsid w:val="00424ED3"/>
    <w:rsid w:val="00424F26"/>
    <w:rsid w:val="00425010"/>
    <w:rsid w:val="004250A7"/>
    <w:rsid w:val="00425156"/>
    <w:rsid w:val="0042523A"/>
    <w:rsid w:val="004254B2"/>
    <w:rsid w:val="004255E5"/>
    <w:rsid w:val="00425782"/>
    <w:rsid w:val="004257C1"/>
    <w:rsid w:val="004257ED"/>
    <w:rsid w:val="004259DF"/>
    <w:rsid w:val="00425A33"/>
    <w:rsid w:val="00425A41"/>
    <w:rsid w:val="00425AE7"/>
    <w:rsid w:val="00425B6D"/>
    <w:rsid w:val="00425BD6"/>
    <w:rsid w:val="00425D02"/>
    <w:rsid w:val="00425E5B"/>
    <w:rsid w:val="00425EBF"/>
    <w:rsid w:val="00425F73"/>
    <w:rsid w:val="00425F97"/>
    <w:rsid w:val="00425FF6"/>
    <w:rsid w:val="00426135"/>
    <w:rsid w:val="0042613A"/>
    <w:rsid w:val="00426234"/>
    <w:rsid w:val="00426238"/>
    <w:rsid w:val="0042628A"/>
    <w:rsid w:val="00426335"/>
    <w:rsid w:val="004263E2"/>
    <w:rsid w:val="004264DF"/>
    <w:rsid w:val="004265FC"/>
    <w:rsid w:val="00426B58"/>
    <w:rsid w:val="00426C2B"/>
    <w:rsid w:val="00426C35"/>
    <w:rsid w:val="00426D0F"/>
    <w:rsid w:val="00426D58"/>
    <w:rsid w:val="00426D8E"/>
    <w:rsid w:val="00427141"/>
    <w:rsid w:val="00427393"/>
    <w:rsid w:val="004273EA"/>
    <w:rsid w:val="00427402"/>
    <w:rsid w:val="00427413"/>
    <w:rsid w:val="0042760D"/>
    <w:rsid w:val="00427721"/>
    <w:rsid w:val="0042772E"/>
    <w:rsid w:val="00427753"/>
    <w:rsid w:val="004277DC"/>
    <w:rsid w:val="00427997"/>
    <w:rsid w:val="00427AAC"/>
    <w:rsid w:val="00427B9B"/>
    <w:rsid w:val="00427C49"/>
    <w:rsid w:val="00427CA4"/>
    <w:rsid w:val="00427DA6"/>
    <w:rsid w:val="00427E02"/>
    <w:rsid w:val="00430171"/>
    <w:rsid w:val="004302AF"/>
    <w:rsid w:val="004302CD"/>
    <w:rsid w:val="004304D2"/>
    <w:rsid w:val="004305F7"/>
    <w:rsid w:val="00430870"/>
    <w:rsid w:val="0043088A"/>
    <w:rsid w:val="00430A28"/>
    <w:rsid w:val="00430A7C"/>
    <w:rsid w:val="00430B92"/>
    <w:rsid w:val="00430C0F"/>
    <w:rsid w:val="00430E48"/>
    <w:rsid w:val="00430EE6"/>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12D"/>
    <w:rsid w:val="0043215C"/>
    <w:rsid w:val="00432181"/>
    <w:rsid w:val="004324FF"/>
    <w:rsid w:val="004325DB"/>
    <w:rsid w:val="004326BA"/>
    <w:rsid w:val="0043270F"/>
    <w:rsid w:val="004329B6"/>
    <w:rsid w:val="00432C22"/>
    <w:rsid w:val="00432D91"/>
    <w:rsid w:val="00432DB8"/>
    <w:rsid w:val="00432E31"/>
    <w:rsid w:val="00432F74"/>
    <w:rsid w:val="00432FF6"/>
    <w:rsid w:val="00433078"/>
    <w:rsid w:val="004330A0"/>
    <w:rsid w:val="00433129"/>
    <w:rsid w:val="00433215"/>
    <w:rsid w:val="0043335A"/>
    <w:rsid w:val="004333ED"/>
    <w:rsid w:val="00433699"/>
    <w:rsid w:val="0043385D"/>
    <w:rsid w:val="0043386D"/>
    <w:rsid w:val="00433963"/>
    <w:rsid w:val="00433A06"/>
    <w:rsid w:val="00433CED"/>
    <w:rsid w:val="00433D7B"/>
    <w:rsid w:val="00433E07"/>
    <w:rsid w:val="00433F8A"/>
    <w:rsid w:val="00434189"/>
    <w:rsid w:val="004342A1"/>
    <w:rsid w:val="00434301"/>
    <w:rsid w:val="00434617"/>
    <w:rsid w:val="00434667"/>
    <w:rsid w:val="004346BE"/>
    <w:rsid w:val="00434700"/>
    <w:rsid w:val="0043472B"/>
    <w:rsid w:val="004348CB"/>
    <w:rsid w:val="00434993"/>
    <w:rsid w:val="00434B2C"/>
    <w:rsid w:val="00434CF1"/>
    <w:rsid w:val="00434D3F"/>
    <w:rsid w:val="00434D98"/>
    <w:rsid w:val="00434E27"/>
    <w:rsid w:val="00434EC5"/>
    <w:rsid w:val="0043506D"/>
    <w:rsid w:val="0043510A"/>
    <w:rsid w:val="00435193"/>
    <w:rsid w:val="00435234"/>
    <w:rsid w:val="004352A6"/>
    <w:rsid w:val="004352D1"/>
    <w:rsid w:val="00435371"/>
    <w:rsid w:val="0043551B"/>
    <w:rsid w:val="00435547"/>
    <w:rsid w:val="004357D8"/>
    <w:rsid w:val="004358EB"/>
    <w:rsid w:val="00435976"/>
    <w:rsid w:val="00435A55"/>
    <w:rsid w:val="00435B35"/>
    <w:rsid w:val="00435DA4"/>
    <w:rsid w:val="00435FA4"/>
    <w:rsid w:val="0043600E"/>
    <w:rsid w:val="0043604B"/>
    <w:rsid w:val="00436144"/>
    <w:rsid w:val="004361AA"/>
    <w:rsid w:val="004361AF"/>
    <w:rsid w:val="004362F3"/>
    <w:rsid w:val="0043630C"/>
    <w:rsid w:val="00436317"/>
    <w:rsid w:val="0043651B"/>
    <w:rsid w:val="0043673D"/>
    <w:rsid w:val="004367A0"/>
    <w:rsid w:val="00436802"/>
    <w:rsid w:val="00436A41"/>
    <w:rsid w:val="00436B5B"/>
    <w:rsid w:val="00436D24"/>
    <w:rsid w:val="00436D79"/>
    <w:rsid w:val="00436EE4"/>
    <w:rsid w:val="00436FFA"/>
    <w:rsid w:val="0043704B"/>
    <w:rsid w:val="004370F8"/>
    <w:rsid w:val="00437146"/>
    <w:rsid w:val="0043725F"/>
    <w:rsid w:val="00437276"/>
    <w:rsid w:val="004373D0"/>
    <w:rsid w:val="00437630"/>
    <w:rsid w:val="004376FA"/>
    <w:rsid w:val="004377E8"/>
    <w:rsid w:val="00437823"/>
    <w:rsid w:val="004378ED"/>
    <w:rsid w:val="00437973"/>
    <w:rsid w:val="00437A03"/>
    <w:rsid w:val="00437EE0"/>
    <w:rsid w:val="00437EF5"/>
    <w:rsid w:val="00437F58"/>
    <w:rsid w:val="00440037"/>
    <w:rsid w:val="0044009C"/>
    <w:rsid w:val="00440366"/>
    <w:rsid w:val="004403AE"/>
    <w:rsid w:val="004405F5"/>
    <w:rsid w:val="004406BE"/>
    <w:rsid w:val="004408C2"/>
    <w:rsid w:val="004408C7"/>
    <w:rsid w:val="0044091A"/>
    <w:rsid w:val="004409E2"/>
    <w:rsid w:val="00440A8D"/>
    <w:rsid w:val="00440AD6"/>
    <w:rsid w:val="00440CE7"/>
    <w:rsid w:val="00440DEF"/>
    <w:rsid w:val="00440F09"/>
    <w:rsid w:val="00440F18"/>
    <w:rsid w:val="00440FE1"/>
    <w:rsid w:val="004410E5"/>
    <w:rsid w:val="004410FD"/>
    <w:rsid w:val="0044114B"/>
    <w:rsid w:val="00441432"/>
    <w:rsid w:val="0044143E"/>
    <w:rsid w:val="004415AA"/>
    <w:rsid w:val="004417BC"/>
    <w:rsid w:val="0044188E"/>
    <w:rsid w:val="00441999"/>
    <w:rsid w:val="00441AAC"/>
    <w:rsid w:val="00441AEE"/>
    <w:rsid w:val="00441BA0"/>
    <w:rsid w:val="00441C47"/>
    <w:rsid w:val="00441DCE"/>
    <w:rsid w:val="00441F1E"/>
    <w:rsid w:val="0044200C"/>
    <w:rsid w:val="00442125"/>
    <w:rsid w:val="00442127"/>
    <w:rsid w:val="004421AB"/>
    <w:rsid w:val="004422AE"/>
    <w:rsid w:val="0044236D"/>
    <w:rsid w:val="004423FC"/>
    <w:rsid w:val="004424B1"/>
    <w:rsid w:val="0044251D"/>
    <w:rsid w:val="00442526"/>
    <w:rsid w:val="00442643"/>
    <w:rsid w:val="00442750"/>
    <w:rsid w:val="004428A2"/>
    <w:rsid w:val="00442A02"/>
    <w:rsid w:val="00442AA2"/>
    <w:rsid w:val="00442C4D"/>
    <w:rsid w:val="00442CE5"/>
    <w:rsid w:val="00442EB7"/>
    <w:rsid w:val="00442F9B"/>
    <w:rsid w:val="00442FE5"/>
    <w:rsid w:val="004431A4"/>
    <w:rsid w:val="00443227"/>
    <w:rsid w:val="00443276"/>
    <w:rsid w:val="004434F0"/>
    <w:rsid w:val="004436C5"/>
    <w:rsid w:val="0044384D"/>
    <w:rsid w:val="00443937"/>
    <w:rsid w:val="004439C3"/>
    <w:rsid w:val="00443B16"/>
    <w:rsid w:val="00443E4E"/>
    <w:rsid w:val="00444071"/>
    <w:rsid w:val="00444299"/>
    <w:rsid w:val="00444461"/>
    <w:rsid w:val="004444B1"/>
    <w:rsid w:val="004445AD"/>
    <w:rsid w:val="00444627"/>
    <w:rsid w:val="00444872"/>
    <w:rsid w:val="00444966"/>
    <w:rsid w:val="00444BBF"/>
    <w:rsid w:val="00444BD4"/>
    <w:rsid w:val="00444E4F"/>
    <w:rsid w:val="00444E93"/>
    <w:rsid w:val="00444F30"/>
    <w:rsid w:val="0044507E"/>
    <w:rsid w:val="004450EA"/>
    <w:rsid w:val="0044514C"/>
    <w:rsid w:val="004452CC"/>
    <w:rsid w:val="00445347"/>
    <w:rsid w:val="0044536D"/>
    <w:rsid w:val="00445465"/>
    <w:rsid w:val="004455D1"/>
    <w:rsid w:val="0044564D"/>
    <w:rsid w:val="004456BA"/>
    <w:rsid w:val="00445808"/>
    <w:rsid w:val="00445B52"/>
    <w:rsid w:val="00445D76"/>
    <w:rsid w:val="00445F3A"/>
    <w:rsid w:val="00446016"/>
    <w:rsid w:val="00446039"/>
    <w:rsid w:val="00446189"/>
    <w:rsid w:val="004461BE"/>
    <w:rsid w:val="004462BE"/>
    <w:rsid w:val="004463B5"/>
    <w:rsid w:val="004463C9"/>
    <w:rsid w:val="0044661D"/>
    <w:rsid w:val="004466BC"/>
    <w:rsid w:val="00446816"/>
    <w:rsid w:val="004469C9"/>
    <w:rsid w:val="00446D28"/>
    <w:rsid w:val="00446D7D"/>
    <w:rsid w:val="00446DB0"/>
    <w:rsid w:val="004470B4"/>
    <w:rsid w:val="004472AF"/>
    <w:rsid w:val="00447538"/>
    <w:rsid w:val="004475CF"/>
    <w:rsid w:val="00447655"/>
    <w:rsid w:val="00447947"/>
    <w:rsid w:val="00447A66"/>
    <w:rsid w:val="00447B98"/>
    <w:rsid w:val="00447D3A"/>
    <w:rsid w:val="00447D4B"/>
    <w:rsid w:val="00447EC7"/>
    <w:rsid w:val="00447ED0"/>
    <w:rsid w:val="00450029"/>
    <w:rsid w:val="00450064"/>
    <w:rsid w:val="004502AB"/>
    <w:rsid w:val="00450463"/>
    <w:rsid w:val="00450765"/>
    <w:rsid w:val="00450845"/>
    <w:rsid w:val="00450911"/>
    <w:rsid w:val="00450BF2"/>
    <w:rsid w:val="00450C44"/>
    <w:rsid w:val="00450D54"/>
    <w:rsid w:val="00450D56"/>
    <w:rsid w:val="00450E0A"/>
    <w:rsid w:val="00450F79"/>
    <w:rsid w:val="004511D2"/>
    <w:rsid w:val="0045120F"/>
    <w:rsid w:val="004512A4"/>
    <w:rsid w:val="0045157D"/>
    <w:rsid w:val="00451600"/>
    <w:rsid w:val="004517BA"/>
    <w:rsid w:val="0045184A"/>
    <w:rsid w:val="004518DB"/>
    <w:rsid w:val="004519EC"/>
    <w:rsid w:val="00451AEF"/>
    <w:rsid w:val="00451B41"/>
    <w:rsid w:val="00451C07"/>
    <w:rsid w:val="00451CE6"/>
    <w:rsid w:val="00451EB7"/>
    <w:rsid w:val="00451F0A"/>
    <w:rsid w:val="00451F76"/>
    <w:rsid w:val="00451FB8"/>
    <w:rsid w:val="00452186"/>
    <w:rsid w:val="004521C4"/>
    <w:rsid w:val="00452215"/>
    <w:rsid w:val="0045223D"/>
    <w:rsid w:val="00452397"/>
    <w:rsid w:val="00452398"/>
    <w:rsid w:val="004525AD"/>
    <w:rsid w:val="004529C5"/>
    <w:rsid w:val="00452AAC"/>
    <w:rsid w:val="00452E62"/>
    <w:rsid w:val="00452EE4"/>
    <w:rsid w:val="00452F36"/>
    <w:rsid w:val="0045307B"/>
    <w:rsid w:val="0045321A"/>
    <w:rsid w:val="0045325D"/>
    <w:rsid w:val="004537DB"/>
    <w:rsid w:val="004537F7"/>
    <w:rsid w:val="00453AD7"/>
    <w:rsid w:val="00453B45"/>
    <w:rsid w:val="00453CB9"/>
    <w:rsid w:val="00453D50"/>
    <w:rsid w:val="00453E0A"/>
    <w:rsid w:val="00453F61"/>
    <w:rsid w:val="004540E0"/>
    <w:rsid w:val="004540E3"/>
    <w:rsid w:val="004541EB"/>
    <w:rsid w:val="004542CC"/>
    <w:rsid w:val="0045440B"/>
    <w:rsid w:val="00454575"/>
    <w:rsid w:val="004545C5"/>
    <w:rsid w:val="00454843"/>
    <w:rsid w:val="00454919"/>
    <w:rsid w:val="004549CA"/>
    <w:rsid w:val="004549FD"/>
    <w:rsid w:val="00454C5B"/>
    <w:rsid w:val="00454CFC"/>
    <w:rsid w:val="00454E01"/>
    <w:rsid w:val="0045524E"/>
    <w:rsid w:val="00455318"/>
    <w:rsid w:val="0045532E"/>
    <w:rsid w:val="00455437"/>
    <w:rsid w:val="004555F8"/>
    <w:rsid w:val="00455930"/>
    <w:rsid w:val="00455981"/>
    <w:rsid w:val="00455A99"/>
    <w:rsid w:val="00455AC3"/>
    <w:rsid w:val="00455B27"/>
    <w:rsid w:val="00455B47"/>
    <w:rsid w:val="00455B4C"/>
    <w:rsid w:val="00455E0B"/>
    <w:rsid w:val="00455E33"/>
    <w:rsid w:val="00455E7E"/>
    <w:rsid w:val="0045600C"/>
    <w:rsid w:val="00456079"/>
    <w:rsid w:val="00456449"/>
    <w:rsid w:val="00456698"/>
    <w:rsid w:val="004566A3"/>
    <w:rsid w:val="004567AB"/>
    <w:rsid w:val="0045695E"/>
    <w:rsid w:val="00456A13"/>
    <w:rsid w:val="00456C7B"/>
    <w:rsid w:val="00456D5B"/>
    <w:rsid w:val="00456D67"/>
    <w:rsid w:val="00456DDE"/>
    <w:rsid w:val="00456F2E"/>
    <w:rsid w:val="00456F65"/>
    <w:rsid w:val="00456FEB"/>
    <w:rsid w:val="0045700E"/>
    <w:rsid w:val="004570B0"/>
    <w:rsid w:val="00457109"/>
    <w:rsid w:val="00457230"/>
    <w:rsid w:val="0045725D"/>
    <w:rsid w:val="00457318"/>
    <w:rsid w:val="004573F2"/>
    <w:rsid w:val="00457461"/>
    <w:rsid w:val="00457584"/>
    <w:rsid w:val="004575F9"/>
    <w:rsid w:val="00457779"/>
    <w:rsid w:val="0045779B"/>
    <w:rsid w:val="00457910"/>
    <w:rsid w:val="0045798D"/>
    <w:rsid w:val="004579C1"/>
    <w:rsid w:val="00457A28"/>
    <w:rsid w:val="00457CB9"/>
    <w:rsid w:val="00457D05"/>
    <w:rsid w:val="00457EC6"/>
    <w:rsid w:val="004601AA"/>
    <w:rsid w:val="004601AD"/>
    <w:rsid w:val="004602DC"/>
    <w:rsid w:val="004602FD"/>
    <w:rsid w:val="0046043B"/>
    <w:rsid w:val="004604F7"/>
    <w:rsid w:val="00460901"/>
    <w:rsid w:val="0046095F"/>
    <w:rsid w:val="00460AA9"/>
    <w:rsid w:val="00460B7C"/>
    <w:rsid w:val="00460C52"/>
    <w:rsid w:val="00460CFD"/>
    <w:rsid w:val="00460E69"/>
    <w:rsid w:val="00460E78"/>
    <w:rsid w:val="00460F9A"/>
    <w:rsid w:val="00461165"/>
    <w:rsid w:val="00461262"/>
    <w:rsid w:val="00461610"/>
    <w:rsid w:val="00461741"/>
    <w:rsid w:val="00461817"/>
    <w:rsid w:val="00461862"/>
    <w:rsid w:val="004618A0"/>
    <w:rsid w:val="00461906"/>
    <w:rsid w:val="00461A73"/>
    <w:rsid w:val="00461B88"/>
    <w:rsid w:val="00461F09"/>
    <w:rsid w:val="00461FB6"/>
    <w:rsid w:val="0046201B"/>
    <w:rsid w:val="004621AE"/>
    <w:rsid w:val="00462290"/>
    <w:rsid w:val="004623C9"/>
    <w:rsid w:val="00462449"/>
    <w:rsid w:val="0046284C"/>
    <w:rsid w:val="00462C14"/>
    <w:rsid w:val="00462D11"/>
    <w:rsid w:val="00462E0F"/>
    <w:rsid w:val="004631E1"/>
    <w:rsid w:val="004633BA"/>
    <w:rsid w:val="004636B1"/>
    <w:rsid w:val="00463809"/>
    <w:rsid w:val="0046397B"/>
    <w:rsid w:val="00463B0D"/>
    <w:rsid w:val="00463BA6"/>
    <w:rsid w:val="00463C1F"/>
    <w:rsid w:val="00463D99"/>
    <w:rsid w:val="00463DAE"/>
    <w:rsid w:val="00463FA3"/>
    <w:rsid w:val="00463FFE"/>
    <w:rsid w:val="0046406C"/>
    <w:rsid w:val="004640A8"/>
    <w:rsid w:val="004640B6"/>
    <w:rsid w:val="00464209"/>
    <w:rsid w:val="0046425E"/>
    <w:rsid w:val="004642DE"/>
    <w:rsid w:val="004643E7"/>
    <w:rsid w:val="00464957"/>
    <w:rsid w:val="00464961"/>
    <w:rsid w:val="00464ADB"/>
    <w:rsid w:val="00464B44"/>
    <w:rsid w:val="00464BC3"/>
    <w:rsid w:val="00464C13"/>
    <w:rsid w:val="00464D94"/>
    <w:rsid w:val="00464DD9"/>
    <w:rsid w:val="00464E86"/>
    <w:rsid w:val="00464EF4"/>
    <w:rsid w:val="00465047"/>
    <w:rsid w:val="004654DC"/>
    <w:rsid w:val="004656B4"/>
    <w:rsid w:val="004657E9"/>
    <w:rsid w:val="00465947"/>
    <w:rsid w:val="00465979"/>
    <w:rsid w:val="00465AA1"/>
    <w:rsid w:val="00465B9F"/>
    <w:rsid w:val="00465BE6"/>
    <w:rsid w:val="00465C1B"/>
    <w:rsid w:val="00465FEB"/>
    <w:rsid w:val="00465FF4"/>
    <w:rsid w:val="0046623A"/>
    <w:rsid w:val="004662F4"/>
    <w:rsid w:val="004665CB"/>
    <w:rsid w:val="00466620"/>
    <w:rsid w:val="004667B1"/>
    <w:rsid w:val="004667E5"/>
    <w:rsid w:val="00466888"/>
    <w:rsid w:val="00466A0C"/>
    <w:rsid w:val="00466E18"/>
    <w:rsid w:val="00466E53"/>
    <w:rsid w:val="00466F9B"/>
    <w:rsid w:val="00467117"/>
    <w:rsid w:val="00467251"/>
    <w:rsid w:val="004672AF"/>
    <w:rsid w:val="0046732C"/>
    <w:rsid w:val="004674DE"/>
    <w:rsid w:val="00467604"/>
    <w:rsid w:val="004676DB"/>
    <w:rsid w:val="004676F6"/>
    <w:rsid w:val="00467704"/>
    <w:rsid w:val="00467786"/>
    <w:rsid w:val="004677F0"/>
    <w:rsid w:val="0046792B"/>
    <w:rsid w:val="004679AA"/>
    <w:rsid w:val="00467B6B"/>
    <w:rsid w:val="00467B7B"/>
    <w:rsid w:val="00467BCD"/>
    <w:rsid w:val="00467E04"/>
    <w:rsid w:val="00467E13"/>
    <w:rsid w:val="00467E4D"/>
    <w:rsid w:val="00467EEA"/>
    <w:rsid w:val="00467F1B"/>
    <w:rsid w:val="0047007F"/>
    <w:rsid w:val="00470146"/>
    <w:rsid w:val="0047038F"/>
    <w:rsid w:val="00470428"/>
    <w:rsid w:val="0047060B"/>
    <w:rsid w:val="00470669"/>
    <w:rsid w:val="004706B8"/>
    <w:rsid w:val="00470819"/>
    <w:rsid w:val="0047081D"/>
    <w:rsid w:val="004708C7"/>
    <w:rsid w:val="00470994"/>
    <w:rsid w:val="004709E7"/>
    <w:rsid w:val="00470AF1"/>
    <w:rsid w:val="00470B8E"/>
    <w:rsid w:val="00470B9B"/>
    <w:rsid w:val="00470C3F"/>
    <w:rsid w:val="00470E17"/>
    <w:rsid w:val="00470E8C"/>
    <w:rsid w:val="00470E96"/>
    <w:rsid w:val="00470F15"/>
    <w:rsid w:val="00471075"/>
    <w:rsid w:val="00471110"/>
    <w:rsid w:val="00471163"/>
    <w:rsid w:val="00471174"/>
    <w:rsid w:val="004712CC"/>
    <w:rsid w:val="004713F9"/>
    <w:rsid w:val="00471737"/>
    <w:rsid w:val="0047186F"/>
    <w:rsid w:val="0047198D"/>
    <w:rsid w:val="00471995"/>
    <w:rsid w:val="004719AD"/>
    <w:rsid w:val="004719BB"/>
    <w:rsid w:val="00471B28"/>
    <w:rsid w:val="00471D48"/>
    <w:rsid w:val="00471D64"/>
    <w:rsid w:val="00471E42"/>
    <w:rsid w:val="0047202F"/>
    <w:rsid w:val="004722CD"/>
    <w:rsid w:val="00472371"/>
    <w:rsid w:val="004723D2"/>
    <w:rsid w:val="004724CD"/>
    <w:rsid w:val="0047250E"/>
    <w:rsid w:val="00472695"/>
    <w:rsid w:val="00472B23"/>
    <w:rsid w:val="00472BA0"/>
    <w:rsid w:val="00472BB6"/>
    <w:rsid w:val="00472BF9"/>
    <w:rsid w:val="00472C83"/>
    <w:rsid w:val="00472CBF"/>
    <w:rsid w:val="00472D14"/>
    <w:rsid w:val="00472E66"/>
    <w:rsid w:val="004732DB"/>
    <w:rsid w:val="00473369"/>
    <w:rsid w:val="004736C7"/>
    <w:rsid w:val="004736C9"/>
    <w:rsid w:val="004736E2"/>
    <w:rsid w:val="00473721"/>
    <w:rsid w:val="0047375C"/>
    <w:rsid w:val="0047377A"/>
    <w:rsid w:val="00473893"/>
    <w:rsid w:val="0047395C"/>
    <w:rsid w:val="004739DA"/>
    <w:rsid w:val="00473AF3"/>
    <w:rsid w:val="00473C35"/>
    <w:rsid w:val="00473FE6"/>
    <w:rsid w:val="00474137"/>
    <w:rsid w:val="004741E8"/>
    <w:rsid w:val="00474257"/>
    <w:rsid w:val="00474258"/>
    <w:rsid w:val="0047426B"/>
    <w:rsid w:val="004744AB"/>
    <w:rsid w:val="004745C5"/>
    <w:rsid w:val="00474661"/>
    <w:rsid w:val="0047476A"/>
    <w:rsid w:val="00474918"/>
    <w:rsid w:val="00474935"/>
    <w:rsid w:val="00474B7B"/>
    <w:rsid w:val="00474BDD"/>
    <w:rsid w:val="00474D21"/>
    <w:rsid w:val="00474ECC"/>
    <w:rsid w:val="00475145"/>
    <w:rsid w:val="004751EA"/>
    <w:rsid w:val="004752B6"/>
    <w:rsid w:val="00475318"/>
    <w:rsid w:val="004754A2"/>
    <w:rsid w:val="004755C2"/>
    <w:rsid w:val="004756A8"/>
    <w:rsid w:val="00475926"/>
    <w:rsid w:val="00475DE5"/>
    <w:rsid w:val="00476205"/>
    <w:rsid w:val="00476334"/>
    <w:rsid w:val="0047657A"/>
    <w:rsid w:val="00476641"/>
    <w:rsid w:val="00476E71"/>
    <w:rsid w:val="00476E77"/>
    <w:rsid w:val="004770FF"/>
    <w:rsid w:val="00477110"/>
    <w:rsid w:val="004771A3"/>
    <w:rsid w:val="004773FE"/>
    <w:rsid w:val="00477542"/>
    <w:rsid w:val="00477598"/>
    <w:rsid w:val="004775D0"/>
    <w:rsid w:val="0047771C"/>
    <w:rsid w:val="004778F9"/>
    <w:rsid w:val="0047799D"/>
    <w:rsid w:val="004779CE"/>
    <w:rsid w:val="00477CD3"/>
    <w:rsid w:val="00477F8B"/>
    <w:rsid w:val="00480002"/>
    <w:rsid w:val="00480012"/>
    <w:rsid w:val="00480027"/>
    <w:rsid w:val="00480141"/>
    <w:rsid w:val="0048018D"/>
    <w:rsid w:val="004802B3"/>
    <w:rsid w:val="00480441"/>
    <w:rsid w:val="004804E3"/>
    <w:rsid w:val="004805EA"/>
    <w:rsid w:val="00480692"/>
    <w:rsid w:val="00480932"/>
    <w:rsid w:val="00480AF8"/>
    <w:rsid w:val="00480B94"/>
    <w:rsid w:val="00480D18"/>
    <w:rsid w:val="00480E54"/>
    <w:rsid w:val="0048110B"/>
    <w:rsid w:val="00481201"/>
    <w:rsid w:val="0048120B"/>
    <w:rsid w:val="004812CA"/>
    <w:rsid w:val="0048131C"/>
    <w:rsid w:val="00481422"/>
    <w:rsid w:val="00481525"/>
    <w:rsid w:val="0048160D"/>
    <w:rsid w:val="00481672"/>
    <w:rsid w:val="004816F8"/>
    <w:rsid w:val="00481711"/>
    <w:rsid w:val="0048176B"/>
    <w:rsid w:val="004817D1"/>
    <w:rsid w:val="004817E5"/>
    <w:rsid w:val="00481AE4"/>
    <w:rsid w:val="00481BEA"/>
    <w:rsid w:val="00481CD7"/>
    <w:rsid w:val="00481D16"/>
    <w:rsid w:val="00481D2F"/>
    <w:rsid w:val="00481DBA"/>
    <w:rsid w:val="00481EEF"/>
    <w:rsid w:val="00482009"/>
    <w:rsid w:val="0048210B"/>
    <w:rsid w:val="0048224C"/>
    <w:rsid w:val="004823BD"/>
    <w:rsid w:val="004823CC"/>
    <w:rsid w:val="0048258D"/>
    <w:rsid w:val="004825C9"/>
    <w:rsid w:val="004825D5"/>
    <w:rsid w:val="00482646"/>
    <w:rsid w:val="00482701"/>
    <w:rsid w:val="00482CC0"/>
    <w:rsid w:val="00482DCC"/>
    <w:rsid w:val="00482E3F"/>
    <w:rsid w:val="00482E7B"/>
    <w:rsid w:val="00483038"/>
    <w:rsid w:val="0048337D"/>
    <w:rsid w:val="004833F2"/>
    <w:rsid w:val="004834C5"/>
    <w:rsid w:val="00483542"/>
    <w:rsid w:val="00483581"/>
    <w:rsid w:val="00483603"/>
    <w:rsid w:val="00483645"/>
    <w:rsid w:val="004836BF"/>
    <w:rsid w:val="004836ED"/>
    <w:rsid w:val="0048391B"/>
    <w:rsid w:val="004839E9"/>
    <w:rsid w:val="00483DE1"/>
    <w:rsid w:val="004840BC"/>
    <w:rsid w:val="004841D5"/>
    <w:rsid w:val="00484211"/>
    <w:rsid w:val="0048426D"/>
    <w:rsid w:val="00484298"/>
    <w:rsid w:val="004842AC"/>
    <w:rsid w:val="0048439A"/>
    <w:rsid w:val="00484406"/>
    <w:rsid w:val="004847D0"/>
    <w:rsid w:val="004848AD"/>
    <w:rsid w:val="00484A5E"/>
    <w:rsid w:val="00484AEB"/>
    <w:rsid w:val="00484B17"/>
    <w:rsid w:val="00484D22"/>
    <w:rsid w:val="00484D91"/>
    <w:rsid w:val="00484EB9"/>
    <w:rsid w:val="00484EBE"/>
    <w:rsid w:val="00484F3B"/>
    <w:rsid w:val="00484F9A"/>
    <w:rsid w:val="004850D4"/>
    <w:rsid w:val="00485142"/>
    <w:rsid w:val="004851DA"/>
    <w:rsid w:val="004851E9"/>
    <w:rsid w:val="004853EA"/>
    <w:rsid w:val="004856B6"/>
    <w:rsid w:val="004857CE"/>
    <w:rsid w:val="0048584F"/>
    <w:rsid w:val="004858AA"/>
    <w:rsid w:val="00485907"/>
    <w:rsid w:val="004859FD"/>
    <w:rsid w:val="00485BDE"/>
    <w:rsid w:val="00485C09"/>
    <w:rsid w:val="00485D8D"/>
    <w:rsid w:val="00485D9F"/>
    <w:rsid w:val="00485DAD"/>
    <w:rsid w:val="00485E54"/>
    <w:rsid w:val="00485EE4"/>
    <w:rsid w:val="00485FDA"/>
    <w:rsid w:val="0048601B"/>
    <w:rsid w:val="00486050"/>
    <w:rsid w:val="0048615F"/>
    <w:rsid w:val="004861A5"/>
    <w:rsid w:val="004863C1"/>
    <w:rsid w:val="00486432"/>
    <w:rsid w:val="00486547"/>
    <w:rsid w:val="00486651"/>
    <w:rsid w:val="004866D7"/>
    <w:rsid w:val="00486700"/>
    <w:rsid w:val="004867CB"/>
    <w:rsid w:val="00486AD7"/>
    <w:rsid w:val="00486CF6"/>
    <w:rsid w:val="00486E3E"/>
    <w:rsid w:val="0048727A"/>
    <w:rsid w:val="004872DE"/>
    <w:rsid w:val="004872DF"/>
    <w:rsid w:val="00487380"/>
    <w:rsid w:val="004873CC"/>
    <w:rsid w:val="00487443"/>
    <w:rsid w:val="004875CD"/>
    <w:rsid w:val="004875FF"/>
    <w:rsid w:val="004876AA"/>
    <w:rsid w:val="00487B8B"/>
    <w:rsid w:val="00487C90"/>
    <w:rsid w:val="00487D90"/>
    <w:rsid w:val="00487FE9"/>
    <w:rsid w:val="00490014"/>
    <w:rsid w:val="0049015F"/>
    <w:rsid w:val="004901AA"/>
    <w:rsid w:val="0049024F"/>
    <w:rsid w:val="00490461"/>
    <w:rsid w:val="00490701"/>
    <w:rsid w:val="004907F3"/>
    <w:rsid w:val="0049080A"/>
    <w:rsid w:val="0049080D"/>
    <w:rsid w:val="00490948"/>
    <w:rsid w:val="00490B20"/>
    <w:rsid w:val="00490B87"/>
    <w:rsid w:val="00490C8B"/>
    <w:rsid w:val="00490D0F"/>
    <w:rsid w:val="00490DF1"/>
    <w:rsid w:val="00490EBC"/>
    <w:rsid w:val="00490EE2"/>
    <w:rsid w:val="00491066"/>
    <w:rsid w:val="00491284"/>
    <w:rsid w:val="004913EB"/>
    <w:rsid w:val="0049168A"/>
    <w:rsid w:val="00491726"/>
    <w:rsid w:val="00491738"/>
    <w:rsid w:val="004917DE"/>
    <w:rsid w:val="004918D4"/>
    <w:rsid w:val="00491B32"/>
    <w:rsid w:val="00491C0A"/>
    <w:rsid w:val="00492085"/>
    <w:rsid w:val="00492176"/>
    <w:rsid w:val="00492403"/>
    <w:rsid w:val="0049242A"/>
    <w:rsid w:val="0049244D"/>
    <w:rsid w:val="004925D7"/>
    <w:rsid w:val="004926E2"/>
    <w:rsid w:val="004928A1"/>
    <w:rsid w:val="00492989"/>
    <w:rsid w:val="00492AAA"/>
    <w:rsid w:val="00492AAC"/>
    <w:rsid w:val="00492B88"/>
    <w:rsid w:val="00492FEF"/>
    <w:rsid w:val="00493074"/>
    <w:rsid w:val="00493077"/>
    <w:rsid w:val="0049313F"/>
    <w:rsid w:val="00493370"/>
    <w:rsid w:val="00493639"/>
    <w:rsid w:val="0049372E"/>
    <w:rsid w:val="00493742"/>
    <w:rsid w:val="0049378C"/>
    <w:rsid w:val="0049383B"/>
    <w:rsid w:val="0049384F"/>
    <w:rsid w:val="00493941"/>
    <w:rsid w:val="00493B2E"/>
    <w:rsid w:val="00493DC1"/>
    <w:rsid w:val="0049414D"/>
    <w:rsid w:val="00494173"/>
    <w:rsid w:val="004942EB"/>
    <w:rsid w:val="004944A9"/>
    <w:rsid w:val="00494538"/>
    <w:rsid w:val="00494592"/>
    <w:rsid w:val="00494843"/>
    <w:rsid w:val="004949D3"/>
    <w:rsid w:val="00494B1D"/>
    <w:rsid w:val="00494CEB"/>
    <w:rsid w:val="00494DBD"/>
    <w:rsid w:val="00494DC3"/>
    <w:rsid w:val="00494DC5"/>
    <w:rsid w:val="00494E17"/>
    <w:rsid w:val="00494ECD"/>
    <w:rsid w:val="00494F1F"/>
    <w:rsid w:val="004950F3"/>
    <w:rsid w:val="00495177"/>
    <w:rsid w:val="0049523A"/>
    <w:rsid w:val="00495250"/>
    <w:rsid w:val="0049535A"/>
    <w:rsid w:val="004953FA"/>
    <w:rsid w:val="004954F7"/>
    <w:rsid w:val="00495641"/>
    <w:rsid w:val="00495696"/>
    <w:rsid w:val="004956F7"/>
    <w:rsid w:val="00495706"/>
    <w:rsid w:val="004957C2"/>
    <w:rsid w:val="0049598E"/>
    <w:rsid w:val="004959D7"/>
    <w:rsid w:val="004959F5"/>
    <w:rsid w:val="00495A87"/>
    <w:rsid w:val="00495B37"/>
    <w:rsid w:val="00495B42"/>
    <w:rsid w:val="00495C33"/>
    <w:rsid w:val="00495DF1"/>
    <w:rsid w:val="00495E01"/>
    <w:rsid w:val="00495E85"/>
    <w:rsid w:val="00495EEE"/>
    <w:rsid w:val="00495F05"/>
    <w:rsid w:val="00495FB1"/>
    <w:rsid w:val="00496142"/>
    <w:rsid w:val="004966DB"/>
    <w:rsid w:val="004966FD"/>
    <w:rsid w:val="00496743"/>
    <w:rsid w:val="00496875"/>
    <w:rsid w:val="00496A49"/>
    <w:rsid w:val="00496BCF"/>
    <w:rsid w:val="00496CB2"/>
    <w:rsid w:val="00496CD3"/>
    <w:rsid w:val="00496D0F"/>
    <w:rsid w:val="00496E92"/>
    <w:rsid w:val="004970EF"/>
    <w:rsid w:val="0049712F"/>
    <w:rsid w:val="004971B8"/>
    <w:rsid w:val="0049729B"/>
    <w:rsid w:val="004974B2"/>
    <w:rsid w:val="00497526"/>
    <w:rsid w:val="00497651"/>
    <w:rsid w:val="0049771A"/>
    <w:rsid w:val="0049785D"/>
    <w:rsid w:val="00497B98"/>
    <w:rsid w:val="00497BB3"/>
    <w:rsid w:val="00497BC9"/>
    <w:rsid w:val="004A005A"/>
    <w:rsid w:val="004A00F0"/>
    <w:rsid w:val="004A01BB"/>
    <w:rsid w:val="004A03B7"/>
    <w:rsid w:val="004A0460"/>
    <w:rsid w:val="004A07C8"/>
    <w:rsid w:val="004A084A"/>
    <w:rsid w:val="004A08A9"/>
    <w:rsid w:val="004A0AA3"/>
    <w:rsid w:val="004A0D5D"/>
    <w:rsid w:val="004A0DB9"/>
    <w:rsid w:val="004A0EBE"/>
    <w:rsid w:val="004A0F09"/>
    <w:rsid w:val="004A1001"/>
    <w:rsid w:val="004A1007"/>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23"/>
    <w:rsid w:val="004A1E6C"/>
    <w:rsid w:val="004A1E96"/>
    <w:rsid w:val="004A1E9F"/>
    <w:rsid w:val="004A1EC5"/>
    <w:rsid w:val="004A1EF9"/>
    <w:rsid w:val="004A1F8E"/>
    <w:rsid w:val="004A209F"/>
    <w:rsid w:val="004A20C5"/>
    <w:rsid w:val="004A20D8"/>
    <w:rsid w:val="004A20E2"/>
    <w:rsid w:val="004A223A"/>
    <w:rsid w:val="004A228C"/>
    <w:rsid w:val="004A22C5"/>
    <w:rsid w:val="004A2394"/>
    <w:rsid w:val="004A2443"/>
    <w:rsid w:val="004A25B2"/>
    <w:rsid w:val="004A283B"/>
    <w:rsid w:val="004A285D"/>
    <w:rsid w:val="004A2A45"/>
    <w:rsid w:val="004A2CD5"/>
    <w:rsid w:val="004A2DA3"/>
    <w:rsid w:val="004A2DDD"/>
    <w:rsid w:val="004A3170"/>
    <w:rsid w:val="004A318B"/>
    <w:rsid w:val="004A31B6"/>
    <w:rsid w:val="004A3409"/>
    <w:rsid w:val="004A3459"/>
    <w:rsid w:val="004A34EA"/>
    <w:rsid w:val="004A3527"/>
    <w:rsid w:val="004A3871"/>
    <w:rsid w:val="004A39A2"/>
    <w:rsid w:val="004A39CE"/>
    <w:rsid w:val="004A3ABB"/>
    <w:rsid w:val="004A3B58"/>
    <w:rsid w:val="004A3E42"/>
    <w:rsid w:val="004A3F8E"/>
    <w:rsid w:val="004A4198"/>
    <w:rsid w:val="004A431D"/>
    <w:rsid w:val="004A4359"/>
    <w:rsid w:val="004A43EE"/>
    <w:rsid w:val="004A448E"/>
    <w:rsid w:val="004A44C4"/>
    <w:rsid w:val="004A45F0"/>
    <w:rsid w:val="004A4604"/>
    <w:rsid w:val="004A4705"/>
    <w:rsid w:val="004A474D"/>
    <w:rsid w:val="004A47FD"/>
    <w:rsid w:val="004A483D"/>
    <w:rsid w:val="004A4AAD"/>
    <w:rsid w:val="004A4B10"/>
    <w:rsid w:val="004A4BB4"/>
    <w:rsid w:val="004A4C33"/>
    <w:rsid w:val="004A4CD5"/>
    <w:rsid w:val="004A4E12"/>
    <w:rsid w:val="004A4E3A"/>
    <w:rsid w:val="004A51F0"/>
    <w:rsid w:val="004A53B7"/>
    <w:rsid w:val="004A54CD"/>
    <w:rsid w:val="004A54D8"/>
    <w:rsid w:val="004A556F"/>
    <w:rsid w:val="004A55A5"/>
    <w:rsid w:val="004A5719"/>
    <w:rsid w:val="004A5764"/>
    <w:rsid w:val="004A57E9"/>
    <w:rsid w:val="004A58F1"/>
    <w:rsid w:val="004A5970"/>
    <w:rsid w:val="004A5984"/>
    <w:rsid w:val="004A5999"/>
    <w:rsid w:val="004A5C56"/>
    <w:rsid w:val="004A5CA8"/>
    <w:rsid w:val="004A5CDE"/>
    <w:rsid w:val="004A5FE3"/>
    <w:rsid w:val="004A5FE8"/>
    <w:rsid w:val="004A61D4"/>
    <w:rsid w:val="004A6271"/>
    <w:rsid w:val="004A6431"/>
    <w:rsid w:val="004A655D"/>
    <w:rsid w:val="004A66E2"/>
    <w:rsid w:val="004A67BE"/>
    <w:rsid w:val="004A6877"/>
    <w:rsid w:val="004A6903"/>
    <w:rsid w:val="004A699F"/>
    <w:rsid w:val="004A6BDB"/>
    <w:rsid w:val="004A6E26"/>
    <w:rsid w:val="004A6E4F"/>
    <w:rsid w:val="004A6F39"/>
    <w:rsid w:val="004A6FFD"/>
    <w:rsid w:val="004A7044"/>
    <w:rsid w:val="004A709F"/>
    <w:rsid w:val="004A70FA"/>
    <w:rsid w:val="004A719E"/>
    <w:rsid w:val="004A726C"/>
    <w:rsid w:val="004A7505"/>
    <w:rsid w:val="004A75B7"/>
    <w:rsid w:val="004A76A9"/>
    <w:rsid w:val="004A76FD"/>
    <w:rsid w:val="004A78F7"/>
    <w:rsid w:val="004A7C57"/>
    <w:rsid w:val="004A7D6C"/>
    <w:rsid w:val="004A7E3A"/>
    <w:rsid w:val="004A7E43"/>
    <w:rsid w:val="004B014D"/>
    <w:rsid w:val="004B0235"/>
    <w:rsid w:val="004B035D"/>
    <w:rsid w:val="004B041C"/>
    <w:rsid w:val="004B0607"/>
    <w:rsid w:val="004B08E9"/>
    <w:rsid w:val="004B08FD"/>
    <w:rsid w:val="004B0C2F"/>
    <w:rsid w:val="004B0E7D"/>
    <w:rsid w:val="004B0E9D"/>
    <w:rsid w:val="004B0F2F"/>
    <w:rsid w:val="004B0F43"/>
    <w:rsid w:val="004B1015"/>
    <w:rsid w:val="004B104B"/>
    <w:rsid w:val="004B10CD"/>
    <w:rsid w:val="004B11D5"/>
    <w:rsid w:val="004B1315"/>
    <w:rsid w:val="004B1408"/>
    <w:rsid w:val="004B1468"/>
    <w:rsid w:val="004B14F2"/>
    <w:rsid w:val="004B15A5"/>
    <w:rsid w:val="004B15B3"/>
    <w:rsid w:val="004B17D4"/>
    <w:rsid w:val="004B199F"/>
    <w:rsid w:val="004B1AF2"/>
    <w:rsid w:val="004B1BB1"/>
    <w:rsid w:val="004B1CA0"/>
    <w:rsid w:val="004B1DC5"/>
    <w:rsid w:val="004B1E2F"/>
    <w:rsid w:val="004B1F06"/>
    <w:rsid w:val="004B1F19"/>
    <w:rsid w:val="004B2110"/>
    <w:rsid w:val="004B243A"/>
    <w:rsid w:val="004B2451"/>
    <w:rsid w:val="004B2530"/>
    <w:rsid w:val="004B261F"/>
    <w:rsid w:val="004B29F9"/>
    <w:rsid w:val="004B2B54"/>
    <w:rsid w:val="004B2BA9"/>
    <w:rsid w:val="004B2CA4"/>
    <w:rsid w:val="004B2D57"/>
    <w:rsid w:val="004B2DCD"/>
    <w:rsid w:val="004B2EE5"/>
    <w:rsid w:val="004B384F"/>
    <w:rsid w:val="004B3989"/>
    <w:rsid w:val="004B3A09"/>
    <w:rsid w:val="004B3A5D"/>
    <w:rsid w:val="004B3A7C"/>
    <w:rsid w:val="004B3A86"/>
    <w:rsid w:val="004B3C58"/>
    <w:rsid w:val="004B3CDE"/>
    <w:rsid w:val="004B3CF3"/>
    <w:rsid w:val="004B3E31"/>
    <w:rsid w:val="004B3EF3"/>
    <w:rsid w:val="004B3F1E"/>
    <w:rsid w:val="004B3F91"/>
    <w:rsid w:val="004B40B6"/>
    <w:rsid w:val="004B4113"/>
    <w:rsid w:val="004B413F"/>
    <w:rsid w:val="004B428E"/>
    <w:rsid w:val="004B45BF"/>
    <w:rsid w:val="004B4641"/>
    <w:rsid w:val="004B4734"/>
    <w:rsid w:val="004B47FC"/>
    <w:rsid w:val="004B4808"/>
    <w:rsid w:val="004B4B06"/>
    <w:rsid w:val="004B4B99"/>
    <w:rsid w:val="004B4DDD"/>
    <w:rsid w:val="004B4F9A"/>
    <w:rsid w:val="004B4FA1"/>
    <w:rsid w:val="004B50E4"/>
    <w:rsid w:val="004B5366"/>
    <w:rsid w:val="004B53A5"/>
    <w:rsid w:val="004B5489"/>
    <w:rsid w:val="004B5500"/>
    <w:rsid w:val="004B5635"/>
    <w:rsid w:val="004B57D0"/>
    <w:rsid w:val="004B57EA"/>
    <w:rsid w:val="004B5AC1"/>
    <w:rsid w:val="004B5ACA"/>
    <w:rsid w:val="004B5AED"/>
    <w:rsid w:val="004B5AF8"/>
    <w:rsid w:val="004B5B2E"/>
    <w:rsid w:val="004B5B78"/>
    <w:rsid w:val="004B5C53"/>
    <w:rsid w:val="004B60EE"/>
    <w:rsid w:val="004B6352"/>
    <w:rsid w:val="004B64A4"/>
    <w:rsid w:val="004B65C3"/>
    <w:rsid w:val="004B66AE"/>
    <w:rsid w:val="004B671F"/>
    <w:rsid w:val="004B6752"/>
    <w:rsid w:val="004B6784"/>
    <w:rsid w:val="004B67FB"/>
    <w:rsid w:val="004B683A"/>
    <w:rsid w:val="004B6980"/>
    <w:rsid w:val="004B6ADD"/>
    <w:rsid w:val="004B6BC3"/>
    <w:rsid w:val="004B6CC7"/>
    <w:rsid w:val="004B6D6B"/>
    <w:rsid w:val="004B6E74"/>
    <w:rsid w:val="004B6FF3"/>
    <w:rsid w:val="004B7008"/>
    <w:rsid w:val="004B701B"/>
    <w:rsid w:val="004B707B"/>
    <w:rsid w:val="004B719F"/>
    <w:rsid w:val="004B7518"/>
    <w:rsid w:val="004B75AA"/>
    <w:rsid w:val="004B75E9"/>
    <w:rsid w:val="004B75F5"/>
    <w:rsid w:val="004B7616"/>
    <w:rsid w:val="004B761A"/>
    <w:rsid w:val="004B7655"/>
    <w:rsid w:val="004B76A2"/>
    <w:rsid w:val="004B76D9"/>
    <w:rsid w:val="004B7763"/>
    <w:rsid w:val="004B7846"/>
    <w:rsid w:val="004B78C2"/>
    <w:rsid w:val="004B792F"/>
    <w:rsid w:val="004B7AC7"/>
    <w:rsid w:val="004B7B13"/>
    <w:rsid w:val="004B7F6C"/>
    <w:rsid w:val="004C002D"/>
    <w:rsid w:val="004C0041"/>
    <w:rsid w:val="004C014C"/>
    <w:rsid w:val="004C0204"/>
    <w:rsid w:val="004C029B"/>
    <w:rsid w:val="004C0325"/>
    <w:rsid w:val="004C038B"/>
    <w:rsid w:val="004C03BA"/>
    <w:rsid w:val="004C03D9"/>
    <w:rsid w:val="004C0498"/>
    <w:rsid w:val="004C054C"/>
    <w:rsid w:val="004C0566"/>
    <w:rsid w:val="004C05F2"/>
    <w:rsid w:val="004C06FF"/>
    <w:rsid w:val="004C0711"/>
    <w:rsid w:val="004C07FB"/>
    <w:rsid w:val="004C091E"/>
    <w:rsid w:val="004C0966"/>
    <w:rsid w:val="004C09E6"/>
    <w:rsid w:val="004C0A0B"/>
    <w:rsid w:val="004C0A27"/>
    <w:rsid w:val="004C0B3E"/>
    <w:rsid w:val="004C0C4D"/>
    <w:rsid w:val="004C0CCD"/>
    <w:rsid w:val="004C10AE"/>
    <w:rsid w:val="004C1363"/>
    <w:rsid w:val="004C1479"/>
    <w:rsid w:val="004C154F"/>
    <w:rsid w:val="004C16CF"/>
    <w:rsid w:val="004C1990"/>
    <w:rsid w:val="004C1E36"/>
    <w:rsid w:val="004C2013"/>
    <w:rsid w:val="004C2130"/>
    <w:rsid w:val="004C21C5"/>
    <w:rsid w:val="004C22FB"/>
    <w:rsid w:val="004C233A"/>
    <w:rsid w:val="004C23F4"/>
    <w:rsid w:val="004C272A"/>
    <w:rsid w:val="004C2823"/>
    <w:rsid w:val="004C2C43"/>
    <w:rsid w:val="004C2C90"/>
    <w:rsid w:val="004C2D4E"/>
    <w:rsid w:val="004C2D7E"/>
    <w:rsid w:val="004C2E45"/>
    <w:rsid w:val="004C2F3F"/>
    <w:rsid w:val="004C31EB"/>
    <w:rsid w:val="004C37BD"/>
    <w:rsid w:val="004C3936"/>
    <w:rsid w:val="004C3BA8"/>
    <w:rsid w:val="004C3BA9"/>
    <w:rsid w:val="004C3C43"/>
    <w:rsid w:val="004C3CCE"/>
    <w:rsid w:val="004C3CDB"/>
    <w:rsid w:val="004C3D54"/>
    <w:rsid w:val="004C3DFE"/>
    <w:rsid w:val="004C3E9E"/>
    <w:rsid w:val="004C3F7C"/>
    <w:rsid w:val="004C4049"/>
    <w:rsid w:val="004C42A2"/>
    <w:rsid w:val="004C4445"/>
    <w:rsid w:val="004C4502"/>
    <w:rsid w:val="004C452A"/>
    <w:rsid w:val="004C4565"/>
    <w:rsid w:val="004C463B"/>
    <w:rsid w:val="004C46AD"/>
    <w:rsid w:val="004C46B7"/>
    <w:rsid w:val="004C46F4"/>
    <w:rsid w:val="004C476D"/>
    <w:rsid w:val="004C486D"/>
    <w:rsid w:val="004C4885"/>
    <w:rsid w:val="004C4C24"/>
    <w:rsid w:val="004C54DD"/>
    <w:rsid w:val="004C54F9"/>
    <w:rsid w:val="004C564C"/>
    <w:rsid w:val="004C56F0"/>
    <w:rsid w:val="004C5783"/>
    <w:rsid w:val="004C590D"/>
    <w:rsid w:val="004C591F"/>
    <w:rsid w:val="004C5AF5"/>
    <w:rsid w:val="004C5B61"/>
    <w:rsid w:val="004C5C14"/>
    <w:rsid w:val="004C5CB4"/>
    <w:rsid w:val="004C5CB9"/>
    <w:rsid w:val="004C5CE2"/>
    <w:rsid w:val="004C5D2F"/>
    <w:rsid w:val="004C5D58"/>
    <w:rsid w:val="004C6031"/>
    <w:rsid w:val="004C6461"/>
    <w:rsid w:val="004C652A"/>
    <w:rsid w:val="004C66B5"/>
    <w:rsid w:val="004C6968"/>
    <w:rsid w:val="004C69D7"/>
    <w:rsid w:val="004C6B77"/>
    <w:rsid w:val="004C6DBD"/>
    <w:rsid w:val="004C6E7C"/>
    <w:rsid w:val="004C708D"/>
    <w:rsid w:val="004C7162"/>
    <w:rsid w:val="004C71FC"/>
    <w:rsid w:val="004C7309"/>
    <w:rsid w:val="004C7599"/>
    <w:rsid w:val="004C7629"/>
    <w:rsid w:val="004C7674"/>
    <w:rsid w:val="004C775C"/>
    <w:rsid w:val="004C77D0"/>
    <w:rsid w:val="004C7962"/>
    <w:rsid w:val="004C797C"/>
    <w:rsid w:val="004C7A07"/>
    <w:rsid w:val="004C7BC5"/>
    <w:rsid w:val="004C7D8C"/>
    <w:rsid w:val="004C7F30"/>
    <w:rsid w:val="004D0152"/>
    <w:rsid w:val="004D0384"/>
    <w:rsid w:val="004D078D"/>
    <w:rsid w:val="004D08A5"/>
    <w:rsid w:val="004D0C52"/>
    <w:rsid w:val="004D0F02"/>
    <w:rsid w:val="004D106A"/>
    <w:rsid w:val="004D108A"/>
    <w:rsid w:val="004D112B"/>
    <w:rsid w:val="004D112F"/>
    <w:rsid w:val="004D117B"/>
    <w:rsid w:val="004D1235"/>
    <w:rsid w:val="004D12B2"/>
    <w:rsid w:val="004D1385"/>
    <w:rsid w:val="004D1486"/>
    <w:rsid w:val="004D14D4"/>
    <w:rsid w:val="004D14F3"/>
    <w:rsid w:val="004D166E"/>
    <w:rsid w:val="004D17AB"/>
    <w:rsid w:val="004D17FC"/>
    <w:rsid w:val="004D1862"/>
    <w:rsid w:val="004D1B25"/>
    <w:rsid w:val="004D1B7B"/>
    <w:rsid w:val="004D1CFD"/>
    <w:rsid w:val="004D1DDE"/>
    <w:rsid w:val="004D1F0A"/>
    <w:rsid w:val="004D1F5F"/>
    <w:rsid w:val="004D2184"/>
    <w:rsid w:val="004D21FA"/>
    <w:rsid w:val="004D265C"/>
    <w:rsid w:val="004D26F0"/>
    <w:rsid w:val="004D285E"/>
    <w:rsid w:val="004D2A64"/>
    <w:rsid w:val="004D2B0F"/>
    <w:rsid w:val="004D3176"/>
    <w:rsid w:val="004D32A1"/>
    <w:rsid w:val="004D3419"/>
    <w:rsid w:val="004D37BD"/>
    <w:rsid w:val="004D38BB"/>
    <w:rsid w:val="004D390D"/>
    <w:rsid w:val="004D3952"/>
    <w:rsid w:val="004D3A6F"/>
    <w:rsid w:val="004D3A91"/>
    <w:rsid w:val="004D3AE4"/>
    <w:rsid w:val="004D3B20"/>
    <w:rsid w:val="004D3BB5"/>
    <w:rsid w:val="004D3DCA"/>
    <w:rsid w:val="004D4013"/>
    <w:rsid w:val="004D41BC"/>
    <w:rsid w:val="004D435F"/>
    <w:rsid w:val="004D45C7"/>
    <w:rsid w:val="004D463F"/>
    <w:rsid w:val="004D464F"/>
    <w:rsid w:val="004D4694"/>
    <w:rsid w:val="004D4786"/>
    <w:rsid w:val="004D4922"/>
    <w:rsid w:val="004D4941"/>
    <w:rsid w:val="004D49DB"/>
    <w:rsid w:val="004D4ABC"/>
    <w:rsid w:val="004D4B73"/>
    <w:rsid w:val="004D4C8D"/>
    <w:rsid w:val="004D4D5A"/>
    <w:rsid w:val="004D4DF9"/>
    <w:rsid w:val="004D4EE6"/>
    <w:rsid w:val="004D512B"/>
    <w:rsid w:val="004D51EF"/>
    <w:rsid w:val="004D522C"/>
    <w:rsid w:val="004D52B1"/>
    <w:rsid w:val="004D54A1"/>
    <w:rsid w:val="004D54C8"/>
    <w:rsid w:val="004D54EE"/>
    <w:rsid w:val="004D554D"/>
    <w:rsid w:val="004D55D0"/>
    <w:rsid w:val="004D560F"/>
    <w:rsid w:val="004D5721"/>
    <w:rsid w:val="004D577C"/>
    <w:rsid w:val="004D589A"/>
    <w:rsid w:val="004D5C17"/>
    <w:rsid w:val="004D5CA2"/>
    <w:rsid w:val="004D5CDA"/>
    <w:rsid w:val="004D5DA3"/>
    <w:rsid w:val="004D5DFE"/>
    <w:rsid w:val="004D5E21"/>
    <w:rsid w:val="004D5FBE"/>
    <w:rsid w:val="004D6068"/>
    <w:rsid w:val="004D616B"/>
    <w:rsid w:val="004D62F1"/>
    <w:rsid w:val="004D6408"/>
    <w:rsid w:val="004D6817"/>
    <w:rsid w:val="004D694D"/>
    <w:rsid w:val="004D69DD"/>
    <w:rsid w:val="004D6A40"/>
    <w:rsid w:val="004D6AC9"/>
    <w:rsid w:val="004D6E47"/>
    <w:rsid w:val="004D6E90"/>
    <w:rsid w:val="004D6F9C"/>
    <w:rsid w:val="004D7073"/>
    <w:rsid w:val="004D7357"/>
    <w:rsid w:val="004D73ED"/>
    <w:rsid w:val="004D74C2"/>
    <w:rsid w:val="004D74CF"/>
    <w:rsid w:val="004D7503"/>
    <w:rsid w:val="004D7633"/>
    <w:rsid w:val="004D769C"/>
    <w:rsid w:val="004D76AA"/>
    <w:rsid w:val="004D7742"/>
    <w:rsid w:val="004D784F"/>
    <w:rsid w:val="004D7874"/>
    <w:rsid w:val="004D7887"/>
    <w:rsid w:val="004D790A"/>
    <w:rsid w:val="004D7932"/>
    <w:rsid w:val="004D7B21"/>
    <w:rsid w:val="004D7BBC"/>
    <w:rsid w:val="004D7C27"/>
    <w:rsid w:val="004D7CB0"/>
    <w:rsid w:val="004D7E45"/>
    <w:rsid w:val="004E0010"/>
    <w:rsid w:val="004E014F"/>
    <w:rsid w:val="004E024F"/>
    <w:rsid w:val="004E052E"/>
    <w:rsid w:val="004E0916"/>
    <w:rsid w:val="004E09A5"/>
    <w:rsid w:val="004E0A03"/>
    <w:rsid w:val="004E0A24"/>
    <w:rsid w:val="004E0DF7"/>
    <w:rsid w:val="004E0E7C"/>
    <w:rsid w:val="004E11FB"/>
    <w:rsid w:val="004E12D6"/>
    <w:rsid w:val="004E13B1"/>
    <w:rsid w:val="004E1426"/>
    <w:rsid w:val="004E149F"/>
    <w:rsid w:val="004E1571"/>
    <w:rsid w:val="004E15AB"/>
    <w:rsid w:val="004E169B"/>
    <w:rsid w:val="004E16B6"/>
    <w:rsid w:val="004E189B"/>
    <w:rsid w:val="004E1907"/>
    <w:rsid w:val="004E19A1"/>
    <w:rsid w:val="004E19A8"/>
    <w:rsid w:val="004E1A3B"/>
    <w:rsid w:val="004E1A70"/>
    <w:rsid w:val="004E1B97"/>
    <w:rsid w:val="004E1C1F"/>
    <w:rsid w:val="004E1E78"/>
    <w:rsid w:val="004E20A8"/>
    <w:rsid w:val="004E20D3"/>
    <w:rsid w:val="004E252E"/>
    <w:rsid w:val="004E26BC"/>
    <w:rsid w:val="004E26DD"/>
    <w:rsid w:val="004E27D8"/>
    <w:rsid w:val="004E2802"/>
    <w:rsid w:val="004E2813"/>
    <w:rsid w:val="004E2854"/>
    <w:rsid w:val="004E285E"/>
    <w:rsid w:val="004E29DF"/>
    <w:rsid w:val="004E2A8F"/>
    <w:rsid w:val="004E2AD9"/>
    <w:rsid w:val="004E2BBD"/>
    <w:rsid w:val="004E2C42"/>
    <w:rsid w:val="004E2D2B"/>
    <w:rsid w:val="004E2E6B"/>
    <w:rsid w:val="004E2F2C"/>
    <w:rsid w:val="004E2F42"/>
    <w:rsid w:val="004E316F"/>
    <w:rsid w:val="004E3223"/>
    <w:rsid w:val="004E345D"/>
    <w:rsid w:val="004E34F4"/>
    <w:rsid w:val="004E3649"/>
    <w:rsid w:val="004E3846"/>
    <w:rsid w:val="004E390B"/>
    <w:rsid w:val="004E3AA6"/>
    <w:rsid w:val="004E3AAF"/>
    <w:rsid w:val="004E3BF6"/>
    <w:rsid w:val="004E3CB0"/>
    <w:rsid w:val="004E4158"/>
    <w:rsid w:val="004E4194"/>
    <w:rsid w:val="004E424D"/>
    <w:rsid w:val="004E4287"/>
    <w:rsid w:val="004E42A9"/>
    <w:rsid w:val="004E43B0"/>
    <w:rsid w:val="004E43E0"/>
    <w:rsid w:val="004E47D4"/>
    <w:rsid w:val="004E47D8"/>
    <w:rsid w:val="004E48F5"/>
    <w:rsid w:val="004E4C0C"/>
    <w:rsid w:val="004E4C24"/>
    <w:rsid w:val="004E4DFE"/>
    <w:rsid w:val="004E4F22"/>
    <w:rsid w:val="004E51DD"/>
    <w:rsid w:val="004E52AF"/>
    <w:rsid w:val="004E53A1"/>
    <w:rsid w:val="004E54B0"/>
    <w:rsid w:val="004E562E"/>
    <w:rsid w:val="004E5735"/>
    <w:rsid w:val="004E58FE"/>
    <w:rsid w:val="004E59CF"/>
    <w:rsid w:val="004E5A20"/>
    <w:rsid w:val="004E5A95"/>
    <w:rsid w:val="004E5AB7"/>
    <w:rsid w:val="004E5B63"/>
    <w:rsid w:val="004E5C07"/>
    <w:rsid w:val="004E5DC3"/>
    <w:rsid w:val="004E5EDA"/>
    <w:rsid w:val="004E5EEA"/>
    <w:rsid w:val="004E6106"/>
    <w:rsid w:val="004E62A9"/>
    <w:rsid w:val="004E62BA"/>
    <w:rsid w:val="004E6349"/>
    <w:rsid w:val="004E63CB"/>
    <w:rsid w:val="004E63D7"/>
    <w:rsid w:val="004E6520"/>
    <w:rsid w:val="004E65BA"/>
    <w:rsid w:val="004E6616"/>
    <w:rsid w:val="004E6774"/>
    <w:rsid w:val="004E6899"/>
    <w:rsid w:val="004E6998"/>
    <w:rsid w:val="004E69DC"/>
    <w:rsid w:val="004E6A8C"/>
    <w:rsid w:val="004E6ACB"/>
    <w:rsid w:val="004E6B49"/>
    <w:rsid w:val="004E6BF4"/>
    <w:rsid w:val="004E6C55"/>
    <w:rsid w:val="004E6F22"/>
    <w:rsid w:val="004E6FE1"/>
    <w:rsid w:val="004E7062"/>
    <w:rsid w:val="004E7183"/>
    <w:rsid w:val="004E72FD"/>
    <w:rsid w:val="004E7335"/>
    <w:rsid w:val="004E73EF"/>
    <w:rsid w:val="004E747F"/>
    <w:rsid w:val="004E74EA"/>
    <w:rsid w:val="004E755B"/>
    <w:rsid w:val="004E771B"/>
    <w:rsid w:val="004E77B3"/>
    <w:rsid w:val="004E783D"/>
    <w:rsid w:val="004E7885"/>
    <w:rsid w:val="004E7CD9"/>
    <w:rsid w:val="004E7D22"/>
    <w:rsid w:val="004E7DB9"/>
    <w:rsid w:val="004E7E36"/>
    <w:rsid w:val="004E7FC0"/>
    <w:rsid w:val="004F00B6"/>
    <w:rsid w:val="004F016C"/>
    <w:rsid w:val="004F03AA"/>
    <w:rsid w:val="004F061F"/>
    <w:rsid w:val="004F0D87"/>
    <w:rsid w:val="004F0DE9"/>
    <w:rsid w:val="004F0E3F"/>
    <w:rsid w:val="004F0F18"/>
    <w:rsid w:val="004F12E3"/>
    <w:rsid w:val="004F13D4"/>
    <w:rsid w:val="004F1457"/>
    <w:rsid w:val="004F1473"/>
    <w:rsid w:val="004F14A6"/>
    <w:rsid w:val="004F150C"/>
    <w:rsid w:val="004F151D"/>
    <w:rsid w:val="004F15B5"/>
    <w:rsid w:val="004F178A"/>
    <w:rsid w:val="004F18B9"/>
    <w:rsid w:val="004F18FE"/>
    <w:rsid w:val="004F1B25"/>
    <w:rsid w:val="004F1DF7"/>
    <w:rsid w:val="004F1E56"/>
    <w:rsid w:val="004F2160"/>
    <w:rsid w:val="004F2305"/>
    <w:rsid w:val="004F249C"/>
    <w:rsid w:val="004F24F7"/>
    <w:rsid w:val="004F2625"/>
    <w:rsid w:val="004F2861"/>
    <w:rsid w:val="004F286D"/>
    <w:rsid w:val="004F299B"/>
    <w:rsid w:val="004F29A9"/>
    <w:rsid w:val="004F2B64"/>
    <w:rsid w:val="004F2DB1"/>
    <w:rsid w:val="004F2DC1"/>
    <w:rsid w:val="004F2E0C"/>
    <w:rsid w:val="004F2F39"/>
    <w:rsid w:val="004F2F4E"/>
    <w:rsid w:val="004F2F51"/>
    <w:rsid w:val="004F2FC8"/>
    <w:rsid w:val="004F30FF"/>
    <w:rsid w:val="004F312F"/>
    <w:rsid w:val="004F313D"/>
    <w:rsid w:val="004F32C7"/>
    <w:rsid w:val="004F32CE"/>
    <w:rsid w:val="004F3319"/>
    <w:rsid w:val="004F35C6"/>
    <w:rsid w:val="004F35EB"/>
    <w:rsid w:val="004F3884"/>
    <w:rsid w:val="004F38D8"/>
    <w:rsid w:val="004F39B1"/>
    <w:rsid w:val="004F3BCA"/>
    <w:rsid w:val="004F3BE4"/>
    <w:rsid w:val="004F3CC2"/>
    <w:rsid w:val="004F3E09"/>
    <w:rsid w:val="004F3E6F"/>
    <w:rsid w:val="004F3EAF"/>
    <w:rsid w:val="004F3EE4"/>
    <w:rsid w:val="004F41F0"/>
    <w:rsid w:val="004F446D"/>
    <w:rsid w:val="004F447D"/>
    <w:rsid w:val="004F44EE"/>
    <w:rsid w:val="004F45A7"/>
    <w:rsid w:val="004F4772"/>
    <w:rsid w:val="004F47EE"/>
    <w:rsid w:val="004F48B9"/>
    <w:rsid w:val="004F48D0"/>
    <w:rsid w:val="004F4AA2"/>
    <w:rsid w:val="004F4AAB"/>
    <w:rsid w:val="004F4AB1"/>
    <w:rsid w:val="004F4DB6"/>
    <w:rsid w:val="004F4DE8"/>
    <w:rsid w:val="004F4E80"/>
    <w:rsid w:val="004F4FF5"/>
    <w:rsid w:val="004F51D3"/>
    <w:rsid w:val="004F54F4"/>
    <w:rsid w:val="004F589D"/>
    <w:rsid w:val="004F59FC"/>
    <w:rsid w:val="004F5A12"/>
    <w:rsid w:val="004F5A14"/>
    <w:rsid w:val="004F5B34"/>
    <w:rsid w:val="004F5B65"/>
    <w:rsid w:val="004F5CF3"/>
    <w:rsid w:val="004F5D05"/>
    <w:rsid w:val="004F5D9C"/>
    <w:rsid w:val="004F5F8F"/>
    <w:rsid w:val="004F6005"/>
    <w:rsid w:val="004F6379"/>
    <w:rsid w:val="004F637E"/>
    <w:rsid w:val="004F637F"/>
    <w:rsid w:val="004F6404"/>
    <w:rsid w:val="004F64C7"/>
    <w:rsid w:val="004F6542"/>
    <w:rsid w:val="004F658A"/>
    <w:rsid w:val="004F6639"/>
    <w:rsid w:val="004F69C3"/>
    <w:rsid w:val="004F6B39"/>
    <w:rsid w:val="004F6B4F"/>
    <w:rsid w:val="004F6CCB"/>
    <w:rsid w:val="004F6E6E"/>
    <w:rsid w:val="004F6EA0"/>
    <w:rsid w:val="004F7058"/>
    <w:rsid w:val="004F766E"/>
    <w:rsid w:val="004F77F2"/>
    <w:rsid w:val="004F781A"/>
    <w:rsid w:val="004F7837"/>
    <w:rsid w:val="004F789B"/>
    <w:rsid w:val="004F7973"/>
    <w:rsid w:val="004F7998"/>
    <w:rsid w:val="004F7A47"/>
    <w:rsid w:val="004F7A66"/>
    <w:rsid w:val="004F7AB0"/>
    <w:rsid w:val="004F7AC3"/>
    <w:rsid w:val="004F7C3A"/>
    <w:rsid w:val="004F7CAE"/>
    <w:rsid w:val="004F7F8A"/>
    <w:rsid w:val="005001C5"/>
    <w:rsid w:val="005001D3"/>
    <w:rsid w:val="005002F3"/>
    <w:rsid w:val="0050045C"/>
    <w:rsid w:val="00500534"/>
    <w:rsid w:val="00500760"/>
    <w:rsid w:val="00500AFC"/>
    <w:rsid w:val="00500E9A"/>
    <w:rsid w:val="00500F03"/>
    <w:rsid w:val="00500F7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A85"/>
    <w:rsid w:val="00501B67"/>
    <w:rsid w:val="00501D5A"/>
    <w:rsid w:val="00501FF2"/>
    <w:rsid w:val="005020D9"/>
    <w:rsid w:val="00502456"/>
    <w:rsid w:val="00502526"/>
    <w:rsid w:val="005025A2"/>
    <w:rsid w:val="00502904"/>
    <w:rsid w:val="005029AF"/>
    <w:rsid w:val="005029FC"/>
    <w:rsid w:val="00502AB4"/>
    <w:rsid w:val="00502B00"/>
    <w:rsid w:val="00502D80"/>
    <w:rsid w:val="00502F3C"/>
    <w:rsid w:val="00502F44"/>
    <w:rsid w:val="00502F60"/>
    <w:rsid w:val="00502FFF"/>
    <w:rsid w:val="005030D3"/>
    <w:rsid w:val="00503210"/>
    <w:rsid w:val="00503239"/>
    <w:rsid w:val="0050333D"/>
    <w:rsid w:val="005034A7"/>
    <w:rsid w:val="0050371C"/>
    <w:rsid w:val="005037DE"/>
    <w:rsid w:val="00503863"/>
    <w:rsid w:val="0050399C"/>
    <w:rsid w:val="00503A05"/>
    <w:rsid w:val="00503B55"/>
    <w:rsid w:val="00503DEA"/>
    <w:rsid w:val="00503DEF"/>
    <w:rsid w:val="00503DF2"/>
    <w:rsid w:val="00503EA2"/>
    <w:rsid w:val="00503F88"/>
    <w:rsid w:val="00504266"/>
    <w:rsid w:val="00504469"/>
    <w:rsid w:val="0050447A"/>
    <w:rsid w:val="005044B1"/>
    <w:rsid w:val="005044E3"/>
    <w:rsid w:val="0050450E"/>
    <w:rsid w:val="00504538"/>
    <w:rsid w:val="0050462E"/>
    <w:rsid w:val="00504648"/>
    <w:rsid w:val="00504678"/>
    <w:rsid w:val="00504687"/>
    <w:rsid w:val="0050472E"/>
    <w:rsid w:val="005047C7"/>
    <w:rsid w:val="005048EB"/>
    <w:rsid w:val="00504AA5"/>
    <w:rsid w:val="00504B29"/>
    <w:rsid w:val="00504C8C"/>
    <w:rsid w:val="00504DBD"/>
    <w:rsid w:val="00504E5E"/>
    <w:rsid w:val="00504F41"/>
    <w:rsid w:val="00504FF4"/>
    <w:rsid w:val="00505149"/>
    <w:rsid w:val="00505201"/>
    <w:rsid w:val="00505369"/>
    <w:rsid w:val="00505518"/>
    <w:rsid w:val="0050553B"/>
    <w:rsid w:val="00505553"/>
    <w:rsid w:val="00505608"/>
    <w:rsid w:val="00505618"/>
    <w:rsid w:val="0050564E"/>
    <w:rsid w:val="0050578E"/>
    <w:rsid w:val="0050579A"/>
    <w:rsid w:val="0050595B"/>
    <w:rsid w:val="005059EF"/>
    <w:rsid w:val="00505A86"/>
    <w:rsid w:val="00505BB4"/>
    <w:rsid w:val="00505D70"/>
    <w:rsid w:val="00505D7B"/>
    <w:rsid w:val="00505F5F"/>
    <w:rsid w:val="00506289"/>
    <w:rsid w:val="0050631E"/>
    <w:rsid w:val="005064B8"/>
    <w:rsid w:val="005064C7"/>
    <w:rsid w:val="005066E8"/>
    <w:rsid w:val="005068FF"/>
    <w:rsid w:val="00506905"/>
    <w:rsid w:val="005069F3"/>
    <w:rsid w:val="00506A21"/>
    <w:rsid w:val="00506AC2"/>
    <w:rsid w:val="00506BA4"/>
    <w:rsid w:val="00506BAC"/>
    <w:rsid w:val="00506F72"/>
    <w:rsid w:val="00507193"/>
    <w:rsid w:val="00507346"/>
    <w:rsid w:val="0050744D"/>
    <w:rsid w:val="00507583"/>
    <w:rsid w:val="005077A0"/>
    <w:rsid w:val="005078E7"/>
    <w:rsid w:val="00507965"/>
    <w:rsid w:val="005079AD"/>
    <w:rsid w:val="00507B88"/>
    <w:rsid w:val="00507C43"/>
    <w:rsid w:val="00507CD5"/>
    <w:rsid w:val="00507D29"/>
    <w:rsid w:val="00507DBE"/>
    <w:rsid w:val="00507DE9"/>
    <w:rsid w:val="00507E5B"/>
    <w:rsid w:val="00507E62"/>
    <w:rsid w:val="00507F35"/>
    <w:rsid w:val="00507F41"/>
    <w:rsid w:val="00507FC6"/>
    <w:rsid w:val="005100A5"/>
    <w:rsid w:val="00510139"/>
    <w:rsid w:val="0051020A"/>
    <w:rsid w:val="00510238"/>
    <w:rsid w:val="0051030B"/>
    <w:rsid w:val="0051033D"/>
    <w:rsid w:val="00510371"/>
    <w:rsid w:val="0051037D"/>
    <w:rsid w:val="0051039F"/>
    <w:rsid w:val="005103C7"/>
    <w:rsid w:val="005103CD"/>
    <w:rsid w:val="005104A4"/>
    <w:rsid w:val="005105D7"/>
    <w:rsid w:val="005109A1"/>
    <w:rsid w:val="00510B8E"/>
    <w:rsid w:val="00510BED"/>
    <w:rsid w:val="00510C4D"/>
    <w:rsid w:val="00510CC9"/>
    <w:rsid w:val="00510D15"/>
    <w:rsid w:val="00510D41"/>
    <w:rsid w:val="00510E63"/>
    <w:rsid w:val="00510EB1"/>
    <w:rsid w:val="00510EF3"/>
    <w:rsid w:val="00511062"/>
    <w:rsid w:val="0051115E"/>
    <w:rsid w:val="00511184"/>
    <w:rsid w:val="00511226"/>
    <w:rsid w:val="00511359"/>
    <w:rsid w:val="005113AC"/>
    <w:rsid w:val="0051144D"/>
    <w:rsid w:val="00511622"/>
    <w:rsid w:val="0051163D"/>
    <w:rsid w:val="00511A1C"/>
    <w:rsid w:val="00511C6C"/>
    <w:rsid w:val="00511CB8"/>
    <w:rsid w:val="00511D1E"/>
    <w:rsid w:val="00511F7C"/>
    <w:rsid w:val="00511FEB"/>
    <w:rsid w:val="005120CE"/>
    <w:rsid w:val="005122F7"/>
    <w:rsid w:val="00512375"/>
    <w:rsid w:val="005123B8"/>
    <w:rsid w:val="005124AE"/>
    <w:rsid w:val="005125D4"/>
    <w:rsid w:val="0051283C"/>
    <w:rsid w:val="00512DF2"/>
    <w:rsid w:val="00512ECA"/>
    <w:rsid w:val="00513253"/>
    <w:rsid w:val="00513318"/>
    <w:rsid w:val="00513373"/>
    <w:rsid w:val="0051338D"/>
    <w:rsid w:val="005134A8"/>
    <w:rsid w:val="00513762"/>
    <w:rsid w:val="00513D78"/>
    <w:rsid w:val="00513DD4"/>
    <w:rsid w:val="00513E30"/>
    <w:rsid w:val="00514316"/>
    <w:rsid w:val="00514388"/>
    <w:rsid w:val="00514520"/>
    <w:rsid w:val="0051452C"/>
    <w:rsid w:val="00514571"/>
    <w:rsid w:val="005147CE"/>
    <w:rsid w:val="005147EA"/>
    <w:rsid w:val="0051491D"/>
    <w:rsid w:val="005149CD"/>
    <w:rsid w:val="00514B37"/>
    <w:rsid w:val="00514BEC"/>
    <w:rsid w:val="00514BFE"/>
    <w:rsid w:val="00514C5E"/>
    <w:rsid w:val="00514E5C"/>
    <w:rsid w:val="00514E8B"/>
    <w:rsid w:val="00514E9D"/>
    <w:rsid w:val="005153E1"/>
    <w:rsid w:val="00515491"/>
    <w:rsid w:val="005155A9"/>
    <w:rsid w:val="00515676"/>
    <w:rsid w:val="00515711"/>
    <w:rsid w:val="0051580C"/>
    <w:rsid w:val="00515A6E"/>
    <w:rsid w:val="00515B42"/>
    <w:rsid w:val="00515BA1"/>
    <w:rsid w:val="00515BFA"/>
    <w:rsid w:val="00515D4F"/>
    <w:rsid w:val="00515D83"/>
    <w:rsid w:val="00515E34"/>
    <w:rsid w:val="00516033"/>
    <w:rsid w:val="0051632A"/>
    <w:rsid w:val="00516345"/>
    <w:rsid w:val="005165B3"/>
    <w:rsid w:val="0051675F"/>
    <w:rsid w:val="00516780"/>
    <w:rsid w:val="00516951"/>
    <w:rsid w:val="00516B24"/>
    <w:rsid w:val="00516B66"/>
    <w:rsid w:val="00516B8F"/>
    <w:rsid w:val="00516BB9"/>
    <w:rsid w:val="00516DCC"/>
    <w:rsid w:val="00516DEA"/>
    <w:rsid w:val="00516E82"/>
    <w:rsid w:val="00516F16"/>
    <w:rsid w:val="00516F26"/>
    <w:rsid w:val="00516FD9"/>
    <w:rsid w:val="005170D2"/>
    <w:rsid w:val="0051729D"/>
    <w:rsid w:val="005172A0"/>
    <w:rsid w:val="00517383"/>
    <w:rsid w:val="0051740A"/>
    <w:rsid w:val="005175BC"/>
    <w:rsid w:val="00517681"/>
    <w:rsid w:val="0051774A"/>
    <w:rsid w:val="0051792A"/>
    <w:rsid w:val="00517A1F"/>
    <w:rsid w:val="00517B37"/>
    <w:rsid w:val="00517C8C"/>
    <w:rsid w:val="00517CB3"/>
    <w:rsid w:val="00517D41"/>
    <w:rsid w:val="00517EDE"/>
    <w:rsid w:val="00517EF4"/>
    <w:rsid w:val="00517F24"/>
    <w:rsid w:val="00517F7F"/>
    <w:rsid w:val="005200C0"/>
    <w:rsid w:val="0052021E"/>
    <w:rsid w:val="0052032B"/>
    <w:rsid w:val="00520360"/>
    <w:rsid w:val="005204F3"/>
    <w:rsid w:val="00520519"/>
    <w:rsid w:val="0052052C"/>
    <w:rsid w:val="005205D7"/>
    <w:rsid w:val="00520718"/>
    <w:rsid w:val="005207F6"/>
    <w:rsid w:val="0052080F"/>
    <w:rsid w:val="00520861"/>
    <w:rsid w:val="005208A6"/>
    <w:rsid w:val="005209D0"/>
    <w:rsid w:val="00520B28"/>
    <w:rsid w:val="00520DAB"/>
    <w:rsid w:val="00520E48"/>
    <w:rsid w:val="00520E58"/>
    <w:rsid w:val="00520EB5"/>
    <w:rsid w:val="0052101C"/>
    <w:rsid w:val="00521136"/>
    <w:rsid w:val="00521181"/>
    <w:rsid w:val="005211BB"/>
    <w:rsid w:val="005211BF"/>
    <w:rsid w:val="0052128A"/>
    <w:rsid w:val="005212FA"/>
    <w:rsid w:val="00521375"/>
    <w:rsid w:val="00521664"/>
    <w:rsid w:val="005218F5"/>
    <w:rsid w:val="00521C2C"/>
    <w:rsid w:val="00521C2D"/>
    <w:rsid w:val="00521C9C"/>
    <w:rsid w:val="00521D2F"/>
    <w:rsid w:val="00521D60"/>
    <w:rsid w:val="00521ED1"/>
    <w:rsid w:val="005222E3"/>
    <w:rsid w:val="0052234B"/>
    <w:rsid w:val="00522375"/>
    <w:rsid w:val="005224B3"/>
    <w:rsid w:val="005225FC"/>
    <w:rsid w:val="005226F2"/>
    <w:rsid w:val="005226F9"/>
    <w:rsid w:val="00522756"/>
    <w:rsid w:val="00522A31"/>
    <w:rsid w:val="00522B3B"/>
    <w:rsid w:val="00522BA9"/>
    <w:rsid w:val="00522BB3"/>
    <w:rsid w:val="00522C2B"/>
    <w:rsid w:val="00522E72"/>
    <w:rsid w:val="00522E9B"/>
    <w:rsid w:val="00522FB8"/>
    <w:rsid w:val="00522FDB"/>
    <w:rsid w:val="00523134"/>
    <w:rsid w:val="00523157"/>
    <w:rsid w:val="00523314"/>
    <w:rsid w:val="0052332B"/>
    <w:rsid w:val="005234DB"/>
    <w:rsid w:val="005236C4"/>
    <w:rsid w:val="00523731"/>
    <w:rsid w:val="00523816"/>
    <w:rsid w:val="00523C95"/>
    <w:rsid w:val="00523CE0"/>
    <w:rsid w:val="00523D2B"/>
    <w:rsid w:val="00523E23"/>
    <w:rsid w:val="005240A3"/>
    <w:rsid w:val="00524374"/>
    <w:rsid w:val="00524412"/>
    <w:rsid w:val="00524456"/>
    <w:rsid w:val="00524602"/>
    <w:rsid w:val="0052461B"/>
    <w:rsid w:val="005248CD"/>
    <w:rsid w:val="00524A89"/>
    <w:rsid w:val="00524AAB"/>
    <w:rsid w:val="00524D28"/>
    <w:rsid w:val="00524D6D"/>
    <w:rsid w:val="00524E42"/>
    <w:rsid w:val="00524EC5"/>
    <w:rsid w:val="00524FAD"/>
    <w:rsid w:val="00525038"/>
    <w:rsid w:val="0052516B"/>
    <w:rsid w:val="00525265"/>
    <w:rsid w:val="00525422"/>
    <w:rsid w:val="00525763"/>
    <w:rsid w:val="005258E3"/>
    <w:rsid w:val="00525A70"/>
    <w:rsid w:val="00525ABF"/>
    <w:rsid w:val="00525BDE"/>
    <w:rsid w:val="00525D94"/>
    <w:rsid w:val="00525E1D"/>
    <w:rsid w:val="00525EA2"/>
    <w:rsid w:val="00525EE9"/>
    <w:rsid w:val="00525F4D"/>
    <w:rsid w:val="0052600F"/>
    <w:rsid w:val="0052608A"/>
    <w:rsid w:val="005260DF"/>
    <w:rsid w:val="005261C3"/>
    <w:rsid w:val="00526528"/>
    <w:rsid w:val="005265CE"/>
    <w:rsid w:val="0052670D"/>
    <w:rsid w:val="00526946"/>
    <w:rsid w:val="0052694C"/>
    <w:rsid w:val="00526A50"/>
    <w:rsid w:val="00526C86"/>
    <w:rsid w:val="00526E74"/>
    <w:rsid w:val="00526FE6"/>
    <w:rsid w:val="00527003"/>
    <w:rsid w:val="00527051"/>
    <w:rsid w:val="0052707D"/>
    <w:rsid w:val="005271BB"/>
    <w:rsid w:val="00527207"/>
    <w:rsid w:val="0052740A"/>
    <w:rsid w:val="0052756A"/>
    <w:rsid w:val="005277EB"/>
    <w:rsid w:val="005279D7"/>
    <w:rsid w:val="00527AE1"/>
    <w:rsid w:val="00527C9B"/>
    <w:rsid w:val="00527C9E"/>
    <w:rsid w:val="00527CBC"/>
    <w:rsid w:val="00527CED"/>
    <w:rsid w:val="00527D79"/>
    <w:rsid w:val="00527DE0"/>
    <w:rsid w:val="00527F6B"/>
    <w:rsid w:val="0053042D"/>
    <w:rsid w:val="00530479"/>
    <w:rsid w:val="00530491"/>
    <w:rsid w:val="00530551"/>
    <w:rsid w:val="00530584"/>
    <w:rsid w:val="00530726"/>
    <w:rsid w:val="005307B5"/>
    <w:rsid w:val="00530878"/>
    <w:rsid w:val="00530A02"/>
    <w:rsid w:val="00530C10"/>
    <w:rsid w:val="00530C8F"/>
    <w:rsid w:val="00530CD2"/>
    <w:rsid w:val="00530CFB"/>
    <w:rsid w:val="00530D50"/>
    <w:rsid w:val="005310B5"/>
    <w:rsid w:val="005310D1"/>
    <w:rsid w:val="0053118C"/>
    <w:rsid w:val="005311AA"/>
    <w:rsid w:val="005314CF"/>
    <w:rsid w:val="0053150E"/>
    <w:rsid w:val="005315C7"/>
    <w:rsid w:val="0053185C"/>
    <w:rsid w:val="005318CD"/>
    <w:rsid w:val="00531934"/>
    <w:rsid w:val="00531A81"/>
    <w:rsid w:val="00531D22"/>
    <w:rsid w:val="00531D27"/>
    <w:rsid w:val="00531D55"/>
    <w:rsid w:val="00531EB6"/>
    <w:rsid w:val="0053220D"/>
    <w:rsid w:val="00532669"/>
    <w:rsid w:val="005327EB"/>
    <w:rsid w:val="00532803"/>
    <w:rsid w:val="005328E2"/>
    <w:rsid w:val="00532918"/>
    <w:rsid w:val="00532928"/>
    <w:rsid w:val="00532946"/>
    <w:rsid w:val="005329BC"/>
    <w:rsid w:val="00532A01"/>
    <w:rsid w:val="00532A3D"/>
    <w:rsid w:val="00532AEA"/>
    <w:rsid w:val="00532BD6"/>
    <w:rsid w:val="00532C3F"/>
    <w:rsid w:val="00532D5D"/>
    <w:rsid w:val="00532DA9"/>
    <w:rsid w:val="00532E76"/>
    <w:rsid w:val="00532F7A"/>
    <w:rsid w:val="005331AC"/>
    <w:rsid w:val="005332FD"/>
    <w:rsid w:val="00533304"/>
    <w:rsid w:val="0053340C"/>
    <w:rsid w:val="005334B6"/>
    <w:rsid w:val="005334E2"/>
    <w:rsid w:val="005335CD"/>
    <w:rsid w:val="00533647"/>
    <w:rsid w:val="0053380B"/>
    <w:rsid w:val="00533816"/>
    <w:rsid w:val="0053390F"/>
    <w:rsid w:val="0053392A"/>
    <w:rsid w:val="00533C31"/>
    <w:rsid w:val="00533ECD"/>
    <w:rsid w:val="00534090"/>
    <w:rsid w:val="00534190"/>
    <w:rsid w:val="005341F9"/>
    <w:rsid w:val="0053440D"/>
    <w:rsid w:val="00534422"/>
    <w:rsid w:val="0053443B"/>
    <w:rsid w:val="00534597"/>
    <w:rsid w:val="00534627"/>
    <w:rsid w:val="005347E9"/>
    <w:rsid w:val="00534B19"/>
    <w:rsid w:val="00534B40"/>
    <w:rsid w:val="00534BAC"/>
    <w:rsid w:val="00534E3B"/>
    <w:rsid w:val="00534E61"/>
    <w:rsid w:val="00534E87"/>
    <w:rsid w:val="00534E97"/>
    <w:rsid w:val="00535086"/>
    <w:rsid w:val="005350E2"/>
    <w:rsid w:val="00535130"/>
    <w:rsid w:val="00535131"/>
    <w:rsid w:val="005352A4"/>
    <w:rsid w:val="00535415"/>
    <w:rsid w:val="0053563C"/>
    <w:rsid w:val="00535923"/>
    <w:rsid w:val="00535A0F"/>
    <w:rsid w:val="00535A36"/>
    <w:rsid w:val="00535A63"/>
    <w:rsid w:val="00535ADF"/>
    <w:rsid w:val="00535C53"/>
    <w:rsid w:val="00535C78"/>
    <w:rsid w:val="00535E40"/>
    <w:rsid w:val="0053600B"/>
    <w:rsid w:val="00536529"/>
    <w:rsid w:val="00536631"/>
    <w:rsid w:val="0053667C"/>
    <w:rsid w:val="005366B0"/>
    <w:rsid w:val="00536760"/>
    <w:rsid w:val="00536908"/>
    <w:rsid w:val="00536947"/>
    <w:rsid w:val="00536991"/>
    <w:rsid w:val="00536A66"/>
    <w:rsid w:val="00536B75"/>
    <w:rsid w:val="00536BD1"/>
    <w:rsid w:val="00536BDC"/>
    <w:rsid w:val="00536C3C"/>
    <w:rsid w:val="00536C82"/>
    <w:rsid w:val="00536F73"/>
    <w:rsid w:val="00537150"/>
    <w:rsid w:val="00537260"/>
    <w:rsid w:val="005372F6"/>
    <w:rsid w:val="0053731E"/>
    <w:rsid w:val="0053741E"/>
    <w:rsid w:val="00537497"/>
    <w:rsid w:val="005374EA"/>
    <w:rsid w:val="00537587"/>
    <w:rsid w:val="00537665"/>
    <w:rsid w:val="0053777C"/>
    <w:rsid w:val="00537787"/>
    <w:rsid w:val="005377A7"/>
    <w:rsid w:val="005379A7"/>
    <w:rsid w:val="00537D0C"/>
    <w:rsid w:val="00540586"/>
    <w:rsid w:val="00540592"/>
    <w:rsid w:val="00540844"/>
    <w:rsid w:val="0054098C"/>
    <w:rsid w:val="00540BAA"/>
    <w:rsid w:val="00540E9E"/>
    <w:rsid w:val="00540FC4"/>
    <w:rsid w:val="00541073"/>
    <w:rsid w:val="0054108C"/>
    <w:rsid w:val="00541239"/>
    <w:rsid w:val="00541313"/>
    <w:rsid w:val="0054134B"/>
    <w:rsid w:val="00541428"/>
    <w:rsid w:val="005414F5"/>
    <w:rsid w:val="005416DB"/>
    <w:rsid w:val="00541770"/>
    <w:rsid w:val="00541820"/>
    <w:rsid w:val="005419B1"/>
    <w:rsid w:val="00541A5F"/>
    <w:rsid w:val="00541B38"/>
    <w:rsid w:val="005420A9"/>
    <w:rsid w:val="0054219C"/>
    <w:rsid w:val="005421A0"/>
    <w:rsid w:val="0054220D"/>
    <w:rsid w:val="005422B5"/>
    <w:rsid w:val="0054233F"/>
    <w:rsid w:val="0054242F"/>
    <w:rsid w:val="005425A3"/>
    <w:rsid w:val="0054269A"/>
    <w:rsid w:val="005427AD"/>
    <w:rsid w:val="005427F5"/>
    <w:rsid w:val="00542849"/>
    <w:rsid w:val="00542997"/>
    <w:rsid w:val="00542BE7"/>
    <w:rsid w:val="00542C27"/>
    <w:rsid w:val="00542EC7"/>
    <w:rsid w:val="00542EF7"/>
    <w:rsid w:val="00542F72"/>
    <w:rsid w:val="00542F8E"/>
    <w:rsid w:val="00543249"/>
    <w:rsid w:val="00543568"/>
    <w:rsid w:val="0054360A"/>
    <w:rsid w:val="00543650"/>
    <w:rsid w:val="00543AAA"/>
    <w:rsid w:val="00543CFF"/>
    <w:rsid w:val="00543D09"/>
    <w:rsid w:val="00543DC5"/>
    <w:rsid w:val="00543DDD"/>
    <w:rsid w:val="0054406C"/>
    <w:rsid w:val="005443AD"/>
    <w:rsid w:val="00544481"/>
    <w:rsid w:val="00544924"/>
    <w:rsid w:val="00544F5C"/>
    <w:rsid w:val="00544FBA"/>
    <w:rsid w:val="00544FF6"/>
    <w:rsid w:val="005450A8"/>
    <w:rsid w:val="00545208"/>
    <w:rsid w:val="005453A3"/>
    <w:rsid w:val="00545473"/>
    <w:rsid w:val="00545574"/>
    <w:rsid w:val="00545666"/>
    <w:rsid w:val="00545698"/>
    <w:rsid w:val="00545940"/>
    <w:rsid w:val="00545A81"/>
    <w:rsid w:val="00545B12"/>
    <w:rsid w:val="00545B31"/>
    <w:rsid w:val="00545B94"/>
    <w:rsid w:val="00545BA8"/>
    <w:rsid w:val="00545D14"/>
    <w:rsid w:val="00545D79"/>
    <w:rsid w:val="00545D84"/>
    <w:rsid w:val="00545F02"/>
    <w:rsid w:val="00546087"/>
    <w:rsid w:val="005461BE"/>
    <w:rsid w:val="005462A9"/>
    <w:rsid w:val="005462B7"/>
    <w:rsid w:val="005464BA"/>
    <w:rsid w:val="005465C3"/>
    <w:rsid w:val="005467D8"/>
    <w:rsid w:val="00546A14"/>
    <w:rsid w:val="00546A49"/>
    <w:rsid w:val="00546B4F"/>
    <w:rsid w:val="00546B6C"/>
    <w:rsid w:val="00546B84"/>
    <w:rsid w:val="00546CB2"/>
    <w:rsid w:val="00546FC2"/>
    <w:rsid w:val="0054700B"/>
    <w:rsid w:val="00547259"/>
    <w:rsid w:val="00547370"/>
    <w:rsid w:val="005473BB"/>
    <w:rsid w:val="005475CF"/>
    <w:rsid w:val="005476DB"/>
    <w:rsid w:val="005477B7"/>
    <w:rsid w:val="0054782E"/>
    <w:rsid w:val="0054792C"/>
    <w:rsid w:val="00547B1F"/>
    <w:rsid w:val="00547BA1"/>
    <w:rsid w:val="00547C8E"/>
    <w:rsid w:val="00547D09"/>
    <w:rsid w:val="00547EAB"/>
    <w:rsid w:val="00547F95"/>
    <w:rsid w:val="00547FD0"/>
    <w:rsid w:val="0055000C"/>
    <w:rsid w:val="0055022F"/>
    <w:rsid w:val="0055034D"/>
    <w:rsid w:val="005503FE"/>
    <w:rsid w:val="005504A4"/>
    <w:rsid w:val="0055056F"/>
    <w:rsid w:val="005506DA"/>
    <w:rsid w:val="00550766"/>
    <w:rsid w:val="0055098B"/>
    <w:rsid w:val="00550B59"/>
    <w:rsid w:val="00550E2D"/>
    <w:rsid w:val="00550F59"/>
    <w:rsid w:val="00550FB5"/>
    <w:rsid w:val="00551006"/>
    <w:rsid w:val="00551127"/>
    <w:rsid w:val="00551203"/>
    <w:rsid w:val="00551505"/>
    <w:rsid w:val="0055153D"/>
    <w:rsid w:val="005515BD"/>
    <w:rsid w:val="005515C1"/>
    <w:rsid w:val="005517B9"/>
    <w:rsid w:val="00551B4D"/>
    <w:rsid w:val="00551B78"/>
    <w:rsid w:val="00551D14"/>
    <w:rsid w:val="00551DD9"/>
    <w:rsid w:val="00551DF9"/>
    <w:rsid w:val="00551F75"/>
    <w:rsid w:val="00551FDE"/>
    <w:rsid w:val="00552014"/>
    <w:rsid w:val="00552060"/>
    <w:rsid w:val="005520D9"/>
    <w:rsid w:val="0055214B"/>
    <w:rsid w:val="005524C7"/>
    <w:rsid w:val="0055272A"/>
    <w:rsid w:val="00552A31"/>
    <w:rsid w:val="00552A78"/>
    <w:rsid w:val="00552ADD"/>
    <w:rsid w:val="00552C03"/>
    <w:rsid w:val="00552E66"/>
    <w:rsid w:val="00552E86"/>
    <w:rsid w:val="00552F84"/>
    <w:rsid w:val="0055304D"/>
    <w:rsid w:val="0055313E"/>
    <w:rsid w:val="0055336F"/>
    <w:rsid w:val="005533AE"/>
    <w:rsid w:val="00553534"/>
    <w:rsid w:val="00553573"/>
    <w:rsid w:val="00553661"/>
    <w:rsid w:val="005536D2"/>
    <w:rsid w:val="005536FB"/>
    <w:rsid w:val="00553822"/>
    <w:rsid w:val="005538CC"/>
    <w:rsid w:val="00553921"/>
    <w:rsid w:val="005539A5"/>
    <w:rsid w:val="00553A8F"/>
    <w:rsid w:val="00553A91"/>
    <w:rsid w:val="00553BF2"/>
    <w:rsid w:val="00553CDC"/>
    <w:rsid w:val="00553CFA"/>
    <w:rsid w:val="00553FBC"/>
    <w:rsid w:val="0055432B"/>
    <w:rsid w:val="005543D0"/>
    <w:rsid w:val="005544A5"/>
    <w:rsid w:val="00554688"/>
    <w:rsid w:val="005546D8"/>
    <w:rsid w:val="00554854"/>
    <w:rsid w:val="00554AF8"/>
    <w:rsid w:val="00554C38"/>
    <w:rsid w:val="00554D6C"/>
    <w:rsid w:val="00554D83"/>
    <w:rsid w:val="00554D99"/>
    <w:rsid w:val="00554E6E"/>
    <w:rsid w:val="00554F5C"/>
    <w:rsid w:val="00554F6C"/>
    <w:rsid w:val="00555111"/>
    <w:rsid w:val="005552EA"/>
    <w:rsid w:val="005554F6"/>
    <w:rsid w:val="00555552"/>
    <w:rsid w:val="005555E1"/>
    <w:rsid w:val="00555731"/>
    <w:rsid w:val="00555B3D"/>
    <w:rsid w:val="00555B52"/>
    <w:rsid w:val="00555BE2"/>
    <w:rsid w:val="00555D4F"/>
    <w:rsid w:val="00555F1A"/>
    <w:rsid w:val="00555F20"/>
    <w:rsid w:val="005561AF"/>
    <w:rsid w:val="005562E2"/>
    <w:rsid w:val="00556379"/>
    <w:rsid w:val="005563CB"/>
    <w:rsid w:val="0055645B"/>
    <w:rsid w:val="00556483"/>
    <w:rsid w:val="0055661A"/>
    <w:rsid w:val="005566BA"/>
    <w:rsid w:val="005566E1"/>
    <w:rsid w:val="005567C4"/>
    <w:rsid w:val="00556B15"/>
    <w:rsid w:val="00556BFB"/>
    <w:rsid w:val="00556DCA"/>
    <w:rsid w:val="00556F29"/>
    <w:rsid w:val="00556FD1"/>
    <w:rsid w:val="00557013"/>
    <w:rsid w:val="005570B2"/>
    <w:rsid w:val="00557136"/>
    <w:rsid w:val="00557194"/>
    <w:rsid w:val="00557222"/>
    <w:rsid w:val="00557328"/>
    <w:rsid w:val="00557431"/>
    <w:rsid w:val="0055744E"/>
    <w:rsid w:val="005574C2"/>
    <w:rsid w:val="00557535"/>
    <w:rsid w:val="00557537"/>
    <w:rsid w:val="005576BE"/>
    <w:rsid w:val="005576C5"/>
    <w:rsid w:val="0055775F"/>
    <w:rsid w:val="00557790"/>
    <w:rsid w:val="00557A9E"/>
    <w:rsid w:val="00557C1A"/>
    <w:rsid w:val="00557C9C"/>
    <w:rsid w:val="00557CB4"/>
    <w:rsid w:val="00557D19"/>
    <w:rsid w:val="0056031F"/>
    <w:rsid w:val="005604E9"/>
    <w:rsid w:val="0056063E"/>
    <w:rsid w:val="0056065B"/>
    <w:rsid w:val="00560728"/>
    <w:rsid w:val="00560B68"/>
    <w:rsid w:val="00560C06"/>
    <w:rsid w:val="00560D3C"/>
    <w:rsid w:val="00560D87"/>
    <w:rsid w:val="00560FEB"/>
    <w:rsid w:val="005611E8"/>
    <w:rsid w:val="00561243"/>
    <w:rsid w:val="00561381"/>
    <w:rsid w:val="005614C5"/>
    <w:rsid w:val="00561592"/>
    <w:rsid w:val="00561651"/>
    <w:rsid w:val="005619B9"/>
    <w:rsid w:val="00562020"/>
    <w:rsid w:val="005621C5"/>
    <w:rsid w:val="00562318"/>
    <w:rsid w:val="00562403"/>
    <w:rsid w:val="00562461"/>
    <w:rsid w:val="0056248B"/>
    <w:rsid w:val="00562547"/>
    <w:rsid w:val="005625C4"/>
    <w:rsid w:val="00562681"/>
    <w:rsid w:val="00562A03"/>
    <w:rsid w:val="00562A09"/>
    <w:rsid w:val="00562A99"/>
    <w:rsid w:val="00562BF7"/>
    <w:rsid w:val="00562C60"/>
    <w:rsid w:val="00562F7E"/>
    <w:rsid w:val="00563225"/>
    <w:rsid w:val="005632CE"/>
    <w:rsid w:val="005632F5"/>
    <w:rsid w:val="00563311"/>
    <w:rsid w:val="00563435"/>
    <w:rsid w:val="005635DA"/>
    <w:rsid w:val="00563660"/>
    <w:rsid w:val="005636BB"/>
    <w:rsid w:val="0056389D"/>
    <w:rsid w:val="00563974"/>
    <w:rsid w:val="005639DB"/>
    <w:rsid w:val="00563A05"/>
    <w:rsid w:val="00563A08"/>
    <w:rsid w:val="00563AD3"/>
    <w:rsid w:val="00563ADD"/>
    <w:rsid w:val="00563CE6"/>
    <w:rsid w:val="00563D13"/>
    <w:rsid w:val="00563F61"/>
    <w:rsid w:val="00563FEE"/>
    <w:rsid w:val="0056405F"/>
    <w:rsid w:val="0056407D"/>
    <w:rsid w:val="005640FE"/>
    <w:rsid w:val="00564261"/>
    <w:rsid w:val="00564389"/>
    <w:rsid w:val="005644A6"/>
    <w:rsid w:val="005644C2"/>
    <w:rsid w:val="005644DB"/>
    <w:rsid w:val="005645CE"/>
    <w:rsid w:val="005645FB"/>
    <w:rsid w:val="00564654"/>
    <w:rsid w:val="005646C1"/>
    <w:rsid w:val="00564712"/>
    <w:rsid w:val="00564847"/>
    <w:rsid w:val="00564848"/>
    <w:rsid w:val="0056491C"/>
    <w:rsid w:val="00564995"/>
    <w:rsid w:val="005649A2"/>
    <w:rsid w:val="00564C96"/>
    <w:rsid w:val="00564CEA"/>
    <w:rsid w:val="00564CEF"/>
    <w:rsid w:val="00564D16"/>
    <w:rsid w:val="00564E92"/>
    <w:rsid w:val="00564F34"/>
    <w:rsid w:val="00564F6D"/>
    <w:rsid w:val="00565037"/>
    <w:rsid w:val="005652BC"/>
    <w:rsid w:val="00565350"/>
    <w:rsid w:val="00565472"/>
    <w:rsid w:val="005654EA"/>
    <w:rsid w:val="00565545"/>
    <w:rsid w:val="00565646"/>
    <w:rsid w:val="00565787"/>
    <w:rsid w:val="0056594B"/>
    <w:rsid w:val="00565963"/>
    <w:rsid w:val="00565971"/>
    <w:rsid w:val="00565AF1"/>
    <w:rsid w:val="00565B5D"/>
    <w:rsid w:val="00565CFE"/>
    <w:rsid w:val="0056607F"/>
    <w:rsid w:val="005661A5"/>
    <w:rsid w:val="005661CF"/>
    <w:rsid w:val="005662AB"/>
    <w:rsid w:val="00566356"/>
    <w:rsid w:val="00566424"/>
    <w:rsid w:val="005666E6"/>
    <w:rsid w:val="005667FE"/>
    <w:rsid w:val="005668DE"/>
    <w:rsid w:val="0056692E"/>
    <w:rsid w:val="00566A61"/>
    <w:rsid w:val="00566DB7"/>
    <w:rsid w:val="00566F54"/>
    <w:rsid w:val="00566F85"/>
    <w:rsid w:val="00566FD8"/>
    <w:rsid w:val="00567094"/>
    <w:rsid w:val="00567499"/>
    <w:rsid w:val="005679C9"/>
    <w:rsid w:val="005679E6"/>
    <w:rsid w:val="00567DD0"/>
    <w:rsid w:val="00567F87"/>
    <w:rsid w:val="00567FB0"/>
    <w:rsid w:val="0057016E"/>
    <w:rsid w:val="00570277"/>
    <w:rsid w:val="005702BB"/>
    <w:rsid w:val="00570342"/>
    <w:rsid w:val="0057036E"/>
    <w:rsid w:val="005706FC"/>
    <w:rsid w:val="0057070F"/>
    <w:rsid w:val="0057080E"/>
    <w:rsid w:val="00570879"/>
    <w:rsid w:val="005708A5"/>
    <w:rsid w:val="005708AC"/>
    <w:rsid w:val="00570913"/>
    <w:rsid w:val="0057098F"/>
    <w:rsid w:val="005709FE"/>
    <w:rsid w:val="00570BBF"/>
    <w:rsid w:val="00570BFB"/>
    <w:rsid w:val="00570C14"/>
    <w:rsid w:val="00570E59"/>
    <w:rsid w:val="00570F55"/>
    <w:rsid w:val="00570F7C"/>
    <w:rsid w:val="005711E3"/>
    <w:rsid w:val="005711E9"/>
    <w:rsid w:val="0057132E"/>
    <w:rsid w:val="005715F0"/>
    <w:rsid w:val="00571767"/>
    <w:rsid w:val="005718D9"/>
    <w:rsid w:val="00571942"/>
    <w:rsid w:val="005719F0"/>
    <w:rsid w:val="00571A9D"/>
    <w:rsid w:val="00571B94"/>
    <w:rsid w:val="00571EE8"/>
    <w:rsid w:val="005720FE"/>
    <w:rsid w:val="0057219A"/>
    <w:rsid w:val="005721F0"/>
    <w:rsid w:val="00572207"/>
    <w:rsid w:val="0057222F"/>
    <w:rsid w:val="00572433"/>
    <w:rsid w:val="00572610"/>
    <w:rsid w:val="00572868"/>
    <w:rsid w:val="005729A5"/>
    <w:rsid w:val="00572AD2"/>
    <w:rsid w:val="00572BC2"/>
    <w:rsid w:val="00572BFD"/>
    <w:rsid w:val="00572DEE"/>
    <w:rsid w:val="00572DF0"/>
    <w:rsid w:val="00572E39"/>
    <w:rsid w:val="005730CC"/>
    <w:rsid w:val="00573150"/>
    <w:rsid w:val="005732E8"/>
    <w:rsid w:val="00573478"/>
    <w:rsid w:val="00573532"/>
    <w:rsid w:val="0057353E"/>
    <w:rsid w:val="00573586"/>
    <w:rsid w:val="005735E5"/>
    <w:rsid w:val="00573ADD"/>
    <w:rsid w:val="00573D04"/>
    <w:rsid w:val="00573F9E"/>
    <w:rsid w:val="00574214"/>
    <w:rsid w:val="005742B5"/>
    <w:rsid w:val="005743B6"/>
    <w:rsid w:val="00574623"/>
    <w:rsid w:val="00574722"/>
    <w:rsid w:val="0057478B"/>
    <w:rsid w:val="0057479C"/>
    <w:rsid w:val="005747F7"/>
    <w:rsid w:val="0057483E"/>
    <w:rsid w:val="00574889"/>
    <w:rsid w:val="00574907"/>
    <w:rsid w:val="00574937"/>
    <w:rsid w:val="00574A5E"/>
    <w:rsid w:val="00574A72"/>
    <w:rsid w:val="00574B2F"/>
    <w:rsid w:val="00574BAB"/>
    <w:rsid w:val="00574BDB"/>
    <w:rsid w:val="00574C43"/>
    <w:rsid w:val="00574D95"/>
    <w:rsid w:val="00574DDE"/>
    <w:rsid w:val="00575678"/>
    <w:rsid w:val="00575694"/>
    <w:rsid w:val="0057576A"/>
    <w:rsid w:val="00575941"/>
    <w:rsid w:val="005759AC"/>
    <w:rsid w:val="00575B11"/>
    <w:rsid w:val="00575D4F"/>
    <w:rsid w:val="00575D8F"/>
    <w:rsid w:val="00575E5B"/>
    <w:rsid w:val="00575FC7"/>
    <w:rsid w:val="00576082"/>
    <w:rsid w:val="0057608F"/>
    <w:rsid w:val="005760A9"/>
    <w:rsid w:val="005760B0"/>
    <w:rsid w:val="00576209"/>
    <w:rsid w:val="005762C3"/>
    <w:rsid w:val="00576300"/>
    <w:rsid w:val="005763F2"/>
    <w:rsid w:val="00576585"/>
    <w:rsid w:val="005765CC"/>
    <w:rsid w:val="005766C8"/>
    <w:rsid w:val="0057688D"/>
    <w:rsid w:val="00576A27"/>
    <w:rsid w:val="00576A35"/>
    <w:rsid w:val="00576B83"/>
    <w:rsid w:val="00576BD3"/>
    <w:rsid w:val="00576C9F"/>
    <w:rsid w:val="00576CE7"/>
    <w:rsid w:val="00576CED"/>
    <w:rsid w:val="00576E32"/>
    <w:rsid w:val="00577059"/>
    <w:rsid w:val="00577102"/>
    <w:rsid w:val="005771AF"/>
    <w:rsid w:val="00577212"/>
    <w:rsid w:val="005772F2"/>
    <w:rsid w:val="0057756D"/>
    <w:rsid w:val="005775D7"/>
    <w:rsid w:val="0057794A"/>
    <w:rsid w:val="005779FA"/>
    <w:rsid w:val="00577A99"/>
    <w:rsid w:val="00577B67"/>
    <w:rsid w:val="00577BD1"/>
    <w:rsid w:val="00577CEE"/>
    <w:rsid w:val="00577D58"/>
    <w:rsid w:val="00577E18"/>
    <w:rsid w:val="00577E61"/>
    <w:rsid w:val="0058002D"/>
    <w:rsid w:val="005800BB"/>
    <w:rsid w:val="005800D5"/>
    <w:rsid w:val="005801C2"/>
    <w:rsid w:val="00580D9E"/>
    <w:rsid w:val="00580E65"/>
    <w:rsid w:val="00580F83"/>
    <w:rsid w:val="00581249"/>
    <w:rsid w:val="00581252"/>
    <w:rsid w:val="005812C6"/>
    <w:rsid w:val="0058144D"/>
    <w:rsid w:val="005814B4"/>
    <w:rsid w:val="005814ED"/>
    <w:rsid w:val="00581628"/>
    <w:rsid w:val="005816F2"/>
    <w:rsid w:val="00581755"/>
    <w:rsid w:val="00581776"/>
    <w:rsid w:val="0058178D"/>
    <w:rsid w:val="005817EC"/>
    <w:rsid w:val="00581877"/>
    <w:rsid w:val="005818C9"/>
    <w:rsid w:val="005819C8"/>
    <w:rsid w:val="005819DE"/>
    <w:rsid w:val="00581A5B"/>
    <w:rsid w:val="00581CA4"/>
    <w:rsid w:val="00581CC4"/>
    <w:rsid w:val="005820E3"/>
    <w:rsid w:val="00582357"/>
    <w:rsid w:val="005824BB"/>
    <w:rsid w:val="00582681"/>
    <w:rsid w:val="0058282D"/>
    <w:rsid w:val="00582895"/>
    <w:rsid w:val="0058289C"/>
    <w:rsid w:val="005828FB"/>
    <w:rsid w:val="00582AA7"/>
    <w:rsid w:val="00582C4D"/>
    <w:rsid w:val="00582DC0"/>
    <w:rsid w:val="00582F3C"/>
    <w:rsid w:val="00582F87"/>
    <w:rsid w:val="005831BC"/>
    <w:rsid w:val="0058320A"/>
    <w:rsid w:val="005833DB"/>
    <w:rsid w:val="005833EC"/>
    <w:rsid w:val="00583500"/>
    <w:rsid w:val="0058350C"/>
    <w:rsid w:val="00583529"/>
    <w:rsid w:val="005838F1"/>
    <w:rsid w:val="00583A03"/>
    <w:rsid w:val="00583A25"/>
    <w:rsid w:val="00583A4E"/>
    <w:rsid w:val="00583ACE"/>
    <w:rsid w:val="00583C81"/>
    <w:rsid w:val="00583E28"/>
    <w:rsid w:val="00583ECE"/>
    <w:rsid w:val="00583F81"/>
    <w:rsid w:val="00584154"/>
    <w:rsid w:val="0058415B"/>
    <w:rsid w:val="005842C6"/>
    <w:rsid w:val="005844D4"/>
    <w:rsid w:val="00584518"/>
    <w:rsid w:val="0058461C"/>
    <w:rsid w:val="005846C9"/>
    <w:rsid w:val="005849CE"/>
    <w:rsid w:val="005849D9"/>
    <w:rsid w:val="00584A61"/>
    <w:rsid w:val="00584ACE"/>
    <w:rsid w:val="00584D8F"/>
    <w:rsid w:val="00584FA7"/>
    <w:rsid w:val="00585174"/>
    <w:rsid w:val="0058525A"/>
    <w:rsid w:val="00585378"/>
    <w:rsid w:val="0058543B"/>
    <w:rsid w:val="0058547A"/>
    <w:rsid w:val="00585738"/>
    <w:rsid w:val="00585864"/>
    <w:rsid w:val="005859F1"/>
    <w:rsid w:val="00585BE0"/>
    <w:rsid w:val="00585D3F"/>
    <w:rsid w:val="00585D7C"/>
    <w:rsid w:val="00585E66"/>
    <w:rsid w:val="00585ECA"/>
    <w:rsid w:val="00585F4D"/>
    <w:rsid w:val="00586089"/>
    <w:rsid w:val="00586114"/>
    <w:rsid w:val="00586167"/>
    <w:rsid w:val="005861E8"/>
    <w:rsid w:val="0058638C"/>
    <w:rsid w:val="005863B7"/>
    <w:rsid w:val="005864D1"/>
    <w:rsid w:val="00586523"/>
    <w:rsid w:val="005866C0"/>
    <w:rsid w:val="005866EF"/>
    <w:rsid w:val="0058679D"/>
    <w:rsid w:val="005868AD"/>
    <w:rsid w:val="0058690F"/>
    <w:rsid w:val="00586AEF"/>
    <w:rsid w:val="00586AFC"/>
    <w:rsid w:val="00586C04"/>
    <w:rsid w:val="00586C1A"/>
    <w:rsid w:val="00586D28"/>
    <w:rsid w:val="00586E84"/>
    <w:rsid w:val="0058713F"/>
    <w:rsid w:val="005873B6"/>
    <w:rsid w:val="005873EC"/>
    <w:rsid w:val="00587703"/>
    <w:rsid w:val="005878E1"/>
    <w:rsid w:val="00587A28"/>
    <w:rsid w:val="00587AD0"/>
    <w:rsid w:val="00587AEB"/>
    <w:rsid w:val="00587AED"/>
    <w:rsid w:val="00587BB0"/>
    <w:rsid w:val="00587BF3"/>
    <w:rsid w:val="00587C75"/>
    <w:rsid w:val="00587C99"/>
    <w:rsid w:val="00587E73"/>
    <w:rsid w:val="00587EA8"/>
    <w:rsid w:val="00590177"/>
    <w:rsid w:val="00590320"/>
    <w:rsid w:val="00590542"/>
    <w:rsid w:val="005905CD"/>
    <w:rsid w:val="0059092E"/>
    <w:rsid w:val="00590945"/>
    <w:rsid w:val="005909CA"/>
    <w:rsid w:val="00590BB3"/>
    <w:rsid w:val="00590CE2"/>
    <w:rsid w:val="00590D3D"/>
    <w:rsid w:val="00590DA2"/>
    <w:rsid w:val="00590DD0"/>
    <w:rsid w:val="0059105D"/>
    <w:rsid w:val="0059111E"/>
    <w:rsid w:val="005911FF"/>
    <w:rsid w:val="005913D6"/>
    <w:rsid w:val="005915DF"/>
    <w:rsid w:val="00591676"/>
    <w:rsid w:val="00591728"/>
    <w:rsid w:val="00591752"/>
    <w:rsid w:val="00591779"/>
    <w:rsid w:val="005917F8"/>
    <w:rsid w:val="00591832"/>
    <w:rsid w:val="00591AF3"/>
    <w:rsid w:val="00591C46"/>
    <w:rsid w:val="00591EED"/>
    <w:rsid w:val="00591F00"/>
    <w:rsid w:val="00591F20"/>
    <w:rsid w:val="00591FAE"/>
    <w:rsid w:val="00592049"/>
    <w:rsid w:val="005921AC"/>
    <w:rsid w:val="005921AD"/>
    <w:rsid w:val="00592293"/>
    <w:rsid w:val="00592298"/>
    <w:rsid w:val="00592426"/>
    <w:rsid w:val="0059249A"/>
    <w:rsid w:val="0059278B"/>
    <w:rsid w:val="00592840"/>
    <w:rsid w:val="00592908"/>
    <w:rsid w:val="00592995"/>
    <w:rsid w:val="005929A7"/>
    <w:rsid w:val="00592A44"/>
    <w:rsid w:val="00592A49"/>
    <w:rsid w:val="00592D1A"/>
    <w:rsid w:val="00592D31"/>
    <w:rsid w:val="00592DC9"/>
    <w:rsid w:val="00592E0F"/>
    <w:rsid w:val="00592E38"/>
    <w:rsid w:val="00592E76"/>
    <w:rsid w:val="00592E8E"/>
    <w:rsid w:val="00592EFA"/>
    <w:rsid w:val="00593090"/>
    <w:rsid w:val="005930B1"/>
    <w:rsid w:val="00593114"/>
    <w:rsid w:val="00593243"/>
    <w:rsid w:val="00593392"/>
    <w:rsid w:val="005933FE"/>
    <w:rsid w:val="005935BD"/>
    <w:rsid w:val="005935E5"/>
    <w:rsid w:val="0059363A"/>
    <w:rsid w:val="00593645"/>
    <w:rsid w:val="00593757"/>
    <w:rsid w:val="005939EB"/>
    <w:rsid w:val="00593A1B"/>
    <w:rsid w:val="00593BBD"/>
    <w:rsid w:val="00593BCE"/>
    <w:rsid w:val="00593C73"/>
    <w:rsid w:val="00593EF9"/>
    <w:rsid w:val="00593F90"/>
    <w:rsid w:val="005940CF"/>
    <w:rsid w:val="005941A0"/>
    <w:rsid w:val="005942AA"/>
    <w:rsid w:val="00594406"/>
    <w:rsid w:val="00594414"/>
    <w:rsid w:val="00594423"/>
    <w:rsid w:val="005945EE"/>
    <w:rsid w:val="00594635"/>
    <w:rsid w:val="005947FB"/>
    <w:rsid w:val="0059483E"/>
    <w:rsid w:val="00594845"/>
    <w:rsid w:val="005948FC"/>
    <w:rsid w:val="00594907"/>
    <w:rsid w:val="00594A9C"/>
    <w:rsid w:val="00594B80"/>
    <w:rsid w:val="00594BD7"/>
    <w:rsid w:val="00594C51"/>
    <w:rsid w:val="00594C5C"/>
    <w:rsid w:val="00594DE2"/>
    <w:rsid w:val="00594E5A"/>
    <w:rsid w:val="00594E67"/>
    <w:rsid w:val="00594E6A"/>
    <w:rsid w:val="00595031"/>
    <w:rsid w:val="00595391"/>
    <w:rsid w:val="00595593"/>
    <w:rsid w:val="0059561D"/>
    <w:rsid w:val="005956FD"/>
    <w:rsid w:val="00595779"/>
    <w:rsid w:val="005958E4"/>
    <w:rsid w:val="005959B4"/>
    <w:rsid w:val="00595B1F"/>
    <w:rsid w:val="00595D9C"/>
    <w:rsid w:val="0059603C"/>
    <w:rsid w:val="0059618D"/>
    <w:rsid w:val="0059621B"/>
    <w:rsid w:val="00596310"/>
    <w:rsid w:val="005963C2"/>
    <w:rsid w:val="005966D4"/>
    <w:rsid w:val="0059689C"/>
    <w:rsid w:val="00596983"/>
    <w:rsid w:val="00596B45"/>
    <w:rsid w:val="00596C71"/>
    <w:rsid w:val="005970F3"/>
    <w:rsid w:val="005970F5"/>
    <w:rsid w:val="0059728A"/>
    <w:rsid w:val="005972EA"/>
    <w:rsid w:val="00597535"/>
    <w:rsid w:val="00597643"/>
    <w:rsid w:val="00597728"/>
    <w:rsid w:val="00597787"/>
    <w:rsid w:val="00597894"/>
    <w:rsid w:val="00597D43"/>
    <w:rsid w:val="00597DB0"/>
    <w:rsid w:val="00597DB2"/>
    <w:rsid w:val="00597E16"/>
    <w:rsid w:val="00597F6D"/>
    <w:rsid w:val="00597FC5"/>
    <w:rsid w:val="005A0004"/>
    <w:rsid w:val="005A0063"/>
    <w:rsid w:val="005A012D"/>
    <w:rsid w:val="005A038B"/>
    <w:rsid w:val="005A042E"/>
    <w:rsid w:val="005A0614"/>
    <w:rsid w:val="005A06C2"/>
    <w:rsid w:val="005A0878"/>
    <w:rsid w:val="005A08F5"/>
    <w:rsid w:val="005A0934"/>
    <w:rsid w:val="005A0C4C"/>
    <w:rsid w:val="005A0DDF"/>
    <w:rsid w:val="005A0E7D"/>
    <w:rsid w:val="005A138E"/>
    <w:rsid w:val="005A13DF"/>
    <w:rsid w:val="005A1435"/>
    <w:rsid w:val="005A16AC"/>
    <w:rsid w:val="005A17CE"/>
    <w:rsid w:val="005A1815"/>
    <w:rsid w:val="005A197D"/>
    <w:rsid w:val="005A1C68"/>
    <w:rsid w:val="005A1E44"/>
    <w:rsid w:val="005A213E"/>
    <w:rsid w:val="005A2448"/>
    <w:rsid w:val="005A246C"/>
    <w:rsid w:val="005A2485"/>
    <w:rsid w:val="005A27E0"/>
    <w:rsid w:val="005A280D"/>
    <w:rsid w:val="005A2909"/>
    <w:rsid w:val="005A29DC"/>
    <w:rsid w:val="005A2A3D"/>
    <w:rsid w:val="005A2A8E"/>
    <w:rsid w:val="005A2B9E"/>
    <w:rsid w:val="005A2D41"/>
    <w:rsid w:val="005A2EAB"/>
    <w:rsid w:val="005A2EEA"/>
    <w:rsid w:val="005A3050"/>
    <w:rsid w:val="005A30D8"/>
    <w:rsid w:val="005A334A"/>
    <w:rsid w:val="005A352F"/>
    <w:rsid w:val="005A35ED"/>
    <w:rsid w:val="005A36EA"/>
    <w:rsid w:val="005A37AC"/>
    <w:rsid w:val="005A3868"/>
    <w:rsid w:val="005A39FD"/>
    <w:rsid w:val="005A3C64"/>
    <w:rsid w:val="005A3DBC"/>
    <w:rsid w:val="005A3E4A"/>
    <w:rsid w:val="005A4023"/>
    <w:rsid w:val="005A406B"/>
    <w:rsid w:val="005A4155"/>
    <w:rsid w:val="005A4622"/>
    <w:rsid w:val="005A4710"/>
    <w:rsid w:val="005A4763"/>
    <w:rsid w:val="005A48EF"/>
    <w:rsid w:val="005A4A83"/>
    <w:rsid w:val="005A4AF1"/>
    <w:rsid w:val="005A4C67"/>
    <w:rsid w:val="005A4CA6"/>
    <w:rsid w:val="005A4F7B"/>
    <w:rsid w:val="005A501E"/>
    <w:rsid w:val="005A5034"/>
    <w:rsid w:val="005A50E4"/>
    <w:rsid w:val="005A51DB"/>
    <w:rsid w:val="005A54A0"/>
    <w:rsid w:val="005A56A1"/>
    <w:rsid w:val="005A58C9"/>
    <w:rsid w:val="005A5948"/>
    <w:rsid w:val="005A5A0B"/>
    <w:rsid w:val="005A5C44"/>
    <w:rsid w:val="005A5E1D"/>
    <w:rsid w:val="005A6007"/>
    <w:rsid w:val="005A60AA"/>
    <w:rsid w:val="005A61AE"/>
    <w:rsid w:val="005A62DA"/>
    <w:rsid w:val="005A62E4"/>
    <w:rsid w:val="005A6499"/>
    <w:rsid w:val="005A6572"/>
    <w:rsid w:val="005A66C1"/>
    <w:rsid w:val="005A6757"/>
    <w:rsid w:val="005A67F2"/>
    <w:rsid w:val="005A68E9"/>
    <w:rsid w:val="005A6AE2"/>
    <w:rsid w:val="005A6F2E"/>
    <w:rsid w:val="005A706E"/>
    <w:rsid w:val="005A713A"/>
    <w:rsid w:val="005A71FB"/>
    <w:rsid w:val="005A720E"/>
    <w:rsid w:val="005A73D7"/>
    <w:rsid w:val="005A7455"/>
    <w:rsid w:val="005A7579"/>
    <w:rsid w:val="005A77C0"/>
    <w:rsid w:val="005A77E1"/>
    <w:rsid w:val="005A7832"/>
    <w:rsid w:val="005A783C"/>
    <w:rsid w:val="005A790E"/>
    <w:rsid w:val="005A7A0D"/>
    <w:rsid w:val="005A7A77"/>
    <w:rsid w:val="005A7BDC"/>
    <w:rsid w:val="005A7F28"/>
    <w:rsid w:val="005B0078"/>
    <w:rsid w:val="005B010B"/>
    <w:rsid w:val="005B01AC"/>
    <w:rsid w:val="005B01D1"/>
    <w:rsid w:val="005B0326"/>
    <w:rsid w:val="005B0656"/>
    <w:rsid w:val="005B065B"/>
    <w:rsid w:val="005B085D"/>
    <w:rsid w:val="005B09B6"/>
    <w:rsid w:val="005B0A91"/>
    <w:rsid w:val="005B0BA2"/>
    <w:rsid w:val="005B0F00"/>
    <w:rsid w:val="005B1077"/>
    <w:rsid w:val="005B1264"/>
    <w:rsid w:val="005B14CD"/>
    <w:rsid w:val="005B1A6D"/>
    <w:rsid w:val="005B1C65"/>
    <w:rsid w:val="005B1CBD"/>
    <w:rsid w:val="005B1EFA"/>
    <w:rsid w:val="005B1F3D"/>
    <w:rsid w:val="005B214E"/>
    <w:rsid w:val="005B21B6"/>
    <w:rsid w:val="005B223E"/>
    <w:rsid w:val="005B26E9"/>
    <w:rsid w:val="005B2722"/>
    <w:rsid w:val="005B284A"/>
    <w:rsid w:val="005B28D2"/>
    <w:rsid w:val="005B29C4"/>
    <w:rsid w:val="005B2A8E"/>
    <w:rsid w:val="005B2B21"/>
    <w:rsid w:val="005B2BAA"/>
    <w:rsid w:val="005B2BBE"/>
    <w:rsid w:val="005B2CA0"/>
    <w:rsid w:val="005B2FED"/>
    <w:rsid w:val="005B3095"/>
    <w:rsid w:val="005B31EC"/>
    <w:rsid w:val="005B3350"/>
    <w:rsid w:val="005B338F"/>
    <w:rsid w:val="005B347A"/>
    <w:rsid w:val="005B3544"/>
    <w:rsid w:val="005B3662"/>
    <w:rsid w:val="005B370D"/>
    <w:rsid w:val="005B3A37"/>
    <w:rsid w:val="005B3BF7"/>
    <w:rsid w:val="005B3C57"/>
    <w:rsid w:val="005B3D8D"/>
    <w:rsid w:val="005B3E9D"/>
    <w:rsid w:val="005B4130"/>
    <w:rsid w:val="005B4452"/>
    <w:rsid w:val="005B448D"/>
    <w:rsid w:val="005B44FF"/>
    <w:rsid w:val="005B48D1"/>
    <w:rsid w:val="005B4A10"/>
    <w:rsid w:val="005B4AD2"/>
    <w:rsid w:val="005B4BA7"/>
    <w:rsid w:val="005B4D51"/>
    <w:rsid w:val="005B4EB5"/>
    <w:rsid w:val="005B4EE5"/>
    <w:rsid w:val="005B5159"/>
    <w:rsid w:val="005B530B"/>
    <w:rsid w:val="005B5355"/>
    <w:rsid w:val="005B53BF"/>
    <w:rsid w:val="005B53E1"/>
    <w:rsid w:val="005B53F1"/>
    <w:rsid w:val="005B54EF"/>
    <w:rsid w:val="005B550C"/>
    <w:rsid w:val="005B5510"/>
    <w:rsid w:val="005B5604"/>
    <w:rsid w:val="005B56A4"/>
    <w:rsid w:val="005B56EF"/>
    <w:rsid w:val="005B587E"/>
    <w:rsid w:val="005B58F0"/>
    <w:rsid w:val="005B5928"/>
    <w:rsid w:val="005B59DE"/>
    <w:rsid w:val="005B5A3A"/>
    <w:rsid w:val="005B5AAC"/>
    <w:rsid w:val="005B5B5E"/>
    <w:rsid w:val="005B5CBE"/>
    <w:rsid w:val="005B5CE2"/>
    <w:rsid w:val="005B5D51"/>
    <w:rsid w:val="005B5D7C"/>
    <w:rsid w:val="005B6152"/>
    <w:rsid w:val="005B6158"/>
    <w:rsid w:val="005B61E1"/>
    <w:rsid w:val="005B62C0"/>
    <w:rsid w:val="005B64FB"/>
    <w:rsid w:val="005B6618"/>
    <w:rsid w:val="005B687E"/>
    <w:rsid w:val="005B6901"/>
    <w:rsid w:val="005B6947"/>
    <w:rsid w:val="005B69B5"/>
    <w:rsid w:val="005B6A78"/>
    <w:rsid w:val="005B6BF2"/>
    <w:rsid w:val="005B6C74"/>
    <w:rsid w:val="005B6F69"/>
    <w:rsid w:val="005B6FCE"/>
    <w:rsid w:val="005B73D3"/>
    <w:rsid w:val="005B7411"/>
    <w:rsid w:val="005B7465"/>
    <w:rsid w:val="005B749F"/>
    <w:rsid w:val="005B76FF"/>
    <w:rsid w:val="005B790C"/>
    <w:rsid w:val="005B7BA4"/>
    <w:rsid w:val="005B7C0A"/>
    <w:rsid w:val="005B7C3E"/>
    <w:rsid w:val="005B7C5B"/>
    <w:rsid w:val="005B7CBF"/>
    <w:rsid w:val="005B7EA0"/>
    <w:rsid w:val="005B7EBA"/>
    <w:rsid w:val="005B7F02"/>
    <w:rsid w:val="005B7F92"/>
    <w:rsid w:val="005C0045"/>
    <w:rsid w:val="005C0070"/>
    <w:rsid w:val="005C013B"/>
    <w:rsid w:val="005C0143"/>
    <w:rsid w:val="005C01AA"/>
    <w:rsid w:val="005C0245"/>
    <w:rsid w:val="005C0260"/>
    <w:rsid w:val="005C037D"/>
    <w:rsid w:val="005C03C6"/>
    <w:rsid w:val="005C0452"/>
    <w:rsid w:val="005C0519"/>
    <w:rsid w:val="005C053F"/>
    <w:rsid w:val="005C0587"/>
    <w:rsid w:val="005C0691"/>
    <w:rsid w:val="005C0749"/>
    <w:rsid w:val="005C087D"/>
    <w:rsid w:val="005C092A"/>
    <w:rsid w:val="005C0988"/>
    <w:rsid w:val="005C0A06"/>
    <w:rsid w:val="005C0ACA"/>
    <w:rsid w:val="005C0EB8"/>
    <w:rsid w:val="005C0EE7"/>
    <w:rsid w:val="005C1049"/>
    <w:rsid w:val="005C108C"/>
    <w:rsid w:val="005C1094"/>
    <w:rsid w:val="005C10D9"/>
    <w:rsid w:val="005C11D0"/>
    <w:rsid w:val="005C11F4"/>
    <w:rsid w:val="005C1235"/>
    <w:rsid w:val="005C1244"/>
    <w:rsid w:val="005C1272"/>
    <w:rsid w:val="005C1510"/>
    <w:rsid w:val="005C158A"/>
    <w:rsid w:val="005C161A"/>
    <w:rsid w:val="005C1674"/>
    <w:rsid w:val="005C16CC"/>
    <w:rsid w:val="005C16F9"/>
    <w:rsid w:val="005C17EF"/>
    <w:rsid w:val="005C191C"/>
    <w:rsid w:val="005C1980"/>
    <w:rsid w:val="005C1A94"/>
    <w:rsid w:val="005C1ACE"/>
    <w:rsid w:val="005C1B48"/>
    <w:rsid w:val="005C1B97"/>
    <w:rsid w:val="005C1BD3"/>
    <w:rsid w:val="005C1CAC"/>
    <w:rsid w:val="005C1D10"/>
    <w:rsid w:val="005C1D61"/>
    <w:rsid w:val="005C1E87"/>
    <w:rsid w:val="005C2303"/>
    <w:rsid w:val="005C250F"/>
    <w:rsid w:val="005C2573"/>
    <w:rsid w:val="005C259E"/>
    <w:rsid w:val="005C26FE"/>
    <w:rsid w:val="005C2AE1"/>
    <w:rsid w:val="005C2B83"/>
    <w:rsid w:val="005C2B97"/>
    <w:rsid w:val="005C2B9E"/>
    <w:rsid w:val="005C2C3A"/>
    <w:rsid w:val="005C2D14"/>
    <w:rsid w:val="005C2DBD"/>
    <w:rsid w:val="005C2DE9"/>
    <w:rsid w:val="005C2F15"/>
    <w:rsid w:val="005C2FF9"/>
    <w:rsid w:val="005C3013"/>
    <w:rsid w:val="005C30E7"/>
    <w:rsid w:val="005C3194"/>
    <w:rsid w:val="005C3296"/>
    <w:rsid w:val="005C3323"/>
    <w:rsid w:val="005C3436"/>
    <w:rsid w:val="005C3437"/>
    <w:rsid w:val="005C343D"/>
    <w:rsid w:val="005C3531"/>
    <w:rsid w:val="005C3670"/>
    <w:rsid w:val="005C373E"/>
    <w:rsid w:val="005C39EF"/>
    <w:rsid w:val="005C3A90"/>
    <w:rsid w:val="005C3D1A"/>
    <w:rsid w:val="005C3D83"/>
    <w:rsid w:val="005C3E7C"/>
    <w:rsid w:val="005C3F1B"/>
    <w:rsid w:val="005C409E"/>
    <w:rsid w:val="005C417A"/>
    <w:rsid w:val="005C43B1"/>
    <w:rsid w:val="005C45A6"/>
    <w:rsid w:val="005C4646"/>
    <w:rsid w:val="005C4735"/>
    <w:rsid w:val="005C47F4"/>
    <w:rsid w:val="005C48A8"/>
    <w:rsid w:val="005C4932"/>
    <w:rsid w:val="005C49A9"/>
    <w:rsid w:val="005C49FD"/>
    <w:rsid w:val="005C4B3A"/>
    <w:rsid w:val="005C4C65"/>
    <w:rsid w:val="005C4D9F"/>
    <w:rsid w:val="005C4E10"/>
    <w:rsid w:val="005C543B"/>
    <w:rsid w:val="005C557F"/>
    <w:rsid w:val="005C5670"/>
    <w:rsid w:val="005C56B1"/>
    <w:rsid w:val="005C5898"/>
    <w:rsid w:val="005C58DC"/>
    <w:rsid w:val="005C5A2D"/>
    <w:rsid w:val="005C5B19"/>
    <w:rsid w:val="005C5BD2"/>
    <w:rsid w:val="005C5CDB"/>
    <w:rsid w:val="005C5D20"/>
    <w:rsid w:val="005C5DFE"/>
    <w:rsid w:val="005C5EA0"/>
    <w:rsid w:val="005C5EB8"/>
    <w:rsid w:val="005C5EBF"/>
    <w:rsid w:val="005C5F60"/>
    <w:rsid w:val="005C5FF6"/>
    <w:rsid w:val="005C6166"/>
    <w:rsid w:val="005C6291"/>
    <w:rsid w:val="005C62B8"/>
    <w:rsid w:val="005C6571"/>
    <w:rsid w:val="005C6753"/>
    <w:rsid w:val="005C6976"/>
    <w:rsid w:val="005C6A09"/>
    <w:rsid w:val="005C6B12"/>
    <w:rsid w:val="005C6D78"/>
    <w:rsid w:val="005C6DFB"/>
    <w:rsid w:val="005C6EBD"/>
    <w:rsid w:val="005C70C7"/>
    <w:rsid w:val="005C70D4"/>
    <w:rsid w:val="005C715C"/>
    <w:rsid w:val="005C7186"/>
    <w:rsid w:val="005C7219"/>
    <w:rsid w:val="005C72EF"/>
    <w:rsid w:val="005C747A"/>
    <w:rsid w:val="005C74AB"/>
    <w:rsid w:val="005C7627"/>
    <w:rsid w:val="005C76A7"/>
    <w:rsid w:val="005C77F6"/>
    <w:rsid w:val="005C792B"/>
    <w:rsid w:val="005C7AC0"/>
    <w:rsid w:val="005C7ACF"/>
    <w:rsid w:val="005C7CA9"/>
    <w:rsid w:val="005C7D1A"/>
    <w:rsid w:val="005C7D34"/>
    <w:rsid w:val="005C7F0B"/>
    <w:rsid w:val="005C7F13"/>
    <w:rsid w:val="005D00A4"/>
    <w:rsid w:val="005D01EC"/>
    <w:rsid w:val="005D0250"/>
    <w:rsid w:val="005D02C1"/>
    <w:rsid w:val="005D039F"/>
    <w:rsid w:val="005D03D3"/>
    <w:rsid w:val="005D0466"/>
    <w:rsid w:val="005D0574"/>
    <w:rsid w:val="005D0578"/>
    <w:rsid w:val="005D05DA"/>
    <w:rsid w:val="005D07A5"/>
    <w:rsid w:val="005D07DA"/>
    <w:rsid w:val="005D0818"/>
    <w:rsid w:val="005D0AA1"/>
    <w:rsid w:val="005D0B25"/>
    <w:rsid w:val="005D0B88"/>
    <w:rsid w:val="005D0C01"/>
    <w:rsid w:val="005D0CDE"/>
    <w:rsid w:val="005D0D4E"/>
    <w:rsid w:val="005D0D77"/>
    <w:rsid w:val="005D0DEF"/>
    <w:rsid w:val="005D0DF7"/>
    <w:rsid w:val="005D10B3"/>
    <w:rsid w:val="005D1378"/>
    <w:rsid w:val="005D13AA"/>
    <w:rsid w:val="005D1B46"/>
    <w:rsid w:val="005D1BC3"/>
    <w:rsid w:val="005D1C76"/>
    <w:rsid w:val="005D1CE4"/>
    <w:rsid w:val="005D1D7E"/>
    <w:rsid w:val="005D1E8B"/>
    <w:rsid w:val="005D1EAF"/>
    <w:rsid w:val="005D20AC"/>
    <w:rsid w:val="005D20D0"/>
    <w:rsid w:val="005D215C"/>
    <w:rsid w:val="005D2324"/>
    <w:rsid w:val="005D25F7"/>
    <w:rsid w:val="005D26EF"/>
    <w:rsid w:val="005D2A8E"/>
    <w:rsid w:val="005D2B9A"/>
    <w:rsid w:val="005D2CDB"/>
    <w:rsid w:val="005D31F2"/>
    <w:rsid w:val="005D3230"/>
    <w:rsid w:val="005D352E"/>
    <w:rsid w:val="005D358F"/>
    <w:rsid w:val="005D35DF"/>
    <w:rsid w:val="005D374D"/>
    <w:rsid w:val="005D3832"/>
    <w:rsid w:val="005D3836"/>
    <w:rsid w:val="005D3918"/>
    <w:rsid w:val="005D3937"/>
    <w:rsid w:val="005D3C26"/>
    <w:rsid w:val="005D3DC6"/>
    <w:rsid w:val="005D3E88"/>
    <w:rsid w:val="005D3F0C"/>
    <w:rsid w:val="005D3F6E"/>
    <w:rsid w:val="005D40CB"/>
    <w:rsid w:val="005D4170"/>
    <w:rsid w:val="005D4241"/>
    <w:rsid w:val="005D42B5"/>
    <w:rsid w:val="005D4876"/>
    <w:rsid w:val="005D4927"/>
    <w:rsid w:val="005D499D"/>
    <w:rsid w:val="005D4B0A"/>
    <w:rsid w:val="005D4C2D"/>
    <w:rsid w:val="005D4CAB"/>
    <w:rsid w:val="005D4D62"/>
    <w:rsid w:val="005D4DC6"/>
    <w:rsid w:val="005D4FCA"/>
    <w:rsid w:val="005D5092"/>
    <w:rsid w:val="005D50D4"/>
    <w:rsid w:val="005D50E4"/>
    <w:rsid w:val="005D5156"/>
    <w:rsid w:val="005D51C8"/>
    <w:rsid w:val="005D5435"/>
    <w:rsid w:val="005D54AB"/>
    <w:rsid w:val="005D54FA"/>
    <w:rsid w:val="005D554F"/>
    <w:rsid w:val="005D55F3"/>
    <w:rsid w:val="005D57AF"/>
    <w:rsid w:val="005D5904"/>
    <w:rsid w:val="005D597E"/>
    <w:rsid w:val="005D5A7C"/>
    <w:rsid w:val="005D5A81"/>
    <w:rsid w:val="005D5EA7"/>
    <w:rsid w:val="005D5F3E"/>
    <w:rsid w:val="005D6180"/>
    <w:rsid w:val="005D61DA"/>
    <w:rsid w:val="005D63B6"/>
    <w:rsid w:val="005D64A1"/>
    <w:rsid w:val="005D654E"/>
    <w:rsid w:val="005D6667"/>
    <w:rsid w:val="005D6A32"/>
    <w:rsid w:val="005D6AB8"/>
    <w:rsid w:val="005D6C18"/>
    <w:rsid w:val="005D6E33"/>
    <w:rsid w:val="005D6FAF"/>
    <w:rsid w:val="005D703B"/>
    <w:rsid w:val="005D704D"/>
    <w:rsid w:val="005D725B"/>
    <w:rsid w:val="005D7364"/>
    <w:rsid w:val="005D737A"/>
    <w:rsid w:val="005D760E"/>
    <w:rsid w:val="005D79CC"/>
    <w:rsid w:val="005D79FE"/>
    <w:rsid w:val="005D7A0A"/>
    <w:rsid w:val="005D7B8F"/>
    <w:rsid w:val="005D7C4C"/>
    <w:rsid w:val="005D7D81"/>
    <w:rsid w:val="005D7D9B"/>
    <w:rsid w:val="005D7DAC"/>
    <w:rsid w:val="005E0034"/>
    <w:rsid w:val="005E01D8"/>
    <w:rsid w:val="005E0264"/>
    <w:rsid w:val="005E04BA"/>
    <w:rsid w:val="005E05C8"/>
    <w:rsid w:val="005E0B73"/>
    <w:rsid w:val="005E0D81"/>
    <w:rsid w:val="005E0DE7"/>
    <w:rsid w:val="005E0F2C"/>
    <w:rsid w:val="005E10F9"/>
    <w:rsid w:val="005E1106"/>
    <w:rsid w:val="005E11E2"/>
    <w:rsid w:val="005E1446"/>
    <w:rsid w:val="005E1535"/>
    <w:rsid w:val="005E155B"/>
    <w:rsid w:val="005E1672"/>
    <w:rsid w:val="005E1725"/>
    <w:rsid w:val="005E19C1"/>
    <w:rsid w:val="005E1A35"/>
    <w:rsid w:val="005E1AE8"/>
    <w:rsid w:val="005E1B7F"/>
    <w:rsid w:val="005E1BFD"/>
    <w:rsid w:val="005E1C10"/>
    <w:rsid w:val="005E1C6C"/>
    <w:rsid w:val="005E1CDD"/>
    <w:rsid w:val="005E1CF9"/>
    <w:rsid w:val="005E1D33"/>
    <w:rsid w:val="005E1F11"/>
    <w:rsid w:val="005E1F61"/>
    <w:rsid w:val="005E205E"/>
    <w:rsid w:val="005E20E6"/>
    <w:rsid w:val="005E2100"/>
    <w:rsid w:val="005E2146"/>
    <w:rsid w:val="005E2171"/>
    <w:rsid w:val="005E221A"/>
    <w:rsid w:val="005E2413"/>
    <w:rsid w:val="005E24DB"/>
    <w:rsid w:val="005E2603"/>
    <w:rsid w:val="005E2A25"/>
    <w:rsid w:val="005E2A7F"/>
    <w:rsid w:val="005E2B06"/>
    <w:rsid w:val="005E2B72"/>
    <w:rsid w:val="005E2BA7"/>
    <w:rsid w:val="005E2CDC"/>
    <w:rsid w:val="005E2D99"/>
    <w:rsid w:val="005E2E10"/>
    <w:rsid w:val="005E305D"/>
    <w:rsid w:val="005E3261"/>
    <w:rsid w:val="005E3281"/>
    <w:rsid w:val="005E33B5"/>
    <w:rsid w:val="005E353C"/>
    <w:rsid w:val="005E35BB"/>
    <w:rsid w:val="005E3646"/>
    <w:rsid w:val="005E3740"/>
    <w:rsid w:val="005E37C7"/>
    <w:rsid w:val="005E37CF"/>
    <w:rsid w:val="005E382E"/>
    <w:rsid w:val="005E395B"/>
    <w:rsid w:val="005E3A3C"/>
    <w:rsid w:val="005E3A99"/>
    <w:rsid w:val="005E3AA7"/>
    <w:rsid w:val="005E3C8D"/>
    <w:rsid w:val="005E3CA8"/>
    <w:rsid w:val="005E3E72"/>
    <w:rsid w:val="005E4011"/>
    <w:rsid w:val="005E43A1"/>
    <w:rsid w:val="005E43BA"/>
    <w:rsid w:val="005E46B4"/>
    <w:rsid w:val="005E4744"/>
    <w:rsid w:val="005E482F"/>
    <w:rsid w:val="005E49D7"/>
    <w:rsid w:val="005E4AFB"/>
    <w:rsid w:val="005E4D3F"/>
    <w:rsid w:val="005E4F19"/>
    <w:rsid w:val="005E4FB2"/>
    <w:rsid w:val="005E519E"/>
    <w:rsid w:val="005E51AB"/>
    <w:rsid w:val="005E51BB"/>
    <w:rsid w:val="005E52CB"/>
    <w:rsid w:val="005E559E"/>
    <w:rsid w:val="005E56CB"/>
    <w:rsid w:val="005E5740"/>
    <w:rsid w:val="005E5822"/>
    <w:rsid w:val="005E59D7"/>
    <w:rsid w:val="005E5D8F"/>
    <w:rsid w:val="005E5DFC"/>
    <w:rsid w:val="005E6050"/>
    <w:rsid w:val="005E6059"/>
    <w:rsid w:val="005E60E1"/>
    <w:rsid w:val="005E60FC"/>
    <w:rsid w:val="005E613B"/>
    <w:rsid w:val="005E6231"/>
    <w:rsid w:val="005E6249"/>
    <w:rsid w:val="005E6267"/>
    <w:rsid w:val="005E6279"/>
    <w:rsid w:val="005E6328"/>
    <w:rsid w:val="005E63B1"/>
    <w:rsid w:val="005E645C"/>
    <w:rsid w:val="005E6471"/>
    <w:rsid w:val="005E6520"/>
    <w:rsid w:val="005E6658"/>
    <w:rsid w:val="005E676F"/>
    <w:rsid w:val="005E688A"/>
    <w:rsid w:val="005E6894"/>
    <w:rsid w:val="005E68BF"/>
    <w:rsid w:val="005E6AB5"/>
    <w:rsid w:val="005E6AE6"/>
    <w:rsid w:val="005E6B8C"/>
    <w:rsid w:val="005E6D49"/>
    <w:rsid w:val="005E6E20"/>
    <w:rsid w:val="005E6EAB"/>
    <w:rsid w:val="005E71C0"/>
    <w:rsid w:val="005E726A"/>
    <w:rsid w:val="005E7338"/>
    <w:rsid w:val="005E75C9"/>
    <w:rsid w:val="005E76C6"/>
    <w:rsid w:val="005E7860"/>
    <w:rsid w:val="005E79D0"/>
    <w:rsid w:val="005E7A76"/>
    <w:rsid w:val="005E7C7F"/>
    <w:rsid w:val="005E7CC7"/>
    <w:rsid w:val="005E7D11"/>
    <w:rsid w:val="005E7DF6"/>
    <w:rsid w:val="005E7ECB"/>
    <w:rsid w:val="005F0031"/>
    <w:rsid w:val="005F0062"/>
    <w:rsid w:val="005F00A2"/>
    <w:rsid w:val="005F02B8"/>
    <w:rsid w:val="005F02D8"/>
    <w:rsid w:val="005F03EC"/>
    <w:rsid w:val="005F051A"/>
    <w:rsid w:val="005F05BD"/>
    <w:rsid w:val="005F0710"/>
    <w:rsid w:val="005F07B6"/>
    <w:rsid w:val="005F07C7"/>
    <w:rsid w:val="005F08EE"/>
    <w:rsid w:val="005F09AA"/>
    <w:rsid w:val="005F0A3A"/>
    <w:rsid w:val="005F0A79"/>
    <w:rsid w:val="005F0B4F"/>
    <w:rsid w:val="005F0BE4"/>
    <w:rsid w:val="005F0C72"/>
    <w:rsid w:val="005F0CFF"/>
    <w:rsid w:val="005F0E58"/>
    <w:rsid w:val="005F0EEF"/>
    <w:rsid w:val="005F1008"/>
    <w:rsid w:val="005F10E7"/>
    <w:rsid w:val="005F110F"/>
    <w:rsid w:val="005F114B"/>
    <w:rsid w:val="005F1184"/>
    <w:rsid w:val="005F11CB"/>
    <w:rsid w:val="005F1222"/>
    <w:rsid w:val="005F12FC"/>
    <w:rsid w:val="005F130A"/>
    <w:rsid w:val="005F1312"/>
    <w:rsid w:val="005F159E"/>
    <w:rsid w:val="005F15AF"/>
    <w:rsid w:val="005F1601"/>
    <w:rsid w:val="005F173D"/>
    <w:rsid w:val="005F1764"/>
    <w:rsid w:val="005F1849"/>
    <w:rsid w:val="005F1852"/>
    <w:rsid w:val="005F18B6"/>
    <w:rsid w:val="005F18DC"/>
    <w:rsid w:val="005F195F"/>
    <w:rsid w:val="005F19B8"/>
    <w:rsid w:val="005F19EA"/>
    <w:rsid w:val="005F1A4F"/>
    <w:rsid w:val="005F1A78"/>
    <w:rsid w:val="005F1BA0"/>
    <w:rsid w:val="005F1BD5"/>
    <w:rsid w:val="005F1C9A"/>
    <w:rsid w:val="005F1D44"/>
    <w:rsid w:val="005F1D6A"/>
    <w:rsid w:val="005F1DD1"/>
    <w:rsid w:val="005F1DE1"/>
    <w:rsid w:val="005F1E08"/>
    <w:rsid w:val="005F1EE6"/>
    <w:rsid w:val="005F1EF8"/>
    <w:rsid w:val="005F207E"/>
    <w:rsid w:val="005F20D7"/>
    <w:rsid w:val="005F2222"/>
    <w:rsid w:val="005F231A"/>
    <w:rsid w:val="005F23B2"/>
    <w:rsid w:val="005F24FA"/>
    <w:rsid w:val="005F2671"/>
    <w:rsid w:val="005F2764"/>
    <w:rsid w:val="005F2AA4"/>
    <w:rsid w:val="005F2B5B"/>
    <w:rsid w:val="005F2C5E"/>
    <w:rsid w:val="005F2DD9"/>
    <w:rsid w:val="005F2E75"/>
    <w:rsid w:val="005F2EB2"/>
    <w:rsid w:val="005F2F31"/>
    <w:rsid w:val="005F2F92"/>
    <w:rsid w:val="005F3053"/>
    <w:rsid w:val="005F30A1"/>
    <w:rsid w:val="005F3164"/>
    <w:rsid w:val="005F33A4"/>
    <w:rsid w:val="005F347B"/>
    <w:rsid w:val="005F35A1"/>
    <w:rsid w:val="005F393B"/>
    <w:rsid w:val="005F3A0D"/>
    <w:rsid w:val="005F3AF1"/>
    <w:rsid w:val="005F3B86"/>
    <w:rsid w:val="005F3BA1"/>
    <w:rsid w:val="005F3D64"/>
    <w:rsid w:val="005F3F3F"/>
    <w:rsid w:val="005F414D"/>
    <w:rsid w:val="005F4231"/>
    <w:rsid w:val="005F4767"/>
    <w:rsid w:val="005F49AD"/>
    <w:rsid w:val="005F4DE0"/>
    <w:rsid w:val="005F4E21"/>
    <w:rsid w:val="005F4E4E"/>
    <w:rsid w:val="005F4EA3"/>
    <w:rsid w:val="005F5196"/>
    <w:rsid w:val="005F51F6"/>
    <w:rsid w:val="005F5232"/>
    <w:rsid w:val="005F5330"/>
    <w:rsid w:val="005F5384"/>
    <w:rsid w:val="005F53B0"/>
    <w:rsid w:val="005F5415"/>
    <w:rsid w:val="005F5417"/>
    <w:rsid w:val="005F54C3"/>
    <w:rsid w:val="005F55B5"/>
    <w:rsid w:val="005F567E"/>
    <w:rsid w:val="005F5711"/>
    <w:rsid w:val="005F576F"/>
    <w:rsid w:val="005F577B"/>
    <w:rsid w:val="005F57BE"/>
    <w:rsid w:val="005F590A"/>
    <w:rsid w:val="005F594E"/>
    <w:rsid w:val="005F598B"/>
    <w:rsid w:val="005F5CE5"/>
    <w:rsid w:val="005F5D96"/>
    <w:rsid w:val="005F5DD2"/>
    <w:rsid w:val="005F5F6F"/>
    <w:rsid w:val="005F621D"/>
    <w:rsid w:val="005F6326"/>
    <w:rsid w:val="005F645C"/>
    <w:rsid w:val="005F6467"/>
    <w:rsid w:val="005F6598"/>
    <w:rsid w:val="005F65A8"/>
    <w:rsid w:val="005F6898"/>
    <w:rsid w:val="005F6A63"/>
    <w:rsid w:val="005F6B0B"/>
    <w:rsid w:val="005F6B12"/>
    <w:rsid w:val="005F6B75"/>
    <w:rsid w:val="005F6DC9"/>
    <w:rsid w:val="005F7097"/>
    <w:rsid w:val="005F72F3"/>
    <w:rsid w:val="005F748A"/>
    <w:rsid w:val="005F748F"/>
    <w:rsid w:val="005F768B"/>
    <w:rsid w:val="005F7787"/>
    <w:rsid w:val="005F7871"/>
    <w:rsid w:val="005F7A4E"/>
    <w:rsid w:val="005F7A6D"/>
    <w:rsid w:val="005F7B1D"/>
    <w:rsid w:val="005F7C81"/>
    <w:rsid w:val="005F7E3C"/>
    <w:rsid w:val="005F7EC6"/>
    <w:rsid w:val="005F7F6E"/>
    <w:rsid w:val="00600191"/>
    <w:rsid w:val="00600199"/>
    <w:rsid w:val="006006E2"/>
    <w:rsid w:val="006007E3"/>
    <w:rsid w:val="006008F1"/>
    <w:rsid w:val="00600F43"/>
    <w:rsid w:val="00600F9D"/>
    <w:rsid w:val="00600FDB"/>
    <w:rsid w:val="00601008"/>
    <w:rsid w:val="00601079"/>
    <w:rsid w:val="006010FA"/>
    <w:rsid w:val="00601295"/>
    <w:rsid w:val="00601380"/>
    <w:rsid w:val="0060138A"/>
    <w:rsid w:val="00601426"/>
    <w:rsid w:val="006014C0"/>
    <w:rsid w:val="00601620"/>
    <w:rsid w:val="0060162C"/>
    <w:rsid w:val="006018BA"/>
    <w:rsid w:val="006018C8"/>
    <w:rsid w:val="00601A23"/>
    <w:rsid w:val="00601DAF"/>
    <w:rsid w:val="00601EDE"/>
    <w:rsid w:val="0060241F"/>
    <w:rsid w:val="006026BC"/>
    <w:rsid w:val="0060273F"/>
    <w:rsid w:val="00602BB5"/>
    <w:rsid w:val="00602BD4"/>
    <w:rsid w:val="00602D28"/>
    <w:rsid w:val="00602D5A"/>
    <w:rsid w:val="00602D7C"/>
    <w:rsid w:val="00602DF7"/>
    <w:rsid w:val="00602FA8"/>
    <w:rsid w:val="00602FCB"/>
    <w:rsid w:val="0060303C"/>
    <w:rsid w:val="00603072"/>
    <w:rsid w:val="00603237"/>
    <w:rsid w:val="00603495"/>
    <w:rsid w:val="006034CA"/>
    <w:rsid w:val="00603568"/>
    <w:rsid w:val="006035B1"/>
    <w:rsid w:val="0060362F"/>
    <w:rsid w:val="0060374A"/>
    <w:rsid w:val="006037F3"/>
    <w:rsid w:val="00603828"/>
    <w:rsid w:val="006038F7"/>
    <w:rsid w:val="00603A42"/>
    <w:rsid w:val="00603AD3"/>
    <w:rsid w:val="00603B5B"/>
    <w:rsid w:val="00603D76"/>
    <w:rsid w:val="00603E32"/>
    <w:rsid w:val="00604113"/>
    <w:rsid w:val="00604133"/>
    <w:rsid w:val="0060416F"/>
    <w:rsid w:val="00604247"/>
    <w:rsid w:val="006042A4"/>
    <w:rsid w:val="006042FB"/>
    <w:rsid w:val="00604533"/>
    <w:rsid w:val="006047A6"/>
    <w:rsid w:val="006048C7"/>
    <w:rsid w:val="00604912"/>
    <w:rsid w:val="00604A53"/>
    <w:rsid w:val="00604B6B"/>
    <w:rsid w:val="00604BD6"/>
    <w:rsid w:val="00604C06"/>
    <w:rsid w:val="00604C1C"/>
    <w:rsid w:val="00604D04"/>
    <w:rsid w:val="00604DEF"/>
    <w:rsid w:val="00604EA9"/>
    <w:rsid w:val="006050C3"/>
    <w:rsid w:val="006050CC"/>
    <w:rsid w:val="0060523A"/>
    <w:rsid w:val="0060526C"/>
    <w:rsid w:val="00605270"/>
    <w:rsid w:val="006054F3"/>
    <w:rsid w:val="0060561B"/>
    <w:rsid w:val="0060590D"/>
    <w:rsid w:val="0060595D"/>
    <w:rsid w:val="00605974"/>
    <w:rsid w:val="006059A7"/>
    <w:rsid w:val="00605B49"/>
    <w:rsid w:val="00605BFD"/>
    <w:rsid w:val="00605C6B"/>
    <w:rsid w:val="00605D60"/>
    <w:rsid w:val="00605F50"/>
    <w:rsid w:val="00606052"/>
    <w:rsid w:val="00606073"/>
    <w:rsid w:val="00606132"/>
    <w:rsid w:val="006061DA"/>
    <w:rsid w:val="006062B1"/>
    <w:rsid w:val="00606350"/>
    <w:rsid w:val="00606384"/>
    <w:rsid w:val="006067A2"/>
    <w:rsid w:val="0060683C"/>
    <w:rsid w:val="00606939"/>
    <w:rsid w:val="00606A66"/>
    <w:rsid w:val="00606A97"/>
    <w:rsid w:val="00606B3F"/>
    <w:rsid w:val="00606C83"/>
    <w:rsid w:val="00606E51"/>
    <w:rsid w:val="00606E61"/>
    <w:rsid w:val="00606EDB"/>
    <w:rsid w:val="00606EED"/>
    <w:rsid w:val="00606F2D"/>
    <w:rsid w:val="00606FF0"/>
    <w:rsid w:val="006070F1"/>
    <w:rsid w:val="0060725A"/>
    <w:rsid w:val="00607339"/>
    <w:rsid w:val="00607352"/>
    <w:rsid w:val="006074AD"/>
    <w:rsid w:val="006077C2"/>
    <w:rsid w:val="006077F7"/>
    <w:rsid w:val="0060782E"/>
    <w:rsid w:val="0060784F"/>
    <w:rsid w:val="00607889"/>
    <w:rsid w:val="00607937"/>
    <w:rsid w:val="00607939"/>
    <w:rsid w:val="0060797F"/>
    <w:rsid w:val="00607B5B"/>
    <w:rsid w:val="00607BF1"/>
    <w:rsid w:val="00607C29"/>
    <w:rsid w:val="00607DB9"/>
    <w:rsid w:val="00607DF0"/>
    <w:rsid w:val="00607EB6"/>
    <w:rsid w:val="00610057"/>
    <w:rsid w:val="00610239"/>
    <w:rsid w:val="0061024B"/>
    <w:rsid w:val="006104A1"/>
    <w:rsid w:val="0061069D"/>
    <w:rsid w:val="00610754"/>
    <w:rsid w:val="006107C3"/>
    <w:rsid w:val="00610836"/>
    <w:rsid w:val="0061089B"/>
    <w:rsid w:val="00610BFA"/>
    <w:rsid w:val="00610CDA"/>
    <w:rsid w:val="00610D04"/>
    <w:rsid w:val="00610D8C"/>
    <w:rsid w:val="00610E00"/>
    <w:rsid w:val="00610E4F"/>
    <w:rsid w:val="00610EB3"/>
    <w:rsid w:val="00610F5E"/>
    <w:rsid w:val="00611034"/>
    <w:rsid w:val="006110DC"/>
    <w:rsid w:val="006111DB"/>
    <w:rsid w:val="00611340"/>
    <w:rsid w:val="00611352"/>
    <w:rsid w:val="006113BD"/>
    <w:rsid w:val="006115A6"/>
    <w:rsid w:val="00611705"/>
    <w:rsid w:val="0061174D"/>
    <w:rsid w:val="00611978"/>
    <w:rsid w:val="00611A36"/>
    <w:rsid w:val="00611A7E"/>
    <w:rsid w:val="00611B9E"/>
    <w:rsid w:val="00611BC5"/>
    <w:rsid w:val="00611E69"/>
    <w:rsid w:val="00611F40"/>
    <w:rsid w:val="00612053"/>
    <w:rsid w:val="006120EB"/>
    <w:rsid w:val="00612104"/>
    <w:rsid w:val="00612514"/>
    <w:rsid w:val="00612759"/>
    <w:rsid w:val="00612987"/>
    <w:rsid w:val="00612DD4"/>
    <w:rsid w:val="00613003"/>
    <w:rsid w:val="006130ED"/>
    <w:rsid w:val="006131B5"/>
    <w:rsid w:val="0061321E"/>
    <w:rsid w:val="00613279"/>
    <w:rsid w:val="00613350"/>
    <w:rsid w:val="006133D9"/>
    <w:rsid w:val="00613485"/>
    <w:rsid w:val="006135D9"/>
    <w:rsid w:val="00613762"/>
    <w:rsid w:val="00613863"/>
    <w:rsid w:val="006138C4"/>
    <w:rsid w:val="00613AF1"/>
    <w:rsid w:val="00613B9B"/>
    <w:rsid w:val="00613BE4"/>
    <w:rsid w:val="00613D73"/>
    <w:rsid w:val="00613DF5"/>
    <w:rsid w:val="00613E61"/>
    <w:rsid w:val="00613F85"/>
    <w:rsid w:val="0061438B"/>
    <w:rsid w:val="006143D1"/>
    <w:rsid w:val="00614569"/>
    <w:rsid w:val="00614641"/>
    <w:rsid w:val="006146BA"/>
    <w:rsid w:val="00614795"/>
    <w:rsid w:val="00614898"/>
    <w:rsid w:val="00614922"/>
    <w:rsid w:val="00614943"/>
    <w:rsid w:val="006149BD"/>
    <w:rsid w:val="00614A74"/>
    <w:rsid w:val="00614AE7"/>
    <w:rsid w:val="00614C5F"/>
    <w:rsid w:val="00614D15"/>
    <w:rsid w:val="00614D38"/>
    <w:rsid w:val="00614E09"/>
    <w:rsid w:val="00614ED8"/>
    <w:rsid w:val="006155B8"/>
    <w:rsid w:val="006155D2"/>
    <w:rsid w:val="006155F4"/>
    <w:rsid w:val="00615706"/>
    <w:rsid w:val="006157CB"/>
    <w:rsid w:val="006157E2"/>
    <w:rsid w:val="0061583D"/>
    <w:rsid w:val="00615883"/>
    <w:rsid w:val="0061597F"/>
    <w:rsid w:val="00615BB1"/>
    <w:rsid w:val="00615DF3"/>
    <w:rsid w:val="00615E76"/>
    <w:rsid w:val="00615E97"/>
    <w:rsid w:val="00615F0B"/>
    <w:rsid w:val="00615F30"/>
    <w:rsid w:val="00615F3E"/>
    <w:rsid w:val="00615FE4"/>
    <w:rsid w:val="006160D9"/>
    <w:rsid w:val="006161A9"/>
    <w:rsid w:val="006162FD"/>
    <w:rsid w:val="006165E8"/>
    <w:rsid w:val="006165E9"/>
    <w:rsid w:val="006165F6"/>
    <w:rsid w:val="006166FB"/>
    <w:rsid w:val="00616792"/>
    <w:rsid w:val="00616981"/>
    <w:rsid w:val="006169CD"/>
    <w:rsid w:val="00616A3E"/>
    <w:rsid w:val="00616ADC"/>
    <w:rsid w:val="00616D35"/>
    <w:rsid w:val="00616DA0"/>
    <w:rsid w:val="00616E7F"/>
    <w:rsid w:val="00616E81"/>
    <w:rsid w:val="00616F3D"/>
    <w:rsid w:val="00617204"/>
    <w:rsid w:val="006174BD"/>
    <w:rsid w:val="00617566"/>
    <w:rsid w:val="006176FD"/>
    <w:rsid w:val="00617739"/>
    <w:rsid w:val="00617855"/>
    <w:rsid w:val="00617906"/>
    <w:rsid w:val="0061790D"/>
    <w:rsid w:val="0061797D"/>
    <w:rsid w:val="00617B29"/>
    <w:rsid w:val="00617C85"/>
    <w:rsid w:val="00617DBD"/>
    <w:rsid w:val="00617E07"/>
    <w:rsid w:val="00617F5F"/>
    <w:rsid w:val="00620058"/>
    <w:rsid w:val="00620071"/>
    <w:rsid w:val="006200C8"/>
    <w:rsid w:val="0062015F"/>
    <w:rsid w:val="0062016C"/>
    <w:rsid w:val="00620264"/>
    <w:rsid w:val="00620268"/>
    <w:rsid w:val="0062028C"/>
    <w:rsid w:val="00620373"/>
    <w:rsid w:val="00620393"/>
    <w:rsid w:val="006208B4"/>
    <w:rsid w:val="0062092F"/>
    <w:rsid w:val="00620A8A"/>
    <w:rsid w:val="00620B38"/>
    <w:rsid w:val="00620DFE"/>
    <w:rsid w:val="00620E2E"/>
    <w:rsid w:val="00621011"/>
    <w:rsid w:val="006211A0"/>
    <w:rsid w:val="006211A9"/>
    <w:rsid w:val="00621336"/>
    <w:rsid w:val="0062139E"/>
    <w:rsid w:val="0062140C"/>
    <w:rsid w:val="00621411"/>
    <w:rsid w:val="006215E9"/>
    <w:rsid w:val="006218B9"/>
    <w:rsid w:val="0062198D"/>
    <w:rsid w:val="00621A40"/>
    <w:rsid w:val="00621BC2"/>
    <w:rsid w:val="00621E1F"/>
    <w:rsid w:val="006220ED"/>
    <w:rsid w:val="00622117"/>
    <w:rsid w:val="00622198"/>
    <w:rsid w:val="006221CD"/>
    <w:rsid w:val="006221D2"/>
    <w:rsid w:val="006222C4"/>
    <w:rsid w:val="00622514"/>
    <w:rsid w:val="0062252F"/>
    <w:rsid w:val="00622596"/>
    <w:rsid w:val="00622744"/>
    <w:rsid w:val="006229AE"/>
    <w:rsid w:val="00622A52"/>
    <w:rsid w:val="00622A7C"/>
    <w:rsid w:val="00622AFC"/>
    <w:rsid w:val="00622BF0"/>
    <w:rsid w:val="00622C8A"/>
    <w:rsid w:val="00622D6D"/>
    <w:rsid w:val="00622E84"/>
    <w:rsid w:val="006230FC"/>
    <w:rsid w:val="006235B1"/>
    <w:rsid w:val="006235F7"/>
    <w:rsid w:val="00623604"/>
    <w:rsid w:val="0062371B"/>
    <w:rsid w:val="00623969"/>
    <w:rsid w:val="00623A67"/>
    <w:rsid w:val="00623AD3"/>
    <w:rsid w:val="00623C55"/>
    <w:rsid w:val="00623C99"/>
    <w:rsid w:val="00623D3F"/>
    <w:rsid w:val="00623E7F"/>
    <w:rsid w:val="0062410F"/>
    <w:rsid w:val="006241E4"/>
    <w:rsid w:val="006242EB"/>
    <w:rsid w:val="00624344"/>
    <w:rsid w:val="00624396"/>
    <w:rsid w:val="006243E3"/>
    <w:rsid w:val="00624480"/>
    <w:rsid w:val="00624817"/>
    <w:rsid w:val="00624CD9"/>
    <w:rsid w:val="00624D37"/>
    <w:rsid w:val="00624D74"/>
    <w:rsid w:val="00624EAE"/>
    <w:rsid w:val="00624F1C"/>
    <w:rsid w:val="0062505D"/>
    <w:rsid w:val="00625398"/>
    <w:rsid w:val="0062572B"/>
    <w:rsid w:val="00625774"/>
    <w:rsid w:val="00625784"/>
    <w:rsid w:val="0062586C"/>
    <w:rsid w:val="0062593A"/>
    <w:rsid w:val="00625A2D"/>
    <w:rsid w:val="00625A7B"/>
    <w:rsid w:val="00625AE0"/>
    <w:rsid w:val="00625B5A"/>
    <w:rsid w:val="00625BFE"/>
    <w:rsid w:val="00625C31"/>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10"/>
    <w:rsid w:val="0062714A"/>
    <w:rsid w:val="006271BA"/>
    <w:rsid w:val="006271CF"/>
    <w:rsid w:val="00627211"/>
    <w:rsid w:val="0062721E"/>
    <w:rsid w:val="006272A3"/>
    <w:rsid w:val="00627404"/>
    <w:rsid w:val="006274AC"/>
    <w:rsid w:val="00627551"/>
    <w:rsid w:val="00627660"/>
    <w:rsid w:val="006277A2"/>
    <w:rsid w:val="0062795A"/>
    <w:rsid w:val="00627AC2"/>
    <w:rsid w:val="00627F9A"/>
    <w:rsid w:val="00627FFE"/>
    <w:rsid w:val="0063012B"/>
    <w:rsid w:val="00630335"/>
    <w:rsid w:val="00630386"/>
    <w:rsid w:val="006303D6"/>
    <w:rsid w:val="00630421"/>
    <w:rsid w:val="006305E9"/>
    <w:rsid w:val="00630664"/>
    <w:rsid w:val="00630672"/>
    <w:rsid w:val="006306CE"/>
    <w:rsid w:val="006307A9"/>
    <w:rsid w:val="00630898"/>
    <w:rsid w:val="00630992"/>
    <w:rsid w:val="006309E7"/>
    <w:rsid w:val="00630AC5"/>
    <w:rsid w:val="00630CA8"/>
    <w:rsid w:val="00630E21"/>
    <w:rsid w:val="00630F2A"/>
    <w:rsid w:val="00630F54"/>
    <w:rsid w:val="006310AA"/>
    <w:rsid w:val="006310F2"/>
    <w:rsid w:val="006311A0"/>
    <w:rsid w:val="006311A9"/>
    <w:rsid w:val="0063134F"/>
    <w:rsid w:val="00631724"/>
    <w:rsid w:val="0063181F"/>
    <w:rsid w:val="0063194D"/>
    <w:rsid w:val="00631A65"/>
    <w:rsid w:val="00631AF9"/>
    <w:rsid w:val="00631B82"/>
    <w:rsid w:val="00631D14"/>
    <w:rsid w:val="00631D48"/>
    <w:rsid w:val="00631EC5"/>
    <w:rsid w:val="00632095"/>
    <w:rsid w:val="006323B9"/>
    <w:rsid w:val="0063251F"/>
    <w:rsid w:val="006325D4"/>
    <w:rsid w:val="0063270D"/>
    <w:rsid w:val="00632784"/>
    <w:rsid w:val="006328BC"/>
    <w:rsid w:val="00632949"/>
    <w:rsid w:val="00632AF7"/>
    <w:rsid w:val="00632B1D"/>
    <w:rsid w:val="00632C83"/>
    <w:rsid w:val="00632E1B"/>
    <w:rsid w:val="00632F26"/>
    <w:rsid w:val="00632F61"/>
    <w:rsid w:val="006330E0"/>
    <w:rsid w:val="006332A9"/>
    <w:rsid w:val="006334B5"/>
    <w:rsid w:val="006335A1"/>
    <w:rsid w:val="006335FE"/>
    <w:rsid w:val="006336E9"/>
    <w:rsid w:val="006337BA"/>
    <w:rsid w:val="00633AE2"/>
    <w:rsid w:val="00633BBE"/>
    <w:rsid w:val="00633D68"/>
    <w:rsid w:val="00633DDE"/>
    <w:rsid w:val="006342CE"/>
    <w:rsid w:val="006343F3"/>
    <w:rsid w:val="00634711"/>
    <w:rsid w:val="0063483A"/>
    <w:rsid w:val="00634AB4"/>
    <w:rsid w:val="00634C58"/>
    <w:rsid w:val="00634DE8"/>
    <w:rsid w:val="00634DFE"/>
    <w:rsid w:val="00634E0B"/>
    <w:rsid w:val="00634E2D"/>
    <w:rsid w:val="00634E85"/>
    <w:rsid w:val="00634EDC"/>
    <w:rsid w:val="00634F67"/>
    <w:rsid w:val="0063523E"/>
    <w:rsid w:val="0063545F"/>
    <w:rsid w:val="00635598"/>
    <w:rsid w:val="00635693"/>
    <w:rsid w:val="00635754"/>
    <w:rsid w:val="00635769"/>
    <w:rsid w:val="006358D4"/>
    <w:rsid w:val="00635AB6"/>
    <w:rsid w:val="00635C1A"/>
    <w:rsid w:val="00635C4A"/>
    <w:rsid w:val="00635C84"/>
    <w:rsid w:val="00636129"/>
    <w:rsid w:val="0063618C"/>
    <w:rsid w:val="00636247"/>
    <w:rsid w:val="0063631C"/>
    <w:rsid w:val="0063634E"/>
    <w:rsid w:val="006363B1"/>
    <w:rsid w:val="00636507"/>
    <w:rsid w:val="006365C0"/>
    <w:rsid w:val="00636763"/>
    <w:rsid w:val="00636779"/>
    <w:rsid w:val="006368B5"/>
    <w:rsid w:val="00636977"/>
    <w:rsid w:val="00636998"/>
    <w:rsid w:val="00636B13"/>
    <w:rsid w:val="00636B58"/>
    <w:rsid w:val="00636BB6"/>
    <w:rsid w:val="00636C62"/>
    <w:rsid w:val="00636E24"/>
    <w:rsid w:val="00636E82"/>
    <w:rsid w:val="00636E86"/>
    <w:rsid w:val="00636E94"/>
    <w:rsid w:val="00636FA5"/>
    <w:rsid w:val="00636FE1"/>
    <w:rsid w:val="0063703A"/>
    <w:rsid w:val="00637043"/>
    <w:rsid w:val="00637111"/>
    <w:rsid w:val="006371DF"/>
    <w:rsid w:val="00637418"/>
    <w:rsid w:val="00637570"/>
    <w:rsid w:val="006377CA"/>
    <w:rsid w:val="0063782E"/>
    <w:rsid w:val="00637851"/>
    <w:rsid w:val="006378AE"/>
    <w:rsid w:val="006379FA"/>
    <w:rsid w:val="00637BAB"/>
    <w:rsid w:val="00640184"/>
    <w:rsid w:val="0064039A"/>
    <w:rsid w:val="006404A5"/>
    <w:rsid w:val="006405B7"/>
    <w:rsid w:val="00640706"/>
    <w:rsid w:val="0064078B"/>
    <w:rsid w:val="00640849"/>
    <w:rsid w:val="0064092F"/>
    <w:rsid w:val="006409AF"/>
    <w:rsid w:val="006409B2"/>
    <w:rsid w:val="00640A28"/>
    <w:rsid w:val="00640C5A"/>
    <w:rsid w:val="00640CF2"/>
    <w:rsid w:val="00640DAD"/>
    <w:rsid w:val="00640E23"/>
    <w:rsid w:val="00640F23"/>
    <w:rsid w:val="006412B2"/>
    <w:rsid w:val="0064134A"/>
    <w:rsid w:val="006413E5"/>
    <w:rsid w:val="006415DC"/>
    <w:rsid w:val="00641670"/>
    <w:rsid w:val="006416EA"/>
    <w:rsid w:val="00641702"/>
    <w:rsid w:val="00641815"/>
    <w:rsid w:val="00641920"/>
    <w:rsid w:val="0064194F"/>
    <w:rsid w:val="0064199D"/>
    <w:rsid w:val="006419C2"/>
    <w:rsid w:val="00641A54"/>
    <w:rsid w:val="00641A99"/>
    <w:rsid w:val="00641AE5"/>
    <w:rsid w:val="00641B98"/>
    <w:rsid w:val="00641C25"/>
    <w:rsid w:val="00641EAF"/>
    <w:rsid w:val="00641EF8"/>
    <w:rsid w:val="00642172"/>
    <w:rsid w:val="0064218E"/>
    <w:rsid w:val="0064228C"/>
    <w:rsid w:val="00642491"/>
    <w:rsid w:val="006425E3"/>
    <w:rsid w:val="006426C5"/>
    <w:rsid w:val="00642710"/>
    <w:rsid w:val="00642731"/>
    <w:rsid w:val="006427C4"/>
    <w:rsid w:val="006427DE"/>
    <w:rsid w:val="00642909"/>
    <w:rsid w:val="00642970"/>
    <w:rsid w:val="00642B46"/>
    <w:rsid w:val="00642C18"/>
    <w:rsid w:val="00642D1F"/>
    <w:rsid w:val="00642F22"/>
    <w:rsid w:val="006430AA"/>
    <w:rsid w:val="0064319C"/>
    <w:rsid w:val="006432F8"/>
    <w:rsid w:val="006433AA"/>
    <w:rsid w:val="006433AF"/>
    <w:rsid w:val="00643437"/>
    <w:rsid w:val="00643488"/>
    <w:rsid w:val="00643879"/>
    <w:rsid w:val="006438CA"/>
    <w:rsid w:val="0064393B"/>
    <w:rsid w:val="00643A5F"/>
    <w:rsid w:val="00643C3E"/>
    <w:rsid w:val="00643CCA"/>
    <w:rsid w:val="00643DDD"/>
    <w:rsid w:val="00643DFD"/>
    <w:rsid w:val="00643F1A"/>
    <w:rsid w:val="0064401F"/>
    <w:rsid w:val="00644047"/>
    <w:rsid w:val="00644162"/>
    <w:rsid w:val="00644280"/>
    <w:rsid w:val="00644486"/>
    <w:rsid w:val="00644518"/>
    <w:rsid w:val="0064451C"/>
    <w:rsid w:val="00644559"/>
    <w:rsid w:val="00644576"/>
    <w:rsid w:val="006445CF"/>
    <w:rsid w:val="006448A6"/>
    <w:rsid w:val="00644900"/>
    <w:rsid w:val="00644B8E"/>
    <w:rsid w:val="00644B9C"/>
    <w:rsid w:val="00644C04"/>
    <w:rsid w:val="00644C96"/>
    <w:rsid w:val="00644CCB"/>
    <w:rsid w:val="00644D51"/>
    <w:rsid w:val="00644EBD"/>
    <w:rsid w:val="00644EFB"/>
    <w:rsid w:val="00644F0F"/>
    <w:rsid w:val="0064501A"/>
    <w:rsid w:val="006453E6"/>
    <w:rsid w:val="00645465"/>
    <w:rsid w:val="006455F1"/>
    <w:rsid w:val="0064562C"/>
    <w:rsid w:val="0064575E"/>
    <w:rsid w:val="006459C8"/>
    <w:rsid w:val="00645B41"/>
    <w:rsid w:val="00645B83"/>
    <w:rsid w:val="00645C21"/>
    <w:rsid w:val="00645F86"/>
    <w:rsid w:val="00645FD6"/>
    <w:rsid w:val="00645FE5"/>
    <w:rsid w:val="00646109"/>
    <w:rsid w:val="0064611E"/>
    <w:rsid w:val="00646297"/>
    <w:rsid w:val="006462F0"/>
    <w:rsid w:val="0064634F"/>
    <w:rsid w:val="00646678"/>
    <w:rsid w:val="00646987"/>
    <w:rsid w:val="00646A98"/>
    <w:rsid w:val="00646B3C"/>
    <w:rsid w:val="00646CBB"/>
    <w:rsid w:val="00646D96"/>
    <w:rsid w:val="00646F01"/>
    <w:rsid w:val="00646F6F"/>
    <w:rsid w:val="0064710F"/>
    <w:rsid w:val="006471D6"/>
    <w:rsid w:val="00647398"/>
    <w:rsid w:val="00647403"/>
    <w:rsid w:val="00647407"/>
    <w:rsid w:val="0064753B"/>
    <w:rsid w:val="0064756E"/>
    <w:rsid w:val="006476AB"/>
    <w:rsid w:val="00647727"/>
    <w:rsid w:val="006477A0"/>
    <w:rsid w:val="00647AC8"/>
    <w:rsid w:val="00647CD7"/>
    <w:rsid w:val="00647EB7"/>
    <w:rsid w:val="00647EC3"/>
    <w:rsid w:val="00647FC1"/>
    <w:rsid w:val="0065000D"/>
    <w:rsid w:val="006501C8"/>
    <w:rsid w:val="006503EE"/>
    <w:rsid w:val="006505D2"/>
    <w:rsid w:val="00650694"/>
    <w:rsid w:val="0065069F"/>
    <w:rsid w:val="006506A9"/>
    <w:rsid w:val="00650736"/>
    <w:rsid w:val="006507CC"/>
    <w:rsid w:val="006508E7"/>
    <w:rsid w:val="00650B32"/>
    <w:rsid w:val="00650B49"/>
    <w:rsid w:val="00650E67"/>
    <w:rsid w:val="00651105"/>
    <w:rsid w:val="006512DD"/>
    <w:rsid w:val="00651430"/>
    <w:rsid w:val="006515FB"/>
    <w:rsid w:val="006518D6"/>
    <w:rsid w:val="00651906"/>
    <w:rsid w:val="00651981"/>
    <w:rsid w:val="006519CC"/>
    <w:rsid w:val="00651A22"/>
    <w:rsid w:val="00651C93"/>
    <w:rsid w:val="00651D53"/>
    <w:rsid w:val="00651E26"/>
    <w:rsid w:val="00651E8A"/>
    <w:rsid w:val="00652088"/>
    <w:rsid w:val="006520AF"/>
    <w:rsid w:val="006522B3"/>
    <w:rsid w:val="00652442"/>
    <w:rsid w:val="006527C4"/>
    <w:rsid w:val="00652A0A"/>
    <w:rsid w:val="00652B5F"/>
    <w:rsid w:val="00652B7A"/>
    <w:rsid w:val="00652BF7"/>
    <w:rsid w:val="00652C85"/>
    <w:rsid w:val="00652E9D"/>
    <w:rsid w:val="00652ED4"/>
    <w:rsid w:val="00652F55"/>
    <w:rsid w:val="006533FC"/>
    <w:rsid w:val="006535AE"/>
    <w:rsid w:val="006536B7"/>
    <w:rsid w:val="00653735"/>
    <w:rsid w:val="00653961"/>
    <w:rsid w:val="006539F2"/>
    <w:rsid w:val="00653A19"/>
    <w:rsid w:val="00653B16"/>
    <w:rsid w:val="00653BCB"/>
    <w:rsid w:val="00653BCF"/>
    <w:rsid w:val="00653BF5"/>
    <w:rsid w:val="00653DE3"/>
    <w:rsid w:val="00653E34"/>
    <w:rsid w:val="00653EC1"/>
    <w:rsid w:val="00653EF7"/>
    <w:rsid w:val="00653F99"/>
    <w:rsid w:val="0065409F"/>
    <w:rsid w:val="006540DC"/>
    <w:rsid w:val="0065416B"/>
    <w:rsid w:val="0065424B"/>
    <w:rsid w:val="006542B7"/>
    <w:rsid w:val="006543B5"/>
    <w:rsid w:val="00654627"/>
    <w:rsid w:val="0065464B"/>
    <w:rsid w:val="00654781"/>
    <w:rsid w:val="0065481E"/>
    <w:rsid w:val="00654863"/>
    <w:rsid w:val="00654A77"/>
    <w:rsid w:val="00654C3E"/>
    <w:rsid w:val="00654CA3"/>
    <w:rsid w:val="00654E93"/>
    <w:rsid w:val="0065502E"/>
    <w:rsid w:val="006551E9"/>
    <w:rsid w:val="0065530D"/>
    <w:rsid w:val="0065532C"/>
    <w:rsid w:val="00655465"/>
    <w:rsid w:val="006556A9"/>
    <w:rsid w:val="00655808"/>
    <w:rsid w:val="0065588D"/>
    <w:rsid w:val="00655A0C"/>
    <w:rsid w:val="00655B1D"/>
    <w:rsid w:val="00655BC5"/>
    <w:rsid w:val="00655D75"/>
    <w:rsid w:val="00655F8B"/>
    <w:rsid w:val="00656058"/>
    <w:rsid w:val="00656216"/>
    <w:rsid w:val="00656225"/>
    <w:rsid w:val="006562C0"/>
    <w:rsid w:val="0065633E"/>
    <w:rsid w:val="00656390"/>
    <w:rsid w:val="00656461"/>
    <w:rsid w:val="006564AD"/>
    <w:rsid w:val="00656505"/>
    <w:rsid w:val="006566BD"/>
    <w:rsid w:val="006569A9"/>
    <w:rsid w:val="006569B5"/>
    <w:rsid w:val="00656A1C"/>
    <w:rsid w:val="00656B55"/>
    <w:rsid w:val="00656BF9"/>
    <w:rsid w:val="00656E4C"/>
    <w:rsid w:val="00656F09"/>
    <w:rsid w:val="0065701C"/>
    <w:rsid w:val="00657160"/>
    <w:rsid w:val="006571DF"/>
    <w:rsid w:val="00657263"/>
    <w:rsid w:val="0065736A"/>
    <w:rsid w:val="006573B3"/>
    <w:rsid w:val="00657532"/>
    <w:rsid w:val="0065754C"/>
    <w:rsid w:val="00657698"/>
    <w:rsid w:val="006576D9"/>
    <w:rsid w:val="0065775C"/>
    <w:rsid w:val="0065779C"/>
    <w:rsid w:val="006577DD"/>
    <w:rsid w:val="00657A5E"/>
    <w:rsid w:val="00657A9B"/>
    <w:rsid w:val="00657AB5"/>
    <w:rsid w:val="00657B5D"/>
    <w:rsid w:val="00657C8B"/>
    <w:rsid w:val="00657D33"/>
    <w:rsid w:val="00660412"/>
    <w:rsid w:val="006607A8"/>
    <w:rsid w:val="00660AA9"/>
    <w:rsid w:val="00660F44"/>
    <w:rsid w:val="0066108F"/>
    <w:rsid w:val="0066118B"/>
    <w:rsid w:val="00661254"/>
    <w:rsid w:val="00661265"/>
    <w:rsid w:val="00661655"/>
    <w:rsid w:val="00661702"/>
    <w:rsid w:val="00661762"/>
    <w:rsid w:val="006619D4"/>
    <w:rsid w:val="00661A2A"/>
    <w:rsid w:val="00661A69"/>
    <w:rsid w:val="00661BB5"/>
    <w:rsid w:val="00661F61"/>
    <w:rsid w:val="00661FCB"/>
    <w:rsid w:val="0066214D"/>
    <w:rsid w:val="00662352"/>
    <w:rsid w:val="00662436"/>
    <w:rsid w:val="00662997"/>
    <w:rsid w:val="00662B3A"/>
    <w:rsid w:val="00662BF9"/>
    <w:rsid w:val="00662C7A"/>
    <w:rsid w:val="00662D64"/>
    <w:rsid w:val="00662D9A"/>
    <w:rsid w:val="00662FA3"/>
    <w:rsid w:val="00663027"/>
    <w:rsid w:val="006631F3"/>
    <w:rsid w:val="0066321A"/>
    <w:rsid w:val="0066333D"/>
    <w:rsid w:val="00663763"/>
    <w:rsid w:val="006638B5"/>
    <w:rsid w:val="0066392B"/>
    <w:rsid w:val="0066393F"/>
    <w:rsid w:val="00663979"/>
    <w:rsid w:val="00663ADA"/>
    <w:rsid w:val="00663B22"/>
    <w:rsid w:val="00663B79"/>
    <w:rsid w:val="00663C89"/>
    <w:rsid w:val="00664031"/>
    <w:rsid w:val="00664046"/>
    <w:rsid w:val="0066406B"/>
    <w:rsid w:val="006640A0"/>
    <w:rsid w:val="006640B0"/>
    <w:rsid w:val="006642B1"/>
    <w:rsid w:val="0066442B"/>
    <w:rsid w:val="006644FB"/>
    <w:rsid w:val="006649DF"/>
    <w:rsid w:val="00664B48"/>
    <w:rsid w:val="00664C07"/>
    <w:rsid w:val="00664E1D"/>
    <w:rsid w:val="00664FED"/>
    <w:rsid w:val="006651CE"/>
    <w:rsid w:val="00665238"/>
    <w:rsid w:val="006652F1"/>
    <w:rsid w:val="00665305"/>
    <w:rsid w:val="00665486"/>
    <w:rsid w:val="006654C9"/>
    <w:rsid w:val="00665558"/>
    <w:rsid w:val="0066558B"/>
    <w:rsid w:val="00665627"/>
    <w:rsid w:val="00665718"/>
    <w:rsid w:val="0066584A"/>
    <w:rsid w:val="00665913"/>
    <w:rsid w:val="00665AC2"/>
    <w:rsid w:val="00665C90"/>
    <w:rsid w:val="00665D3F"/>
    <w:rsid w:val="00665D40"/>
    <w:rsid w:val="00665D73"/>
    <w:rsid w:val="00666439"/>
    <w:rsid w:val="00666673"/>
    <w:rsid w:val="006668F6"/>
    <w:rsid w:val="00666BEE"/>
    <w:rsid w:val="00666C8C"/>
    <w:rsid w:val="00666EAD"/>
    <w:rsid w:val="00666ED7"/>
    <w:rsid w:val="00666EEA"/>
    <w:rsid w:val="00666F71"/>
    <w:rsid w:val="00666FEB"/>
    <w:rsid w:val="00667089"/>
    <w:rsid w:val="006670CD"/>
    <w:rsid w:val="00667123"/>
    <w:rsid w:val="00667247"/>
    <w:rsid w:val="006672E3"/>
    <w:rsid w:val="0066739A"/>
    <w:rsid w:val="006675EF"/>
    <w:rsid w:val="006676D4"/>
    <w:rsid w:val="00667743"/>
    <w:rsid w:val="006677EE"/>
    <w:rsid w:val="006677F6"/>
    <w:rsid w:val="00667818"/>
    <w:rsid w:val="0066799C"/>
    <w:rsid w:val="00667C9E"/>
    <w:rsid w:val="00667D4F"/>
    <w:rsid w:val="00667E4C"/>
    <w:rsid w:val="00667E7E"/>
    <w:rsid w:val="006701D1"/>
    <w:rsid w:val="00670246"/>
    <w:rsid w:val="006703E5"/>
    <w:rsid w:val="00670453"/>
    <w:rsid w:val="006704AF"/>
    <w:rsid w:val="00670503"/>
    <w:rsid w:val="006707EE"/>
    <w:rsid w:val="0067086D"/>
    <w:rsid w:val="006708A9"/>
    <w:rsid w:val="00670970"/>
    <w:rsid w:val="00670976"/>
    <w:rsid w:val="0067099E"/>
    <w:rsid w:val="006709BE"/>
    <w:rsid w:val="00670A5E"/>
    <w:rsid w:val="00670B41"/>
    <w:rsid w:val="00670CDE"/>
    <w:rsid w:val="00670E76"/>
    <w:rsid w:val="00671213"/>
    <w:rsid w:val="006713AA"/>
    <w:rsid w:val="0067141D"/>
    <w:rsid w:val="006714DA"/>
    <w:rsid w:val="006716A2"/>
    <w:rsid w:val="0067181E"/>
    <w:rsid w:val="00671836"/>
    <w:rsid w:val="006719BE"/>
    <w:rsid w:val="00671A32"/>
    <w:rsid w:val="00671BBA"/>
    <w:rsid w:val="00671C3F"/>
    <w:rsid w:val="00671CBF"/>
    <w:rsid w:val="00671DFB"/>
    <w:rsid w:val="00671EC7"/>
    <w:rsid w:val="00671FB1"/>
    <w:rsid w:val="00671FE3"/>
    <w:rsid w:val="00672038"/>
    <w:rsid w:val="00672144"/>
    <w:rsid w:val="006723FD"/>
    <w:rsid w:val="00672550"/>
    <w:rsid w:val="006726FD"/>
    <w:rsid w:val="0067271B"/>
    <w:rsid w:val="00672910"/>
    <w:rsid w:val="00672A98"/>
    <w:rsid w:val="00672B51"/>
    <w:rsid w:val="00672B66"/>
    <w:rsid w:val="00672CD3"/>
    <w:rsid w:val="00672E10"/>
    <w:rsid w:val="00672E98"/>
    <w:rsid w:val="00673068"/>
    <w:rsid w:val="00673160"/>
    <w:rsid w:val="00673346"/>
    <w:rsid w:val="006734DD"/>
    <w:rsid w:val="00673538"/>
    <w:rsid w:val="0067356E"/>
    <w:rsid w:val="0067357B"/>
    <w:rsid w:val="0067363F"/>
    <w:rsid w:val="00673761"/>
    <w:rsid w:val="0067376C"/>
    <w:rsid w:val="00673916"/>
    <w:rsid w:val="00673A9B"/>
    <w:rsid w:val="00673D0C"/>
    <w:rsid w:val="00673E5E"/>
    <w:rsid w:val="00673EBF"/>
    <w:rsid w:val="00674025"/>
    <w:rsid w:val="006740C7"/>
    <w:rsid w:val="00674102"/>
    <w:rsid w:val="0067429D"/>
    <w:rsid w:val="006742D0"/>
    <w:rsid w:val="00674401"/>
    <w:rsid w:val="00674414"/>
    <w:rsid w:val="00674478"/>
    <w:rsid w:val="0067463A"/>
    <w:rsid w:val="00674640"/>
    <w:rsid w:val="00674658"/>
    <w:rsid w:val="0067484E"/>
    <w:rsid w:val="0067499B"/>
    <w:rsid w:val="006749B8"/>
    <w:rsid w:val="00674C9E"/>
    <w:rsid w:val="00674F42"/>
    <w:rsid w:val="006750CE"/>
    <w:rsid w:val="006750D5"/>
    <w:rsid w:val="0067518C"/>
    <w:rsid w:val="006751EE"/>
    <w:rsid w:val="00675227"/>
    <w:rsid w:val="00675281"/>
    <w:rsid w:val="0067535A"/>
    <w:rsid w:val="006753D7"/>
    <w:rsid w:val="00675493"/>
    <w:rsid w:val="006754C6"/>
    <w:rsid w:val="006756FB"/>
    <w:rsid w:val="0067578B"/>
    <w:rsid w:val="006757AD"/>
    <w:rsid w:val="00675A8B"/>
    <w:rsid w:val="00675B5D"/>
    <w:rsid w:val="00675C34"/>
    <w:rsid w:val="00675D9A"/>
    <w:rsid w:val="00675EBB"/>
    <w:rsid w:val="00675EEA"/>
    <w:rsid w:val="0067606D"/>
    <w:rsid w:val="00676079"/>
    <w:rsid w:val="0067611B"/>
    <w:rsid w:val="006761B4"/>
    <w:rsid w:val="0067636E"/>
    <w:rsid w:val="006763E8"/>
    <w:rsid w:val="00676401"/>
    <w:rsid w:val="00676415"/>
    <w:rsid w:val="00676767"/>
    <w:rsid w:val="006768F1"/>
    <w:rsid w:val="00676DAE"/>
    <w:rsid w:val="00676DD1"/>
    <w:rsid w:val="00676E77"/>
    <w:rsid w:val="00677188"/>
    <w:rsid w:val="00677449"/>
    <w:rsid w:val="00677716"/>
    <w:rsid w:val="00677788"/>
    <w:rsid w:val="006777BD"/>
    <w:rsid w:val="00677A65"/>
    <w:rsid w:val="00677B30"/>
    <w:rsid w:val="00677BC2"/>
    <w:rsid w:val="00677D09"/>
    <w:rsid w:val="00677EA0"/>
    <w:rsid w:val="006801AB"/>
    <w:rsid w:val="006801C9"/>
    <w:rsid w:val="00680225"/>
    <w:rsid w:val="0068034E"/>
    <w:rsid w:val="0068054A"/>
    <w:rsid w:val="0068072E"/>
    <w:rsid w:val="00680764"/>
    <w:rsid w:val="0068079B"/>
    <w:rsid w:val="006808CF"/>
    <w:rsid w:val="00680BFD"/>
    <w:rsid w:val="00680C2C"/>
    <w:rsid w:val="00680D61"/>
    <w:rsid w:val="00681142"/>
    <w:rsid w:val="00681492"/>
    <w:rsid w:val="006814B8"/>
    <w:rsid w:val="006814FF"/>
    <w:rsid w:val="0068166F"/>
    <w:rsid w:val="0068172F"/>
    <w:rsid w:val="006818A3"/>
    <w:rsid w:val="006819D0"/>
    <w:rsid w:val="00681C28"/>
    <w:rsid w:val="00681D17"/>
    <w:rsid w:val="00681F23"/>
    <w:rsid w:val="00681F59"/>
    <w:rsid w:val="006821BF"/>
    <w:rsid w:val="006821EC"/>
    <w:rsid w:val="00682943"/>
    <w:rsid w:val="0068294B"/>
    <w:rsid w:val="00682C39"/>
    <w:rsid w:val="00682E8E"/>
    <w:rsid w:val="0068304E"/>
    <w:rsid w:val="00683194"/>
    <w:rsid w:val="006832A5"/>
    <w:rsid w:val="0068334B"/>
    <w:rsid w:val="0068340E"/>
    <w:rsid w:val="00683567"/>
    <w:rsid w:val="0068358F"/>
    <w:rsid w:val="006836FB"/>
    <w:rsid w:val="00683781"/>
    <w:rsid w:val="0068384B"/>
    <w:rsid w:val="0068387D"/>
    <w:rsid w:val="00683985"/>
    <w:rsid w:val="006839BD"/>
    <w:rsid w:val="006839FB"/>
    <w:rsid w:val="00683B1B"/>
    <w:rsid w:val="00683BCE"/>
    <w:rsid w:val="00683DF7"/>
    <w:rsid w:val="00684297"/>
    <w:rsid w:val="006843E0"/>
    <w:rsid w:val="006844EC"/>
    <w:rsid w:val="0068452B"/>
    <w:rsid w:val="006845BC"/>
    <w:rsid w:val="006845DB"/>
    <w:rsid w:val="00684877"/>
    <w:rsid w:val="00684B50"/>
    <w:rsid w:val="00684C64"/>
    <w:rsid w:val="00684C92"/>
    <w:rsid w:val="00684CE1"/>
    <w:rsid w:val="00684D88"/>
    <w:rsid w:val="00684DE4"/>
    <w:rsid w:val="00684DE5"/>
    <w:rsid w:val="00684EDF"/>
    <w:rsid w:val="00685102"/>
    <w:rsid w:val="006851CA"/>
    <w:rsid w:val="0068522D"/>
    <w:rsid w:val="0068527F"/>
    <w:rsid w:val="00685558"/>
    <w:rsid w:val="0068562E"/>
    <w:rsid w:val="0068595E"/>
    <w:rsid w:val="00685982"/>
    <w:rsid w:val="00685B38"/>
    <w:rsid w:val="00685B76"/>
    <w:rsid w:val="00685D2A"/>
    <w:rsid w:val="00685E32"/>
    <w:rsid w:val="00685E34"/>
    <w:rsid w:val="00685E86"/>
    <w:rsid w:val="00685FF3"/>
    <w:rsid w:val="00686163"/>
    <w:rsid w:val="006863AF"/>
    <w:rsid w:val="00686522"/>
    <w:rsid w:val="00686594"/>
    <w:rsid w:val="00686657"/>
    <w:rsid w:val="006866AB"/>
    <w:rsid w:val="006866C2"/>
    <w:rsid w:val="00686763"/>
    <w:rsid w:val="0068680D"/>
    <w:rsid w:val="006868F3"/>
    <w:rsid w:val="00686A79"/>
    <w:rsid w:val="00686EDF"/>
    <w:rsid w:val="00686EE4"/>
    <w:rsid w:val="00687230"/>
    <w:rsid w:val="00687232"/>
    <w:rsid w:val="00687256"/>
    <w:rsid w:val="0068733B"/>
    <w:rsid w:val="006873B8"/>
    <w:rsid w:val="006873D2"/>
    <w:rsid w:val="00687534"/>
    <w:rsid w:val="00687673"/>
    <w:rsid w:val="00687710"/>
    <w:rsid w:val="00687720"/>
    <w:rsid w:val="00687822"/>
    <w:rsid w:val="00687823"/>
    <w:rsid w:val="006879F3"/>
    <w:rsid w:val="00687A3E"/>
    <w:rsid w:val="00687B5C"/>
    <w:rsid w:val="00687C0C"/>
    <w:rsid w:val="00687DF9"/>
    <w:rsid w:val="00687E6A"/>
    <w:rsid w:val="00687EE3"/>
    <w:rsid w:val="00687EF5"/>
    <w:rsid w:val="00687F8A"/>
    <w:rsid w:val="00690118"/>
    <w:rsid w:val="006901E4"/>
    <w:rsid w:val="0069037E"/>
    <w:rsid w:val="00690436"/>
    <w:rsid w:val="00690725"/>
    <w:rsid w:val="006907D2"/>
    <w:rsid w:val="00690975"/>
    <w:rsid w:val="006909EE"/>
    <w:rsid w:val="00690CC0"/>
    <w:rsid w:val="00690CFE"/>
    <w:rsid w:val="00691089"/>
    <w:rsid w:val="0069111B"/>
    <w:rsid w:val="0069112F"/>
    <w:rsid w:val="00691244"/>
    <w:rsid w:val="006912F1"/>
    <w:rsid w:val="00691928"/>
    <w:rsid w:val="00691AB7"/>
    <w:rsid w:val="00691C98"/>
    <w:rsid w:val="00691D58"/>
    <w:rsid w:val="00691EF3"/>
    <w:rsid w:val="00691EF6"/>
    <w:rsid w:val="00691F7A"/>
    <w:rsid w:val="006920B4"/>
    <w:rsid w:val="006920CA"/>
    <w:rsid w:val="0069212D"/>
    <w:rsid w:val="00692202"/>
    <w:rsid w:val="0069230D"/>
    <w:rsid w:val="006923E5"/>
    <w:rsid w:val="00692549"/>
    <w:rsid w:val="0069256B"/>
    <w:rsid w:val="00692672"/>
    <w:rsid w:val="00692AD6"/>
    <w:rsid w:val="00692B92"/>
    <w:rsid w:val="00692D31"/>
    <w:rsid w:val="00692E93"/>
    <w:rsid w:val="00692F6F"/>
    <w:rsid w:val="0069308B"/>
    <w:rsid w:val="006930AA"/>
    <w:rsid w:val="006932E2"/>
    <w:rsid w:val="00693314"/>
    <w:rsid w:val="00693316"/>
    <w:rsid w:val="0069334B"/>
    <w:rsid w:val="00693652"/>
    <w:rsid w:val="006936A3"/>
    <w:rsid w:val="006936FA"/>
    <w:rsid w:val="0069379B"/>
    <w:rsid w:val="00693857"/>
    <w:rsid w:val="00693942"/>
    <w:rsid w:val="0069394A"/>
    <w:rsid w:val="006939A0"/>
    <w:rsid w:val="00693A02"/>
    <w:rsid w:val="00693AA4"/>
    <w:rsid w:val="00693B18"/>
    <w:rsid w:val="00693BA0"/>
    <w:rsid w:val="00693C40"/>
    <w:rsid w:val="00693C67"/>
    <w:rsid w:val="00693D7B"/>
    <w:rsid w:val="006941D9"/>
    <w:rsid w:val="006941DB"/>
    <w:rsid w:val="006944AD"/>
    <w:rsid w:val="00694621"/>
    <w:rsid w:val="0069463C"/>
    <w:rsid w:val="006946DD"/>
    <w:rsid w:val="00694786"/>
    <w:rsid w:val="00694830"/>
    <w:rsid w:val="00694A39"/>
    <w:rsid w:val="00694C0F"/>
    <w:rsid w:val="00694C99"/>
    <w:rsid w:val="00694D32"/>
    <w:rsid w:val="00694EF7"/>
    <w:rsid w:val="0069518F"/>
    <w:rsid w:val="0069531B"/>
    <w:rsid w:val="006955A0"/>
    <w:rsid w:val="0069581C"/>
    <w:rsid w:val="006958D6"/>
    <w:rsid w:val="006958EF"/>
    <w:rsid w:val="00695AC6"/>
    <w:rsid w:val="00695B29"/>
    <w:rsid w:val="00695C64"/>
    <w:rsid w:val="00695C73"/>
    <w:rsid w:val="00695FAA"/>
    <w:rsid w:val="00696258"/>
    <w:rsid w:val="006962BE"/>
    <w:rsid w:val="006963E1"/>
    <w:rsid w:val="00696448"/>
    <w:rsid w:val="006964A2"/>
    <w:rsid w:val="006964E0"/>
    <w:rsid w:val="00696502"/>
    <w:rsid w:val="00696663"/>
    <w:rsid w:val="006966C1"/>
    <w:rsid w:val="00696759"/>
    <w:rsid w:val="00696B1F"/>
    <w:rsid w:val="00696DC1"/>
    <w:rsid w:val="00696E65"/>
    <w:rsid w:val="006970FE"/>
    <w:rsid w:val="0069715B"/>
    <w:rsid w:val="00697281"/>
    <w:rsid w:val="006973B2"/>
    <w:rsid w:val="006974CA"/>
    <w:rsid w:val="00697520"/>
    <w:rsid w:val="0069762C"/>
    <w:rsid w:val="0069763C"/>
    <w:rsid w:val="006976D4"/>
    <w:rsid w:val="006978CE"/>
    <w:rsid w:val="00697920"/>
    <w:rsid w:val="0069793E"/>
    <w:rsid w:val="00697942"/>
    <w:rsid w:val="006979F5"/>
    <w:rsid w:val="00697B32"/>
    <w:rsid w:val="00697BCB"/>
    <w:rsid w:val="00697D6E"/>
    <w:rsid w:val="00697E02"/>
    <w:rsid w:val="00697FCD"/>
    <w:rsid w:val="006A01E5"/>
    <w:rsid w:val="006A02C7"/>
    <w:rsid w:val="006A02E1"/>
    <w:rsid w:val="006A0365"/>
    <w:rsid w:val="006A04E2"/>
    <w:rsid w:val="006A06BB"/>
    <w:rsid w:val="006A07EE"/>
    <w:rsid w:val="006A088F"/>
    <w:rsid w:val="006A08CF"/>
    <w:rsid w:val="006A091A"/>
    <w:rsid w:val="006A09CC"/>
    <w:rsid w:val="006A0A11"/>
    <w:rsid w:val="006A0A18"/>
    <w:rsid w:val="006A0AA1"/>
    <w:rsid w:val="006A0AB8"/>
    <w:rsid w:val="006A105D"/>
    <w:rsid w:val="006A10E4"/>
    <w:rsid w:val="006A1117"/>
    <w:rsid w:val="006A121C"/>
    <w:rsid w:val="006A13CC"/>
    <w:rsid w:val="006A142A"/>
    <w:rsid w:val="006A163B"/>
    <w:rsid w:val="006A164D"/>
    <w:rsid w:val="006A16BA"/>
    <w:rsid w:val="006A1709"/>
    <w:rsid w:val="006A17F2"/>
    <w:rsid w:val="006A18F3"/>
    <w:rsid w:val="006A193D"/>
    <w:rsid w:val="006A1957"/>
    <w:rsid w:val="006A19FB"/>
    <w:rsid w:val="006A1B68"/>
    <w:rsid w:val="006A1B8A"/>
    <w:rsid w:val="006A1BC1"/>
    <w:rsid w:val="006A1D9E"/>
    <w:rsid w:val="006A1FC8"/>
    <w:rsid w:val="006A20D2"/>
    <w:rsid w:val="006A2275"/>
    <w:rsid w:val="006A2654"/>
    <w:rsid w:val="006A28F7"/>
    <w:rsid w:val="006A2984"/>
    <w:rsid w:val="006A29C6"/>
    <w:rsid w:val="006A2B98"/>
    <w:rsid w:val="006A2CA4"/>
    <w:rsid w:val="006A30DD"/>
    <w:rsid w:val="006A31C4"/>
    <w:rsid w:val="006A3278"/>
    <w:rsid w:val="006A32A8"/>
    <w:rsid w:val="006A34D7"/>
    <w:rsid w:val="006A350A"/>
    <w:rsid w:val="006A359B"/>
    <w:rsid w:val="006A38CC"/>
    <w:rsid w:val="006A393B"/>
    <w:rsid w:val="006A3A89"/>
    <w:rsid w:val="006A3A9D"/>
    <w:rsid w:val="006A3D56"/>
    <w:rsid w:val="006A3D98"/>
    <w:rsid w:val="006A3E36"/>
    <w:rsid w:val="006A40D3"/>
    <w:rsid w:val="006A42B6"/>
    <w:rsid w:val="006A42C0"/>
    <w:rsid w:val="006A42EC"/>
    <w:rsid w:val="006A4436"/>
    <w:rsid w:val="006A4746"/>
    <w:rsid w:val="006A4979"/>
    <w:rsid w:val="006A4C0A"/>
    <w:rsid w:val="006A4C0E"/>
    <w:rsid w:val="006A4C62"/>
    <w:rsid w:val="006A4D2D"/>
    <w:rsid w:val="006A4D4F"/>
    <w:rsid w:val="006A4D5F"/>
    <w:rsid w:val="006A4DD1"/>
    <w:rsid w:val="006A4E8B"/>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C40"/>
    <w:rsid w:val="006A5E31"/>
    <w:rsid w:val="006A60AB"/>
    <w:rsid w:val="006A6188"/>
    <w:rsid w:val="006A6683"/>
    <w:rsid w:val="006A6704"/>
    <w:rsid w:val="006A67DB"/>
    <w:rsid w:val="006A68D1"/>
    <w:rsid w:val="006A68E8"/>
    <w:rsid w:val="006A6900"/>
    <w:rsid w:val="006A6B1D"/>
    <w:rsid w:val="006A6DD9"/>
    <w:rsid w:val="006A6E1E"/>
    <w:rsid w:val="006A708A"/>
    <w:rsid w:val="006A70D6"/>
    <w:rsid w:val="006A71F0"/>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4D1"/>
    <w:rsid w:val="006B06B5"/>
    <w:rsid w:val="006B07FA"/>
    <w:rsid w:val="006B0868"/>
    <w:rsid w:val="006B090E"/>
    <w:rsid w:val="006B09EA"/>
    <w:rsid w:val="006B0ACC"/>
    <w:rsid w:val="006B0B64"/>
    <w:rsid w:val="006B0CE1"/>
    <w:rsid w:val="006B0CEB"/>
    <w:rsid w:val="006B0DE5"/>
    <w:rsid w:val="006B0EDB"/>
    <w:rsid w:val="006B0F36"/>
    <w:rsid w:val="006B1018"/>
    <w:rsid w:val="006B1279"/>
    <w:rsid w:val="006B13D7"/>
    <w:rsid w:val="006B1486"/>
    <w:rsid w:val="006B180C"/>
    <w:rsid w:val="006B184A"/>
    <w:rsid w:val="006B1900"/>
    <w:rsid w:val="006B19BD"/>
    <w:rsid w:val="006B1D1A"/>
    <w:rsid w:val="006B1DCB"/>
    <w:rsid w:val="006B1E98"/>
    <w:rsid w:val="006B1EC0"/>
    <w:rsid w:val="006B1ED6"/>
    <w:rsid w:val="006B1FE3"/>
    <w:rsid w:val="006B201F"/>
    <w:rsid w:val="006B207B"/>
    <w:rsid w:val="006B21A3"/>
    <w:rsid w:val="006B2390"/>
    <w:rsid w:val="006B2484"/>
    <w:rsid w:val="006B249C"/>
    <w:rsid w:val="006B27C1"/>
    <w:rsid w:val="006B2889"/>
    <w:rsid w:val="006B299C"/>
    <w:rsid w:val="006B2CE1"/>
    <w:rsid w:val="006B2E3F"/>
    <w:rsid w:val="006B2E97"/>
    <w:rsid w:val="006B31C2"/>
    <w:rsid w:val="006B335C"/>
    <w:rsid w:val="006B335D"/>
    <w:rsid w:val="006B33A3"/>
    <w:rsid w:val="006B3422"/>
    <w:rsid w:val="006B348D"/>
    <w:rsid w:val="006B3567"/>
    <w:rsid w:val="006B3667"/>
    <w:rsid w:val="006B3A4A"/>
    <w:rsid w:val="006B3CEE"/>
    <w:rsid w:val="006B3E94"/>
    <w:rsid w:val="006B3F10"/>
    <w:rsid w:val="006B3F7D"/>
    <w:rsid w:val="006B405A"/>
    <w:rsid w:val="006B4297"/>
    <w:rsid w:val="006B436B"/>
    <w:rsid w:val="006B44B3"/>
    <w:rsid w:val="006B4564"/>
    <w:rsid w:val="006B45B8"/>
    <w:rsid w:val="006B4614"/>
    <w:rsid w:val="006B4780"/>
    <w:rsid w:val="006B4AC9"/>
    <w:rsid w:val="006B4B79"/>
    <w:rsid w:val="006B4BD1"/>
    <w:rsid w:val="006B4C30"/>
    <w:rsid w:val="006B4C3C"/>
    <w:rsid w:val="006B4FB5"/>
    <w:rsid w:val="006B4FC1"/>
    <w:rsid w:val="006B5172"/>
    <w:rsid w:val="006B52CF"/>
    <w:rsid w:val="006B543D"/>
    <w:rsid w:val="006B56B7"/>
    <w:rsid w:val="006B56FE"/>
    <w:rsid w:val="006B5C67"/>
    <w:rsid w:val="006B60E4"/>
    <w:rsid w:val="006B61B4"/>
    <w:rsid w:val="006B61CD"/>
    <w:rsid w:val="006B6255"/>
    <w:rsid w:val="006B626F"/>
    <w:rsid w:val="006B62A3"/>
    <w:rsid w:val="006B6532"/>
    <w:rsid w:val="006B67AC"/>
    <w:rsid w:val="006B67C9"/>
    <w:rsid w:val="006B67FB"/>
    <w:rsid w:val="006B686A"/>
    <w:rsid w:val="006B694C"/>
    <w:rsid w:val="006B69A1"/>
    <w:rsid w:val="006B6D15"/>
    <w:rsid w:val="006B6FD1"/>
    <w:rsid w:val="006B7076"/>
    <w:rsid w:val="006B7153"/>
    <w:rsid w:val="006B7307"/>
    <w:rsid w:val="006B73AA"/>
    <w:rsid w:val="006B746E"/>
    <w:rsid w:val="006B7676"/>
    <w:rsid w:val="006B770F"/>
    <w:rsid w:val="006B7745"/>
    <w:rsid w:val="006B77BF"/>
    <w:rsid w:val="006B7942"/>
    <w:rsid w:val="006B799F"/>
    <w:rsid w:val="006B7A41"/>
    <w:rsid w:val="006B7A4A"/>
    <w:rsid w:val="006B7ACD"/>
    <w:rsid w:val="006B7E41"/>
    <w:rsid w:val="006C0075"/>
    <w:rsid w:val="006C0094"/>
    <w:rsid w:val="006C017C"/>
    <w:rsid w:val="006C04DD"/>
    <w:rsid w:val="006C063E"/>
    <w:rsid w:val="006C06A6"/>
    <w:rsid w:val="006C06FB"/>
    <w:rsid w:val="006C08BB"/>
    <w:rsid w:val="006C08C7"/>
    <w:rsid w:val="006C0964"/>
    <w:rsid w:val="006C0D23"/>
    <w:rsid w:val="006C0D32"/>
    <w:rsid w:val="006C0D41"/>
    <w:rsid w:val="006C0F39"/>
    <w:rsid w:val="006C100D"/>
    <w:rsid w:val="006C1020"/>
    <w:rsid w:val="006C10A8"/>
    <w:rsid w:val="006C1332"/>
    <w:rsid w:val="006C13E9"/>
    <w:rsid w:val="006C1459"/>
    <w:rsid w:val="006C153A"/>
    <w:rsid w:val="006C1549"/>
    <w:rsid w:val="006C1757"/>
    <w:rsid w:val="006C19FE"/>
    <w:rsid w:val="006C1ACA"/>
    <w:rsid w:val="006C1BBB"/>
    <w:rsid w:val="006C1BE8"/>
    <w:rsid w:val="006C1C68"/>
    <w:rsid w:val="006C1CF1"/>
    <w:rsid w:val="006C1E0C"/>
    <w:rsid w:val="006C1E77"/>
    <w:rsid w:val="006C1E9E"/>
    <w:rsid w:val="006C1EB7"/>
    <w:rsid w:val="006C1EDF"/>
    <w:rsid w:val="006C1FD2"/>
    <w:rsid w:val="006C2008"/>
    <w:rsid w:val="006C20F1"/>
    <w:rsid w:val="006C2151"/>
    <w:rsid w:val="006C2193"/>
    <w:rsid w:val="006C2261"/>
    <w:rsid w:val="006C22B2"/>
    <w:rsid w:val="006C22BC"/>
    <w:rsid w:val="006C243A"/>
    <w:rsid w:val="006C24E7"/>
    <w:rsid w:val="006C2539"/>
    <w:rsid w:val="006C254C"/>
    <w:rsid w:val="006C2597"/>
    <w:rsid w:val="006C2636"/>
    <w:rsid w:val="006C26DC"/>
    <w:rsid w:val="006C2BA3"/>
    <w:rsid w:val="006C2C15"/>
    <w:rsid w:val="006C2D0B"/>
    <w:rsid w:val="006C2E78"/>
    <w:rsid w:val="006C2ED6"/>
    <w:rsid w:val="006C2F67"/>
    <w:rsid w:val="006C2FF8"/>
    <w:rsid w:val="006C3093"/>
    <w:rsid w:val="006C3196"/>
    <w:rsid w:val="006C31E0"/>
    <w:rsid w:val="006C3248"/>
    <w:rsid w:val="006C3355"/>
    <w:rsid w:val="006C3517"/>
    <w:rsid w:val="006C3681"/>
    <w:rsid w:val="006C36B6"/>
    <w:rsid w:val="006C3947"/>
    <w:rsid w:val="006C396A"/>
    <w:rsid w:val="006C3983"/>
    <w:rsid w:val="006C3BC8"/>
    <w:rsid w:val="006C3C95"/>
    <w:rsid w:val="006C3D63"/>
    <w:rsid w:val="006C3E2A"/>
    <w:rsid w:val="006C3E39"/>
    <w:rsid w:val="006C3F0C"/>
    <w:rsid w:val="006C3F71"/>
    <w:rsid w:val="006C3FC3"/>
    <w:rsid w:val="006C41C5"/>
    <w:rsid w:val="006C4332"/>
    <w:rsid w:val="006C434D"/>
    <w:rsid w:val="006C4350"/>
    <w:rsid w:val="006C43B4"/>
    <w:rsid w:val="006C4465"/>
    <w:rsid w:val="006C4532"/>
    <w:rsid w:val="006C46DC"/>
    <w:rsid w:val="006C46F9"/>
    <w:rsid w:val="006C47AB"/>
    <w:rsid w:val="006C48A9"/>
    <w:rsid w:val="006C491E"/>
    <w:rsid w:val="006C49FD"/>
    <w:rsid w:val="006C4A45"/>
    <w:rsid w:val="006C4B69"/>
    <w:rsid w:val="006C4BEF"/>
    <w:rsid w:val="006C4DB0"/>
    <w:rsid w:val="006C4E17"/>
    <w:rsid w:val="006C4E4F"/>
    <w:rsid w:val="006C4E5A"/>
    <w:rsid w:val="006C4E92"/>
    <w:rsid w:val="006C4F2A"/>
    <w:rsid w:val="006C508F"/>
    <w:rsid w:val="006C51C0"/>
    <w:rsid w:val="006C521F"/>
    <w:rsid w:val="006C531A"/>
    <w:rsid w:val="006C55C4"/>
    <w:rsid w:val="006C581F"/>
    <w:rsid w:val="006C5948"/>
    <w:rsid w:val="006C5962"/>
    <w:rsid w:val="006C5A5E"/>
    <w:rsid w:val="006C5CB0"/>
    <w:rsid w:val="006C5CE7"/>
    <w:rsid w:val="006C5D17"/>
    <w:rsid w:val="006C5F58"/>
    <w:rsid w:val="006C6421"/>
    <w:rsid w:val="006C646E"/>
    <w:rsid w:val="006C647C"/>
    <w:rsid w:val="006C6632"/>
    <w:rsid w:val="006C66A7"/>
    <w:rsid w:val="006C66BF"/>
    <w:rsid w:val="006C68A6"/>
    <w:rsid w:val="006C6AB5"/>
    <w:rsid w:val="006C6AC0"/>
    <w:rsid w:val="006C6E8D"/>
    <w:rsid w:val="006C7035"/>
    <w:rsid w:val="006C7053"/>
    <w:rsid w:val="006C723B"/>
    <w:rsid w:val="006C7444"/>
    <w:rsid w:val="006C76B6"/>
    <w:rsid w:val="006C7B90"/>
    <w:rsid w:val="006C7CAA"/>
    <w:rsid w:val="006C7CE3"/>
    <w:rsid w:val="006C7E5A"/>
    <w:rsid w:val="006D0051"/>
    <w:rsid w:val="006D0053"/>
    <w:rsid w:val="006D0240"/>
    <w:rsid w:val="006D04FD"/>
    <w:rsid w:val="006D074B"/>
    <w:rsid w:val="006D09EA"/>
    <w:rsid w:val="006D0A40"/>
    <w:rsid w:val="006D0C0A"/>
    <w:rsid w:val="006D1163"/>
    <w:rsid w:val="006D1197"/>
    <w:rsid w:val="006D11E7"/>
    <w:rsid w:val="006D11FB"/>
    <w:rsid w:val="006D1362"/>
    <w:rsid w:val="006D14AA"/>
    <w:rsid w:val="006D14CB"/>
    <w:rsid w:val="006D14FB"/>
    <w:rsid w:val="006D1647"/>
    <w:rsid w:val="006D1BB5"/>
    <w:rsid w:val="006D1BFF"/>
    <w:rsid w:val="006D1D58"/>
    <w:rsid w:val="006D1DA0"/>
    <w:rsid w:val="006D1E66"/>
    <w:rsid w:val="006D1F70"/>
    <w:rsid w:val="006D1F97"/>
    <w:rsid w:val="006D2360"/>
    <w:rsid w:val="006D2438"/>
    <w:rsid w:val="006D258C"/>
    <w:rsid w:val="006D25FE"/>
    <w:rsid w:val="006D27F7"/>
    <w:rsid w:val="006D2879"/>
    <w:rsid w:val="006D2A43"/>
    <w:rsid w:val="006D2B04"/>
    <w:rsid w:val="006D2B29"/>
    <w:rsid w:val="006D2D51"/>
    <w:rsid w:val="006D2E95"/>
    <w:rsid w:val="006D2F9A"/>
    <w:rsid w:val="006D318F"/>
    <w:rsid w:val="006D3308"/>
    <w:rsid w:val="006D33CA"/>
    <w:rsid w:val="006D344B"/>
    <w:rsid w:val="006D3689"/>
    <w:rsid w:val="006D3747"/>
    <w:rsid w:val="006D39DB"/>
    <w:rsid w:val="006D3A13"/>
    <w:rsid w:val="006D3A95"/>
    <w:rsid w:val="006D3DA6"/>
    <w:rsid w:val="006D3E19"/>
    <w:rsid w:val="006D3F69"/>
    <w:rsid w:val="006D42CE"/>
    <w:rsid w:val="006D434F"/>
    <w:rsid w:val="006D43FD"/>
    <w:rsid w:val="006D4554"/>
    <w:rsid w:val="006D4983"/>
    <w:rsid w:val="006D4BE5"/>
    <w:rsid w:val="006D4CAF"/>
    <w:rsid w:val="006D4DE3"/>
    <w:rsid w:val="006D4F4C"/>
    <w:rsid w:val="006D4FAA"/>
    <w:rsid w:val="006D5076"/>
    <w:rsid w:val="006D53B5"/>
    <w:rsid w:val="006D5412"/>
    <w:rsid w:val="006D54E4"/>
    <w:rsid w:val="006D5581"/>
    <w:rsid w:val="006D560A"/>
    <w:rsid w:val="006D568F"/>
    <w:rsid w:val="006D5716"/>
    <w:rsid w:val="006D58F2"/>
    <w:rsid w:val="006D5A7C"/>
    <w:rsid w:val="006D5AC8"/>
    <w:rsid w:val="006D5BA8"/>
    <w:rsid w:val="006D5BEC"/>
    <w:rsid w:val="006D5CF7"/>
    <w:rsid w:val="006D5D28"/>
    <w:rsid w:val="006D5D67"/>
    <w:rsid w:val="006D6075"/>
    <w:rsid w:val="006D6093"/>
    <w:rsid w:val="006D63A4"/>
    <w:rsid w:val="006D65B8"/>
    <w:rsid w:val="006D664E"/>
    <w:rsid w:val="006D66DC"/>
    <w:rsid w:val="006D67A8"/>
    <w:rsid w:val="006D68B9"/>
    <w:rsid w:val="006D69DB"/>
    <w:rsid w:val="006D6B12"/>
    <w:rsid w:val="006D6C63"/>
    <w:rsid w:val="006D6C79"/>
    <w:rsid w:val="006D6C9D"/>
    <w:rsid w:val="006D6D0F"/>
    <w:rsid w:val="006D6D20"/>
    <w:rsid w:val="006D6D9A"/>
    <w:rsid w:val="006D6DDD"/>
    <w:rsid w:val="006D6E1A"/>
    <w:rsid w:val="006D6FA3"/>
    <w:rsid w:val="006D6FEB"/>
    <w:rsid w:val="006D7199"/>
    <w:rsid w:val="006D72A2"/>
    <w:rsid w:val="006D72D3"/>
    <w:rsid w:val="006D72E9"/>
    <w:rsid w:val="006D731E"/>
    <w:rsid w:val="006D73E3"/>
    <w:rsid w:val="006D7458"/>
    <w:rsid w:val="006D785A"/>
    <w:rsid w:val="006D7988"/>
    <w:rsid w:val="006D79CF"/>
    <w:rsid w:val="006D7AF0"/>
    <w:rsid w:val="006E0058"/>
    <w:rsid w:val="006E0077"/>
    <w:rsid w:val="006E01C7"/>
    <w:rsid w:val="006E045E"/>
    <w:rsid w:val="006E04AB"/>
    <w:rsid w:val="006E04C9"/>
    <w:rsid w:val="006E04DF"/>
    <w:rsid w:val="006E086E"/>
    <w:rsid w:val="006E0A81"/>
    <w:rsid w:val="006E0CCA"/>
    <w:rsid w:val="006E0D36"/>
    <w:rsid w:val="006E0D6A"/>
    <w:rsid w:val="006E0E85"/>
    <w:rsid w:val="006E100A"/>
    <w:rsid w:val="006E1588"/>
    <w:rsid w:val="006E15D1"/>
    <w:rsid w:val="006E196A"/>
    <w:rsid w:val="006E19AE"/>
    <w:rsid w:val="006E1C49"/>
    <w:rsid w:val="006E1C9C"/>
    <w:rsid w:val="006E1D64"/>
    <w:rsid w:val="006E1D87"/>
    <w:rsid w:val="006E1EE6"/>
    <w:rsid w:val="006E2074"/>
    <w:rsid w:val="006E2105"/>
    <w:rsid w:val="006E21AF"/>
    <w:rsid w:val="006E21FA"/>
    <w:rsid w:val="006E2230"/>
    <w:rsid w:val="006E224E"/>
    <w:rsid w:val="006E25CC"/>
    <w:rsid w:val="006E2858"/>
    <w:rsid w:val="006E29D0"/>
    <w:rsid w:val="006E2D46"/>
    <w:rsid w:val="006E2F0F"/>
    <w:rsid w:val="006E2F11"/>
    <w:rsid w:val="006E2FA4"/>
    <w:rsid w:val="006E2FEC"/>
    <w:rsid w:val="006E3210"/>
    <w:rsid w:val="006E3361"/>
    <w:rsid w:val="006E343D"/>
    <w:rsid w:val="006E35A2"/>
    <w:rsid w:val="006E35F5"/>
    <w:rsid w:val="006E3A36"/>
    <w:rsid w:val="006E3A94"/>
    <w:rsid w:val="006E3BFE"/>
    <w:rsid w:val="006E3D20"/>
    <w:rsid w:val="006E3D9F"/>
    <w:rsid w:val="006E4016"/>
    <w:rsid w:val="006E40EB"/>
    <w:rsid w:val="006E410C"/>
    <w:rsid w:val="006E411A"/>
    <w:rsid w:val="006E42C3"/>
    <w:rsid w:val="006E42F5"/>
    <w:rsid w:val="006E48DC"/>
    <w:rsid w:val="006E499A"/>
    <w:rsid w:val="006E4ABC"/>
    <w:rsid w:val="006E4C1D"/>
    <w:rsid w:val="006E4CAF"/>
    <w:rsid w:val="006E4CC3"/>
    <w:rsid w:val="006E4CC8"/>
    <w:rsid w:val="006E4D91"/>
    <w:rsid w:val="006E4EA1"/>
    <w:rsid w:val="006E4F4E"/>
    <w:rsid w:val="006E5171"/>
    <w:rsid w:val="006E525D"/>
    <w:rsid w:val="006E526E"/>
    <w:rsid w:val="006E52A1"/>
    <w:rsid w:val="006E53B0"/>
    <w:rsid w:val="006E53DF"/>
    <w:rsid w:val="006E5575"/>
    <w:rsid w:val="006E577F"/>
    <w:rsid w:val="006E58ED"/>
    <w:rsid w:val="006E595D"/>
    <w:rsid w:val="006E5AFE"/>
    <w:rsid w:val="006E5BDC"/>
    <w:rsid w:val="006E5BEE"/>
    <w:rsid w:val="006E5D47"/>
    <w:rsid w:val="006E5FE5"/>
    <w:rsid w:val="006E6019"/>
    <w:rsid w:val="006E60A1"/>
    <w:rsid w:val="006E61A2"/>
    <w:rsid w:val="006E6237"/>
    <w:rsid w:val="006E62D6"/>
    <w:rsid w:val="006E6308"/>
    <w:rsid w:val="006E634F"/>
    <w:rsid w:val="006E662B"/>
    <w:rsid w:val="006E6693"/>
    <w:rsid w:val="006E676A"/>
    <w:rsid w:val="006E68FC"/>
    <w:rsid w:val="006E69AA"/>
    <w:rsid w:val="006E6C80"/>
    <w:rsid w:val="006E6CA6"/>
    <w:rsid w:val="006E6DB9"/>
    <w:rsid w:val="006E6DED"/>
    <w:rsid w:val="006E6E1A"/>
    <w:rsid w:val="006E6E22"/>
    <w:rsid w:val="006E6FC5"/>
    <w:rsid w:val="006E7058"/>
    <w:rsid w:val="006E714C"/>
    <w:rsid w:val="006E71E3"/>
    <w:rsid w:val="006E725D"/>
    <w:rsid w:val="006E72E7"/>
    <w:rsid w:val="006E7383"/>
    <w:rsid w:val="006E74D8"/>
    <w:rsid w:val="006E74F7"/>
    <w:rsid w:val="006E7549"/>
    <w:rsid w:val="006E767C"/>
    <w:rsid w:val="006E7789"/>
    <w:rsid w:val="006E77C1"/>
    <w:rsid w:val="006E783F"/>
    <w:rsid w:val="006E793A"/>
    <w:rsid w:val="006E7951"/>
    <w:rsid w:val="006E79D7"/>
    <w:rsid w:val="006E7A13"/>
    <w:rsid w:val="006E7A7F"/>
    <w:rsid w:val="006E7AE1"/>
    <w:rsid w:val="006E7AE4"/>
    <w:rsid w:val="006E7B7E"/>
    <w:rsid w:val="006E7C7E"/>
    <w:rsid w:val="006E7D8F"/>
    <w:rsid w:val="006E7E5D"/>
    <w:rsid w:val="006E7EB2"/>
    <w:rsid w:val="006F00EB"/>
    <w:rsid w:val="006F02CC"/>
    <w:rsid w:val="006F0400"/>
    <w:rsid w:val="006F04E2"/>
    <w:rsid w:val="006F0517"/>
    <w:rsid w:val="006F051B"/>
    <w:rsid w:val="006F06BE"/>
    <w:rsid w:val="006F073A"/>
    <w:rsid w:val="006F075F"/>
    <w:rsid w:val="006F089B"/>
    <w:rsid w:val="006F0ADC"/>
    <w:rsid w:val="006F0BB6"/>
    <w:rsid w:val="006F0CCF"/>
    <w:rsid w:val="006F0D8A"/>
    <w:rsid w:val="006F0DF1"/>
    <w:rsid w:val="006F10AF"/>
    <w:rsid w:val="006F1303"/>
    <w:rsid w:val="006F1380"/>
    <w:rsid w:val="006F13D3"/>
    <w:rsid w:val="006F1482"/>
    <w:rsid w:val="006F14C8"/>
    <w:rsid w:val="006F1623"/>
    <w:rsid w:val="006F1677"/>
    <w:rsid w:val="006F181D"/>
    <w:rsid w:val="006F182F"/>
    <w:rsid w:val="006F18A4"/>
    <w:rsid w:val="006F1B03"/>
    <w:rsid w:val="006F1C71"/>
    <w:rsid w:val="006F1CB8"/>
    <w:rsid w:val="006F1EDD"/>
    <w:rsid w:val="006F1F13"/>
    <w:rsid w:val="006F21FC"/>
    <w:rsid w:val="006F2271"/>
    <w:rsid w:val="006F23B3"/>
    <w:rsid w:val="006F243F"/>
    <w:rsid w:val="006F249F"/>
    <w:rsid w:val="006F253B"/>
    <w:rsid w:val="006F28D3"/>
    <w:rsid w:val="006F29A7"/>
    <w:rsid w:val="006F2A06"/>
    <w:rsid w:val="006F2B49"/>
    <w:rsid w:val="006F2C2C"/>
    <w:rsid w:val="006F2C67"/>
    <w:rsid w:val="006F301F"/>
    <w:rsid w:val="006F31CF"/>
    <w:rsid w:val="006F3258"/>
    <w:rsid w:val="006F32AD"/>
    <w:rsid w:val="006F32CA"/>
    <w:rsid w:val="006F32E2"/>
    <w:rsid w:val="006F37B1"/>
    <w:rsid w:val="006F3846"/>
    <w:rsid w:val="006F3A88"/>
    <w:rsid w:val="006F3B9E"/>
    <w:rsid w:val="006F3C3F"/>
    <w:rsid w:val="006F3D13"/>
    <w:rsid w:val="006F3DEC"/>
    <w:rsid w:val="006F3FA7"/>
    <w:rsid w:val="006F40F0"/>
    <w:rsid w:val="006F410D"/>
    <w:rsid w:val="006F41CE"/>
    <w:rsid w:val="006F422E"/>
    <w:rsid w:val="006F4374"/>
    <w:rsid w:val="006F4676"/>
    <w:rsid w:val="006F47C1"/>
    <w:rsid w:val="006F47C5"/>
    <w:rsid w:val="006F4815"/>
    <w:rsid w:val="006F4ACD"/>
    <w:rsid w:val="006F4C2F"/>
    <w:rsid w:val="006F4CEC"/>
    <w:rsid w:val="006F4DE6"/>
    <w:rsid w:val="006F4E0B"/>
    <w:rsid w:val="006F4F66"/>
    <w:rsid w:val="006F51BD"/>
    <w:rsid w:val="006F5241"/>
    <w:rsid w:val="006F5245"/>
    <w:rsid w:val="006F533E"/>
    <w:rsid w:val="006F5408"/>
    <w:rsid w:val="006F5610"/>
    <w:rsid w:val="006F58C6"/>
    <w:rsid w:val="006F5A03"/>
    <w:rsid w:val="006F5B63"/>
    <w:rsid w:val="006F5BCE"/>
    <w:rsid w:val="006F5EE7"/>
    <w:rsid w:val="006F5F13"/>
    <w:rsid w:val="006F6009"/>
    <w:rsid w:val="006F60A0"/>
    <w:rsid w:val="006F60A2"/>
    <w:rsid w:val="006F6359"/>
    <w:rsid w:val="006F6423"/>
    <w:rsid w:val="006F645A"/>
    <w:rsid w:val="006F64BB"/>
    <w:rsid w:val="006F654E"/>
    <w:rsid w:val="006F675D"/>
    <w:rsid w:val="006F685B"/>
    <w:rsid w:val="006F6902"/>
    <w:rsid w:val="006F6B9A"/>
    <w:rsid w:val="006F6DBF"/>
    <w:rsid w:val="006F6E21"/>
    <w:rsid w:val="006F6E60"/>
    <w:rsid w:val="006F71D4"/>
    <w:rsid w:val="006F7420"/>
    <w:rsid w:val="006F745E"/>
    <w:rsid w:val="006F75F7"/>
    <w:rsid w:val="006F765E"/>
    <w:rsid w:val="006F7910"/>
    <w:rsid w:val="006F7912"/>
    <w:rsid w:val="006F7987"/>
    <w:rsid w:val="006F7AE6"/>
    <w:rsid w:val="006F7B0C"/>
    <w:rsid w:val="006F7B4A"/>
    <w:rsid w:val="006F7BCE"/>
    <w:rsid w:val="006F7C3C"/>
    <w:rsid w:val="006F7C94"/>
    <w:rsid w:val="006F7D13"/>
    <w:rsid w:val="006F7EC1"/>
    <w:rsid w:val="006F7F3D"/>
    <w:rsid w:val="006F7FAF"/>
    <w:rsid w:val="00700225"/>
    <w:rsid w:val="007002C2"/>
    <w:rsid w:val="00700336"/>
    <w:rsid w:val="007004FF"/>
    <w:rsid w:val="0070069E"/>
    <w:rsid w:val="007006ED"/>
    <w:rsid w:val="0070085E"/>
    <w:rsid w:val="007008CB"/>
    <w:rsid w:val="00700AD4"/>
    <w:rsid w:val="00700B5B"/>
    <w:rsid w:val="00700B8F"/>
    <w:rsid w:val="00700C34"/>
    <w:rsid w:val="00700C93"/>
    <w:rsid w:val="00700DC8"/>
    <w:rsid w:val="0070102F"/>
    <w:rsid w:val="0070113F"/>
    <w:rsid w:val="0070114C"/>
    <w:rsid w:val="007011F0"/>
    <w:rsid w:val="00701558"/>
    <w:rsid w:val="007016EB"/>
    <w:rsid w:val="00701829"/>
    <w:rsid w:val="00701A24"/>
    <w:rsid w:val="00701AF7"/>
    <w:rsid w:val="00701B23"/>
    <w:rsid w:val="00701BB9"/>
    <w:rsid w:val="00701C12"/>
    <w:rsid w:val="00701C48"/>
    <w:rsid w:val="00701D98"/>
    <w:rsid w:val="00701F4C"/>
    <w:rsid w:val="00701F7A"/>
    <w:rsid w:val="00701FCB"/>
    <w:rsid w:val="0070202D"/>
    <w:rsid w:val="00702098"/>
    <w:rsid w:val="007020C3"/>
    <w:rsid w:val="00702190"/>
    <w:rsid w:val="0070248E"/>
    <w:rsid w:val="007024A3"/>
    <w:rsid w:val="007024DA"/>
    <w:rsid w:val="007025C2"/>
    <w:rsid w:val="007025E1"/>
    <w:rsid w:val="007027C3"/>
    <w:rsid w:val="0070284F"/>
    <w:rsid w:val="00702A82"/>
    <w:rsid w:val="00702B62"/>
    <w:rsid w:val="00702C16"/>
    <w:rsid w:val="00702C6F"/>
    <w:rsid w:val="0070313B"/>
    <w:rsid w:val="00703255"/>
    <w:rsid w:val="0070326F"/>
    <w:rsid w:val="0070333D"/>
    <w:rsid w:val="007034B9"/>
    <w:rsid w:val="007034E4"/>
    <w:rsid w:val="007034F9"/>
    <w:rsid w:val="007035D9"/>
    <w:rsid w:val="007037EE"/>
    <w:rsid w:val="00703815"/>
    <w:rsid w:val="00703818"/>
    <w:rsid w:val="0070386B"/>
    <w:rsid w:val="00703A65"/>
    <w:rsid w:val="00703ABB"/>
    <w:rsid w:val="00703BCF"/>
    <w:rsid w:val="00703C9B"/>
    <w:rsid w:val="00703E0E"/>
    <w:rsid w:val="00703F5F"/>
    <w:rsid w:val="0070426D"/>
    <w:rsid w:val="00704352"/>
    <w:rsid w:val="0070447B"/>
    <w:rsid w:val="00704503"/>
    <w:rsid w:val="00704542"/>
    <w:rsid w:val="007045E1"/>
    <w:rsid w:val="007049B9"/>
    <w:rsid w:val="00704B85"/>
    <w:rsid w:val="00704BDA"/>
    <w:rsid w:val="00704BF9"/>
    <w:rsid w:val="00704CB8"/>
    <w:rsid w:val="00704D96"/>
    <w:rsid w:val="00704DC0"/>
    <w:rsid w:val="00704EA9"/>
    <w:rsid w:val="007050CE"/>
    <w:rsid w:val="0070538F"/>
    <w:rsid w:val="0070548C"/>
    <w:rsid w:val="00705601"/>
    <w:rsid w:val="007056B5"/>
    <w:rsid w:val="007056F8"/>
    <w:rsid w:val="007059BB"/>
    <w:rsid w:val="00705A45"/>
    <w:rsid w:val="00705AD9"/>
    <w:rsid w:val="00705C41"/>
    <w:rsid w:val="00705C53"/>
    <w:rsid w:val="00705D50"/>
    <w:rsid w:val="00705E19"/>
    <w:rsid w:val="00705F84"/>
    <w:rsid w:val="00706101"/>
    <w:rsid w:val="00706211"/>
    <w:rsid w:val="00706240"/>
    <w:rsid w:val="00706354"/>
    <w:rsid w:val="00706376"/>
    <w:rsid w:val="0070643E"/>
    <w:rsid w:val="00706580"/>
    <w:rsid w:val="007065CB"/>
    <w:rsid w:val="007065E5"/>
    <w:rsid w:val="00706654"/>
    <w:rsid w:val="0070679C"/>
    <w:rsid w:val="0070698C"/>
    <w:rsid w:val="00706A29"/>
    <w:rsid w:val="00706AA7"/>
    <w:rsid w:val="00706AE3"/>
    <w:rsid w:val="00706D8D"/>
    <w:rsid w:val="00706E61"/>
    <w:rsid w:val="00706F62"/>
    <w:rsid w:val="0070702E"/>
    <w:rsid w:val="0070706B"/>
    <w:rsid w:val="00707131"/>
    <w:rsid w:val="00707228"/>
    <w:rsid w:val="00707376"/>
    <w:rsid w:val="00707607"/>
    <w:rsid w:val="00707680"/>
    <w:rsid w:val="00707886"/>
    <w:rsid w:val="007078F0"/>
    <w:rsid w:val="00707B34"/>
    <w:rsid w:val="00707B4D"/>
    <w:rsid w:val="00707C17"/>
    <w:rsid w:val="00707E7C"/>
    <w:rsid w:val="00707F9E"/>
    <w:rsid w:val="00707FFE"/>
    <w:rsid w:val="007101F6"/>
    <w:rsid w:val="0071027D"/>
    <w:rsid w:val="00710410"/>
    <w:rsid w:val="0071058B"/>
    <w:rsid w:val="00710636"/>
    <w:rsid w:val="00710A7C"/>
    <w:rsid w:val="00710BFD"/>
    <w:rsid w:val="00710CFC"/>
    <w:rsid w:val="00710DC2"/>
    <w:rsid w:val="00710DE6"/>
    <w:rsid w:val="00710EBB"/>
    <w:rsid w:val="00710EC3"/>
    <w:rsid w:val="00710F38"/>
    <w:rsid w:val="00711019"/>
    <w:rsid w:val="00711085"/>
    <w:rsid w:val="00711271"/>
    <w:rsid w:val="00711272"/>
    <w:rsid w:val="00711399"/>
    <w:rsid w:val="0071169D"/>
    <w:rsid w:val="00711751"/>
    <w:rsid w:val="007117B5"/>
    <w:rsid w:val="00711987"/>
    <w:rsid w:val="00711A58"/>
    <w:rsid w:val="00711AA0"/>
    <w:rsid w:val="00711B6B"/>
    <w:rsid w:val="00711B9D"/>
    <w:rsid w:val="00711BCE"/>
    <w:rsid w:val="0071228F"/>
    <w:rsid w:val="007122DC"/>
    <w:rsid w:val="00712329"/>
    <w:rsid w:val="0071233D"/>
    <w:rsid w:val="007123D0"/>
    <w:rsid w:val="00712590"/>
    <w:rsid w:val="007125E0"/>
    <w:rsid w:val="00712609"/>
    <w:rsid w:val="0071265B"/>
    <w:rsid w:val="00712859"/>
    <w:rsid w:val="00712A21"/>
    <w:rsid w:val="00712A76"/>
    <w:rsid w:val="00712AF4"/>
    <w:rsid w:val="00712F28"/>
    <w:rsid w:val="007132A7"/>
    <w:rsid w:val="007132BA"/>
    <w:rsid w:val="007133B5"/>
    <w:rsid w:val="00713853"/>
    <w:rsid w:val="007138DF"/>
    <w:rsid w:val="0071391F"/>
    <w:rsid w:val="007139C2"/>
    <w:rsid w:val="00713A25"/>
    <w:rsid w:val="00713AC6"/>
    <w:rsid w:val="00713DA0"/>
    <w:rsid w:val="00713E9C"/>
    <w:rsid w:val="0071401B"/>
    <w:rsid w:val="00714031"/>
    <w:rsid w:val="0071404A"/>
    <w:rsid w:val="0071418D"/>
    <w:rsid w:val="007141D6"/>
    <w:rsid w:val="007141E8"/>
    <w:rsid w:val="00714373"/>
    <w:rsid w:val="007144BC"/>
    <w:rsid w:val="00714510"/>
    <w:rsid w:val="00714515"/>
    <w:rsid w:val="00714571"/>
    <w:rsid w:val="007145BC"/>
    <w:rsid w:val="0071471B"/>
    <w:rsid w:val="0071482E"/>
    <w:rsid w:val="00714BA2"/>
    <w:rsid w:val="00714CB7"/>
    <w:rsid w:val="00714E47"/>
    <w:rsid w:val="00714E66"/>
    <w:rsid w:val="00714EC7"/>
    <w:rsid w:val="00714F5A"/>
    <w:rsid w:val="00714FDD"/>
    <w:rsid w:val="0071504D"/>
    <w:rsid w:val="007152A3"/>
    <w:rsid w:val="007153D0"/>
    <w:rsid w:val="00715416"/>
    <w:rsid w:val="00715421"/>
    <w:rsid w:val="00715552"/>
    <w:rsid w:val="007155D9"/>
    <w:rsid w:val="00715702"/>
    <w:rsid w:val="00715748"/>
    <w:rsid w:val="00715838"/>
    <w:rsid w:val="007158EB"/>
    <w:rsid w:val="007159B9"/>
    <w:rsid w:val="00715EB6"/>
    <w:rsid w:val="00715FF9"/>
    <w:rsid w:val="00716247"/>
    <w:rsid w:val="007162BB"/>
    <w:rsid w:val="007164BB"/>
    <w:rsid w:val="00716979"/>
    <w:rsid w:val="00716BB2"/>
    <w:rsid w:val="00716C52"/>
    <w:rsid w:val="00716E19"/>
    <w:rsid w:val="00716F77"/>
    <w:rsid w:val="00717108"/>
    <w:rsid w:val="007173D7"/>
    <w:rsid w:val="0071754E"/>
    <w:rsid w:val="007176A0"/>
    <w:rsid w:val="007176CC"/>
    <w:rsid w:val="007176DB"/>
    <w:rsid w:val="007178F3"/>
    <w:rsid w:val="00717A10"/>
    <w:rsid w:val="00717C01"/>
    <w:rsid w:val="00717FF9"/>
    <w:rsid w:val="00720013"/>
    <w:rsid w:val="00720069"/>
    <w:rsid w:val="00720102"/>
    <w:rsid w:val="00720598"/>
    <w:rsid w:val="00720784"/>
    <w:rsid w:val="007207CF"/>
    <w:rsid w:val="00720893"/>
    <w:rsid w:val="00720982"/>
    <w:rsid w:val="007209CC"/>
    <w:rsid w:val="007209D9"/>
    <w:rsid w:val="00720ADC"/>
    <w:rsid w:val="00720D77"/>
    <w:rsid w:val="00720E55"/>
    <w:rsid w:val="00721011"/>
    <w:rsid w:val="00721024"/>
    <w:rsid w:val="00721138"/>
    <w:rsid w:val="00721170"/>
    <w:rsid w:val="00721302"/>
    <w:rsid w:val="00721338"/>
    <w:rsid w:val="00721366"/>
    <w:rsid w:val="00721399"/>
    <w:rsid w:val="007214CD"/>
    <w:rsid w:val="00721542"/>
    <w:rsid w:val="0072170B"/>
    <w:rsid w:val="0072186F"/>
    <w:rsid w:val="00721917"/>
    <w:rsid w:val="00721928"/>
    <w:rsid w:val="007219A6"/>
    <w:rsid w:val="00721B83"/>
    <w:rsid w:val="00721D93"/>
    <w:rsid w:val="00721F05"/>
    <w:rsid w:val="00721F3B"/>
    <w:rsid w:val="00721F71"/>
    <w:rsid w:val="00722194"/>
    <w:rsid w:val="0072229C"/>
    <w:rsid w:val="007222A5"/>
    <w:rsid w:val="007222B5"/>
    <w:rsid w:val="00722653"/>
    <w:rsid w:val="007226BA"/>
    <w:rsid w:val="00722A2D"/>
    <w:rsid w:val="00722A35"/>
    <w:rsid w:val="00722AC2"/>
    <w:rsid w:val="00722F56"/>
    <w:rsid w:val="00722F84"/>
    <w:rsid w:val="00722FD0"/>
    <w:rsid w:val="00722FE7"/>
    <w:rsid w:val="00723080"/>
    <w:rsid w:val="007231D4"/>
    <w:rsid w:val="007233A2"/>
    <w:rsid w:val="007235B1"/>
    <w:rsid w:val="007235DA"/>
    <w:rsid w:val="007236C6"/>
    <w:rsid w:val="007237ED"/>
    <w:rsid w:val="00723885"/>
    <w:rsid w:val="00723ADA"/>
    <w:rsid w:val="00723CDE"/>
    <w:rsid w:val="00723FE5"/>
    <w:rsid w:val="00724102"/>
    <w:rsid w:val="0072419E"/>
    <w:rsid w:val="00724254"/>
    <w:rsid w:val="00724343"/>
    <w:rsid w:val="007243EA"/>
    <w:rsid w:val="00724409"/>
    <w:rsid w:val="00724479"/>
    <w:rsid w:val="007247BF"/>
    <w:rsid w:val="0072482E"/>
    <w:rsid w:val="007249DD"/>
    <w:rsid w:val="00724A43"/>
    <w:rsid w:val="00724A67"/>
    <w:rsid w:val="00724A79"/>
    <w:rsid w:val="00724AAF"/>
    <w:rsid w:val="00724AD4"/>
    <w:rsid w:val="00724C0A"/>
    <w:rsid w:val="00724CA5"/>
    <w:rsid w:val="00724DE3"/>
    <w:rsid w:val="00724EE6"/>
    <w:rsid w:val="00724EEE"/>
    <w:rsid w:val="00724EEF"/>
    <w:rsid w:val="00725193"/>
    <w:rsid w:val="0072564D"/>
    <w:rsid w:val="007257E1"/>
    <w:rsid w:val="00725846"/>
    <w:rsid w:val="00725871"/>
    <w:rsid w:val="007258EC"/>
    <w:rsid w:val="0072591D"/>
    <w:rsid w:val="00725AD3"/>
    <w:rsid w:val="00725AED"/>
    <w:rsid w:val="00725B00"/>
    <w:rsid w:val="00725CB3"/>
    <w:rsid w:val="00725CCA"/>
    <w:rsid w:val="00725DC4"/>
    <w:rsid w:val="00725F42"/>
    <w:rsid w:val="00726105"/>
    <w:rsid w:val="007261A3"/>
    <w:rsid w:val="00726347"/>
    <w:rsid w:val="00726372"/>
    <w:rsid w:val="0072641E"/>
    <w:rsid w:val="007267B5"/>
    <w:rsid w:val="0072684B"/>
    <w:rsid w:val="0072686E"/>
    <w:rsid w:val="007268AB"/>
    <w:rsid w:val="00726B82"/>
    <w:rsid w:val="00726E2E"/>
    <w:rsid w:val="00726E3F"/>
    <w:rsid w:val="00726E67"/>
    <w:rsid w:val="00726E79"/>
    <w:rsid w:val="00727050"/>
    <w:rsid w:val="00727139"/>
    <w:rsid w:val="0072713A"/>
    <w:rsid w:val="0072713B"/>
    <w:rsid w:val="0072734F"/>
    <w:rsid w:val="00727432"/>
    <w:rsid w:val="0072747C"/>
    <w:rsid w:val="00727552"/>
    <w:rsid w:val="007275E3"/>
    <w:rsid w:val="00727896"/>
    <w:rsid w:val="007279CF"/>
    <w:rsid w:val="00727ADE"/>
    <w:rsid w:val="00727D3C"/>
    <w:rsid w:val="00727DB2"/>
    <w:rsid w:val="00727E2E"/>
    <w:rsid w:val="00730118"/>
    <w:rsid w:val="007301EC"/>
    <w:rsid w:val="0073031F"/>
    <w:rsid w:val="0073038F"/>
    <w:rsid w:val="00730410"/>
    <w:rsid w:val="007304FE"/>
    <w:rsid w:val="00730520"/>
    <w:rsid w:val="00730527"/>
    <w:rsid w:val="007305C5"/>
    <w:rsid w:val="007306C8"/>
    <w:rsid w:val="00730882"/>
    <w:rsid w:val="0073093F"/>
    <w:rsid w:val="00730C34"/>
    <w:rsid w:val="00730CFC"/>
    <w:rsid w:val="00730D6D"/>
    <w:rsid w:val="00730DAD"/>
    <w:rsid w:val="007313AD"/>
    <w:rsid w:val="007313CD"/>
    <w:rsid w:val="00731498"/>
    <w:rsid w:val="007314F7"/>
    <w:rsid w:val="00731852"/>
    <w:rsid w:val="00731BF5"/>
    <w:rsid w:val="00731C4E"/>
    <w:rsid w:val="00731DA5"/>
    <w:rsid w:val="00731E11"/>
    <w:rsid w:val="00731F16"/>
    <w:rsid w:val="007320AB"/>
    <w:rsid w:val="00732106"/>
    <w:rsid w:val="0073235F"/>
    <w:rsid w:val="00732412"/>
    <w:rsid w:val="007324CE"/>
    <w:rsid w:val="0073258F"/>
    <w:rsid w:val="007325B6"/>
    <w:rsid w:val="00732677"/>
    <w:rsid w:val="007326E8"/>
    <w:rsid w:val="007326F6"/>
    <w:rsid w:val="007327D1"/>
    <w:rsid w:val="007329E6"/>
    <w:rsid w:val="00732A14"/>
    <w:rsid w:val="00732A60"/>
    <w:rsid w:val="00732B7A"/>
    <w:rsid w:val="00732BA7"/>
    <w:rsid w:val="00732E3B"/>
    <w:rsid w:val="00733156"/>
    <w:rsid w:val="0073317D"/>
    <w:rsid w:val="007332EE"/>
    <w:rsid w:val="00733407"/>
    <w:rsid w:val="0073344A"/>
    <w:rsid w:val="00733656"/>
    <w:rsid w:val="00733802"/>
    <w:rsid w:val="00733817"/>
    <w:rsid w:val="00733A48"/>
    <w:rsid w:val="00733F02"/>
    <w:rsid w:val="00733FE1"/>
    <w:rsid w:val="0073428E"/>
    <w:rsid w:val="007342F9"/>
    <w:rsid w:val="007344D3"/>
    <w:rsid w:val="00734566"/>
    <w:rsid w:val="00734583"/>
    <w:rsid w:val="007345EC"/>
    <w:rsid w:val="0073461E"/>
    <w:rsid w:val="00734890"/>
    <w:rsid w:val="007348C7"/>
    <w:rsid w:val="00734921"/>
    <w:rsid w:val="007349BB"/>
    <w:rsid w:val="00734ADF"/>
    <w:rsid w:val="00734C83"/>
    <w:rsid w:val="00734D5C"/>
    <w:rsid w:val="00734F11"/>
    <w:rsid w:val="00734F1E"/>
    <w:rsid w:val="00734FC0"/>
    <w:rsid w:val="00734FF3"/>
    <w:rsid w:val="00735084"/>
    <w:rsid w:val="007351AE"/>
    <w:rsid w:val="0073528A"/>
    <w:rsid w:val="007353BF"/>
    <w:rsid w:val="0073554B"/>
    <w:rsid w:val="00735610"/>
    <w:rsid w:val="00735723"/>
    <w:rsid w:val="00735770"/>
    <w:rsid w:val="007357FD"/>
    <w:rsid w:val="0073604E"/>
    <w:rsid w:val="00736273"/>
    <w:rsid w:val="0073627C"/>
    <w:rsid w:val="007362F8"/>
    <w:rsid w:val="00736325"/>
    <w:rsid w:val="00736329"/>
    <w:rsid w:val="00736363"/>
    <w:rsid w:val="007363BD"/>
    <w:rsid w:val="007363DD"/>
    <w:rsid w:val="00736519"/>
    <w:rsid w:val="0073651C"/>
    <w:rsid w:val="00736785"/>
    <w:rsid w:val="007369EE"/>
    <w:rsid w:val="00736B71"/>
    <w:rsid w:val="00736BFB"/>
    <w:rsid w:val="00736D36"/>
    <w:rsid w:val="00736E08"/>
    <w:rsid w:val="00736F02"/>
    <w:rsid w:val="00736F1C"/>
    <w:rsid w:val="00736F80"/>
    <w:rsid w:val="0073727D"/>
    <w:rsid w:val="007372E3"/>
    <w:rsid w:val="0073743A"/>
    <w:rsid w:val="00737459"/>
    <w:rsid w:val="0073757D"/>
    <w:rsid w:val="007376A8"/>
    <w:rsid w:val="007377D1"/>
    <w:rsid w:val="0073787D"/>
    <w:rsid w:val="00737BE4"/>
    <w:rsid w:val="00737BFA"/>
    <w:rsid w:val="00737CF2"/>
    <w:rsid w:val="00737CF8"/>
    <w:rsid w:val="00737D77"/>
    <w:rsid w:val="00737DD6"/>
    <w:rsid w:val="00737E0E"/>
    <w:rsid w:val="00737EB0"/>
    <w:rsid w:val="00737ED7"/>
    <w:rsid w:val="00740177"/>
    <w:rsid w:val="0074027E"/>
    <w:rsid w:val="007402C3"/>
    <w:rsid w:val="007403AD"/>
    <w:rsid w:val="0074042D"/>
    <w:rsid w:val="007405EB"/>
    <w:rsid w:val="0074064A"/>
    <w:rsid w:val="007406CA"/>
    <w:rsid w:val="007406DF"/>
    <w:rsid w:val="00740950"/>
    <w:rsid w:val="00740AA6"/>
    <w:rsid w:val="00740BC6"/>
    <w:rsid w:val="00740C0A"/>
    <w:rsid w:val="00740C0D"/>
    <w:rsid w:val="00740DBF"/>
    <w:rsid w:val="00740DE2"/>
    <w:rsid w:val="00740E61"/>
    <w:rsid w:val="00741161"/>
    <w:rsid w:val="007412B5"/>
    <w:rsid w:val="007413B4"/>
    <w:rsid w:val="007413B6"/>
    <w:rsid w:val="0074145A"/>
    <w:rsid w:val="007414D9"/>
    <w:rsid w:val="00741677"/>
    <w:rsid w:val="0074195E"/>
    <w:rsid w:val="00741AC2"/>
    <w:rsid w:val="00741B3F"/>
    <w:rsid w:val="00741B59"/>
    <w:rsid w:val="00741C46"/>
    <w:rsid w:val="00741E86"/>
    <w:rsid w:val="007420C4"/>
    <w:rsid w:val="00742100"/>
    <w:rsid w:val="00742113"/>
    <w:rsid w:val="007421FA"/>
    <w:rsid w:val="007422D2"/>
    <w:rsid w:val="007422D7"/>
    <w:rsid w:val="00742668"/>
    <w:rsid w:val="0074268D"/>
    <w:rsid w:val="00742699"/>
    <w:rsid w:val="00742706"/>
    <w:rsid w:val="0074298E"/>
    <w:rsid w:val="00742A12"/>
    <w:rsid w:val="00742C8E"/>
    <w:rsid w:val="00742CF9"/>
    <w:rsid w:val="00742D5D"/>
    <w:rsid w:val="00742D6D"/>
    <w:rsid w:val="00742DA6"/>
    <w:rsid w:val="00742F8F"/>
    <w:rsid w:val="00743188"/>
    <w:rsid w:val="007431E2"/>
    <w:rsid w:val="00743208"/>
    <w:rsid w:val="00743384"/>
    <w:rsid w:val="00743388"/>
    <w:rsid w:val="00743567"/>
    <w:rsid w:val="007435FA"/>
    <w:rsid w:val="0074374E"/>
    <w:rsid w:val="0074380E"/>
    <w:rsid w:val="0074389C"/>
    <w:rsid w:val="007439D3"/>
    <w:rsid w:val="00743B3F"/>
    <w:rsid w:val="00743B6C"/>
    <w:rsid w:val="00743C1C"/>
    <w:rsid w:val="00743E4D"/>
    <w:rsid w:val="00743EEB"/>
    <w:rsid w:val="00744064"/>
    <w:rsid w:val="007440EA"/>
    <w:rsid w:val="007440EF"/>
    <w:rsid w:val="007443DE"/>
    <w:rsid w:val="007444C7"/>
    <w:rsid w:val="007444D8"/>
    <w:rsid w:val="0074461B"/>
    <w:rsid w:val="0074476A"/>
    <w:rsid w:val="00744994"/>
    <w:rsid w:val="00744AC3"/>
    <w:rsid w:val="00744B59"/>
    <w:rsid w:val="00744D1A"/>
    <w:rsid w:val="00744E4A"/>
    <w:rsid w:val="00744FF9"/>
    <w:rsid w:val="00745016"/>
    <w:rsid w:val="00745171"/>
    <w:rsid w:val="0074524D"/>
    <w:rsid w:val="00745377"/>
    <w:rsid w:val="007453DD"/>
    <w:rsid w:val="00745466"/>
    <w:rsid w:val="007454C9"/>
    <w:rsid w:val="00745627"/>
    <w:rsid w:val="00745673"/>
    <w:rsid w:val="00745676"/>
    <w:rsid w:val="00745776"/>
    <w:rsid w:val="00745905"/>
    <w:rsid w:val="007459E5"/>
    <w:rsid w:val="00745AEE"/>
    <w:rsid w:val="00745C26"/>
    <w:rsid w:val="00745C44"/>
    <w:rsid w:val="00745C77"/>
    <w:rsid w:val="00745CF0"/>
    <w:rsid w:val="00745E65"/>
    <w:rsid w:val="00745E82"/>
    <w:rsid w:val="00745F45"/>
    <w:rsid w:val="00745FF4"/>
    <w:rsid w:val="00746195"/>
    <w:rsid w:val="00746330"/>
    <w:rsid w:val="0074671C"/>
    <w:rsid w:val="0074686D"/>
    <w:rsid w:val="0074698A"/>
    <w:rsid w:val="007469C4"/>
    <w:rsid w:val="00746B6E"/>
    <w:rsid w:val="00746C92"/>
    <w:rsid w:val="00746FD1"/>
    <w:rsid w:val="007470F0"/>
    <w:rsid w:val="0074722C"/>
    <w:rsid w:val="007472AB"/>
    <w:rsid w:val="0074735F"/>
    <w:rsid w:val="007474B2"/>
    <w:rsid w:val="007475B7"/>
    <w:rsid w:val="00747705"/>
    <w:rsid w:val="00747846"/>
    <w:rsid w:val="00747925"/>
    <w:rsid w:val="0074793C"/>
    <w:rsid w:val="00747BBD"/>
    <w:rsid w:val="00747D9F"/>
    <w:rsid w:val="00747DB7"/>
    <w:rsid w:val="00747E21"/>
    <w:rsid w:val="00747E75"/>
    <w:rsid w:val="00747E83"/>
    <w:rsid w:val="00747E99"/>
    <w:rsid w:val="00747F38"/>
    <w:rsid w:val="00750135"/>
    <w:rsid w:val="00750222"/>
    <w:rsid w:val="0075025E"/>
    <w:rsid w:val="007502B7"/>
    <w:rsid w:val="007504BA"/>
    <w:rsid w:val="0075060C"/>
    <w:rsid w:val="00750685"/>
    <w:rsid w:val="00750705"/>
    <w:rsid w:val="007508C3"/>
    <w:rsid w:val="007508C8"/>
    <w:rsid w:val="00750A30"/>
    <w:rsid w:val="00750B0F"/>
    <w:rsid w:val="00750CAC"/>
    <w:rsid w:val="00750D16"/>
    <w:rsid w:val="00750DF0"/>
    <w:rsid w:val="00750F70"/>
    <w:rsid w:val="007510A1"/>
    <w:rsid w:val="007510B7"/>
    <w:rsid w:val="007510EC"/>
    <w:rsid w:val="0075122D"/>
    <w:rsid w:val="00751236"/>
    <w:rsid w:val="00751251"/>
    <w:rsid w:val="00751582"/>
    <w:rsid w:val="007516D8"/>
    <w:rsid w:val="0075177D"/>
    <w:rsid w:val="0075178F"/>
    <w:rsid w:val="00751822"/>
    <w:rsid w:val="007518CB"/>
    <w:rsid w:val="00751A31"/>
    <w:rsid w:val="00751BCD"/>
    <w:rsid w:val="00751E22"/>
    <w:rsid w:val="00751F17"/>
    <w:rsid w:val="00751F3E"/>
    <w:rsid w:val="0075212F"/>
    <w:rsid w:val="00752213"/>
    <w:rsid w:val="007523B2"/>
    <w:rsid w:val="00752452"/>
    <w:rsid w:val="007524D7"/>
    <w:rsid w:val="00752507"/>
    <w:rsid w:val="007525F5"/>
    <w:rsid w:val="00752731"/>
    <w:rsid w:val="0075275E"/>
    <w:rsid w:val="00752778"/>
    <w:rsid w:val="00752823"/>
    <w:rsid w:val="00752A82"/>
    <w:rsid w:val="00752B59"/>
    <w:rsid w:val="00752D09"/>
    <w:rsid w:val="00752FCB"/>
    <w:rsid w:val="00752FD1"/>
    <w:rsid w:val="00753132"/>
    <w:rsid w:val="007532FB"/>
    <w:rsid w:val="00753413"/>
    <w:rsid w:val="0075367F"/>
    <w:rsid w:val="007536F8"/>
    <w:rsid w:val="00753704"/>
    <w:rsid w:val="00753718"/>
    <w:rsid w:val="007537B1"/>
    <w:rsid w:val="007537BF"/>
    <w:rsid w:val="00753929"/>
    <w:rsid w:val="00753A1C"/>
    <w:rsid w:val="00753B2A"/>
    <w:rsid w:val="00753D88"/>
    <w:rsid w:val="00753F10"/>
    <w:rsid w:val="00754093"/>
    <w:rsid w:val="00754432"/>
    <w:rsid w:val="0075461A"/>
    <w:rsid w:val="0075466A"/>
    <w:rsid w:val="00754C0D"/>
    <w:rsid w:val="00754D94"/>
    <w:rsid w:val="00754DA5"/>
    <w:rsid w:val="00754E9D"/>
    <w:rsid w:val="00754FDC"/>
    <w:rsid w:val="00754FEA"/>
    <w:rsid w:val="00755282"/>
    <w:rsid w:val="0075538B"/>
    <w:rsid w:val="007553C6"/>
    <w:rsid w:val="007554F1"/>
    <w:rsid w:val="0075557B"/>
    <w:rsid w:val="00755757"/>
    <w:rsid w:val="00755772"/>
    <w:rsid w:val="00755891"/>
    <w:rsid w:val="007559A2"/>
    <w:rsid w:val="00755A58"/>
    <w:rsid w:val="00755CD6"/>
    <w:rsid w:val="00755ECD"/>
    <w:rsid w:val="0075612A"/>
    <w:rsid w:val="00756154"/>
    <w:rsid w:val="0075622E"/>
    <w:rsid w:val="0075626D"/>
    <w:rsid w:val="007562F2"/>
    <w:rsid w:val="007563EE"/>
    <w:rsid w:val="00756452"/>
    <w:rsid w:val="0075646A"/>
    <w:rsid w:val="007567EB"/>
    <w:rsid w:val="00756B7A"/>
    <w:rsid w:val="00756B97"/>
    <w:rsid w:val="00756C4B"/>
    <w:rsid w:val="00756DC2"/>
    <w:rsid w:val="00757034"/>
    <w:rsid w:val="00757079"/>
    <w:rsid w:val="00757147"/>
    <w:rsid w:val="00757253"/>
    <w:rsid w:val="00757333"/>
    <w:rsid w:val="00757402"/>
    <w:rsid w:val="00757494"/>
    <w:rsid w:val="00757667"/>
    <w:rsid w:val="00757797"/>
    <w:rsid w:val="0075780F"/>
    <w:rsid w:val="00757855"/>
    <w:rsid w:val="00757872"/>
    <w:rsid w:val="007579C4"/>
    <w:rsid w:val="00757AD8"/>
    <w:rsid w:val="00760270"/>
    <w:rsid w:val="00760375"/>
    <w:rsid w:val="00760637"/>
    <w:rsid w:val="0076067C"/>
    <w:rsid w:val="007606A0"/>
    <w:rsid w:val="007606C4"/>
    <w:rsid w:val="007606FC"/>
    <w:rsid w:val="007608C7"/>
    <w:rsid w:val="007608EA"/>
    <w:rsid w:val="00760955"/>
    <w:rsid w:val="00760A50"/>
    <w:rsid w:val="00760B5A"/>
    <w:rsid w:val="00760DEE"/>
    <w:rsid w:val="00760FB0"/>
    <w:rsid w:val="0076120F"/>
    <w:rsid w:val="0076142A"/>
    <w:rsid w:val="0076144F"/>
    <w:rsid w:val="00761612"/>
    <w:rsid w:val="00761946"/>
    <w:rsid w:val="007619A0"/>
    <w:rsid w:val="00761B27"/>
    <w:rsid w:val="00761C0E"/>
    <w:rsid w:val="00761C1B"/>
    <w:rsid w:val="00761C9A"/>
    <w:rsid w:val="00761D02"/>
    <w:rsid w:val="00761E41"/>
    <w:rsid w:val="00762041"/>
    <w:rsid w:val="007620CA"/>
    <w:rsid w:val="00762370"/>
    <w:rsid w:val="007623A2"/>
    <w:rsid w:val="00762515"/>
    <w:rsid w:val="0076251E"/>
    <w:rsid w:val="00762549"/>
    <w:rsid w:val="007625F1"/>
    <w:rsid w:val="007626BE"/>
    <w:rsid w:val="007626D5"/>
    <w:rsid w:val="007629CE"/>
    <w:rsid w:val="00762A22"/>
    <w:rsid w:val="00762AD9"/>
    <w:rsid w:val="00762BCC"/>
    <w:rsid w:val="00762C63"/>
    <w:rsid w:val="00762D27"/>
    <w:rsid w:val="00762DF7"/>
    <w:rsid w:val="00762E9F"/>
    <w:rsid w:val="00763030"/>
    <w:rsid w:val="00763153"/>
    <w:rsid w:val="0076324B"/>
    <w:rsid w:val="007633F0"/>
    <w:rsid w:val="00763451"/>
    <w:rsid w:val="00763656"/>
    <w:rsid w:val="00763B07"/>
    <w:rsid w:val="00763B73"/>
    <w:rsid w:val="00763B7A"/>
    <w:rsid w:val="00763BFC"/>
    <w:rsid w:val="00763DCF"/>
    <w:rsid w:val="00763EBF"/>
    <w:rsid w:val="00763EDF"/>
    <w:rsid w:val="00763FB0"/>
    <w:rsid w:val="007640C2"/>
    <w:rsid w:val="00764309"/>
    <w:rsid w:val="0076436A"/>
    <w:rsid w:val="00764523"/>
    <w:rsid w:val="00764653"/>
    <w:rsid w:val="00764709"/>
    <w:rsid w:val="007647BF"/>
    <w:rsid w:val="00764A3F"/>
    <w:rsid w:val="00764BFD"/>
    <w:rsid w:val="00764DDC"/>
    <w:rsid w:val="00764FB9"/>
    <w:rsid w:val="0076509F"/>
    <w:rsid w:val="007658DF"/>
    <w:rsid w:val="0076596B"/>
    <w:rsid w:val="00765AAA"/>
    <w:rsid w:val="00765ACE"/>
    <w:rsid w:val="00765B06"/>
    <w:rsid w:val="00765C11"/>
    <w:rsid w:val="00765D24"/>
    <w:rsid w:val="00765DB4"/>
    <w:rsid w:val="00765ED5"/>
    <w:rsid w:val="0076605A"/>
    <w:rsid w:val="007660CD"/>
    <w:rsid w:val="00766169"/>
    <w:rsid w:val="0076619C"/>
    <w:rsid w:val="00766534"/>
    <w:rsid w:val="0076666B"/>
    <w:rsid w:val="007668D5"/>
    <w:rsid w:val="00766A7B"/>
    <w:rsid w:val="00766F5A"/>
    <w:rsid w:val="00767025"/>
    <w:rsid w:val="00767070"/>
    <w:rsid w:val="007670DC"/>
    <w:rsid w:val="00767169"/>
    <w:rsid w:val="007671AA"/>
    <w:rsid w:val="007672B5"/>
    <w:rsid w:val="0076749E"/>
    <w:rsid w:val="00767523"/>
    <w:rsid w:val="007676AC"/>
    <w:rsid w:val="00767741"/>
    <w:rsid w:val="00767999"/>
    <w:rsid w:val="007679F6"/>
    <w:rsid w:val="00767A24"/>
    <w:rsid w:val="00767AA8"/>
    <w:rsid w:val="00767AF4"/>
    <w:rsid w:val="00767D60"/>
    <w:rsid w:val="00767D8F"/>
    <w:rsid w:val="00770120"/>
    <w:rsid w:val="007703D1"/>
    <w:rsid w:val="00770686"/>
    <w:rsid w:val="007708D6"/>
    <w:rsid w:val="007709C4"/>
    <w:rsid w:val="007709EE"/>
    <w:rsid w:val="00770B36"/>
    <w:rsid w:val="00770B4E"/>
    <w:rsid w:val="00770BE3"/>
    <w:rsid w:val="00770C5F"/>
    <w:rsid w:val="00770D01"/>
    <w:rsid w:val="00770F46"/>
    <w:rsid w:val="00770FEE"/>
    <w:rsid w:val="00770FF5"/>
    <w:rsid w:val="007710AD"/>
    <w:rsid w:val="007710CC"/>
    <w:rsid w:val="007711F4"/>
    <w:rsid w:val="00771332"/>
    <w:rsid w:val="0077167E"/>
    <w:rsid w:val="00771725"/>
    <w:rsid w:val="00771731"/>
    <w:rsid w:val="0077191C"/>
    <w:rsid w:val="00771ABF"/>
    <w:rsid w:val="00771B54"/>
    <w:rsid w:val="00771C0C"/>
    <w:rsid w:val="00771D58"/>
    <w:rsid w:val="00771D6A"/>
    <w:rsid w:val="00771ED4"/>
    <w:rsid w:val="00771F6B"/>
    <w:rsid w:val="007723F8"/>
    <w:rsid w:val="007724E2"/>
    <w:rsid w:val="0077286C"/>
    <w:rsid w:val="00772965"/>
    <w:rsid w:val="00772CD9"/>
    <w:rsid w:val="00772D50"/>
    <w:rsid w:val="00772DC0"/>
    <w:rsid w:val="00772FC6"/>
    <w:rsid w:val="007730A4"/>
    <w:rsid w:val="007730B1"/>
    <w:rsid w:val="007730EE"/>
    <w:rsid w:val="00773204"/>
    <w:rsid w:val="00773259"/>
    <w:rsid w:val="00773406"/>
    <w:rsid w:val="007734AA"/>
    <w:rsid w:val="007735C4"/>
    <w:rsid w:val="00773650"/>
    <w:rsid w:val="00773698"/>
    <w:rsid w:val="007737AF"/>
    <w:rsid w:val="007737CE"/>
    <w:rsid w:val="00773987"/>
    <w:rsid w:val="007739C6"/>
    <w:rsid w:val="00773ABB"/>
    <w:rsid w:val="00773ABC"/>
    <w:rsid w:val="00773ACE"/>
    <w:rsid w:val="00774004"/>
    <w:rsid w:val="0077427D"/>
    <w:rsid w:val="007742BC"/>
    <w:rsid w:val="00774531"/>
    <w:rsid w:val="007746FA"/>
    <w:rsid w:val="007748DE"/>
    <w:rsid w:val="007749AD"/>
    <w:rsid w:val="00774A35"/>
    <w:rsid w:val="00774A5C"/>
    <w:rsid w:val="00774AE5"/>
    <w:rsid w:val="00774AF1"/>
    <w:rsid w:val="00774AF2"/>
    <w:rsid w:val="00774B32"/>
    <w:rsid w:val="00774B40"/>
    <w:rsid w:val="00774CAC"/>
    <w:rsid w:val="00774FD7"/>
    <w:rsid w:val="00775047"/>
    <w:rsid w:val="007750EE"/>
    <w:rsid w:val="007754C1"/>
    <w:rsid w:val="00775576"/>
    <w:rsid w:val="0077564C"/>
    <w:rsid w:val="007756E0"/>
    <w:rsid w:val="0077571C"/>
    <w:rsid w:val="00775795"/>
    <w:rsid w:val="00775797"/>
    <w:rsid w:val="00775935"/>
    <w:rsid w:val="00775AD9"/>
    <w:rsid w:val="00775B65"/>
    <w:rsid w:val="00775EC4"/>
    <w:rsid w:val="00775F00"/>
    <w:rsid w:val="00775FD3"/>
    <w:rsid w:val="0077611C"/>
    <w:rsid w:val="00776321"/>
    <w:rsid w:val="00776559"/>
    <w:rsid w:val="0077685F"/>
    <w:rsid w:val="0077686E"/>
    <w:rsid w:val="007768A4"/>
    <w:rsid w:val="007768FB"/>
    <w:rsid w:val="00776AB7"/>
    <w:rsid w:val="00776BBF"/>
    <w:rsid w:val="00776CB9"/>
    <w:rsid w:val="00776DCD"/>
    <w:rsid w:val="00776E01"/>
    <w:rsid w:val="007771F9"/>
    <w:rsid w:val="007771FD"/>
    <w:rsid w:val="007773A3"/>
    <w:rsid w:val="00777482"/>
    <w:rsid w:val="007774FC"/>
    <w:rsid w:val="007776A6"/>
    <w:rsid w:val="007777A1"/>
    <w:rsid w:val="00777841"/>
    <w:rsid w:val="00777B1B"/>
    <w:rsid w:val="00777B2D"/>
    <w:rsid w:val="00777B90"/>
    <w:rsid w:val="00777BC8"/>
    <w:rsid w:val="00777D6E"/>
    <w:rsid w:val="00777E94"/>
    <w:rsid w:val="00780145"/>
    <w:rsid w:val="0078058B"/>
    <w:rsid w:val="007805C4"/>
    <w:rsid w:val="007806A3"/>
    <w:rsid w:val="007806E4"/>
    <w:rsid w:val="007807B0"/>
    <w:rsid w:val="00780912"/>
    <w:rsid w:val="00780BC0"/>
    <w:rsid w:val="00780CBA"/>
    <w:rsid w:val="00780CE8"/>
    <w:rsid w:val="00780D9C"/>
    <w:rsid w:val="00780FD1"/>
    <w:rsid w:val="0078162E"/>
    <w:rsid w:val="007818EF"/>
    <w:rsid w:val="007819F1"/>
    <w:rsid w:val="00781A0F"/>
    <w:rsid w:val="00781B55"/>
    <w:rsid w:val="00781BA9"/>
    <w:rsid w:val="00781C17"/>
    <w:rsid w:val="00781CAC"/>
    <w:rsid w:val="00781D6F"/>
    <w:rsid w:val="00781D95"/>
    <w:rsid w:val="00782024"/>
    <w:rsid w:val="007820D3"/>
    <w:rsid w:val="00782128"/>
    <w:rsid w:val="00782192"/>
    <w:rsid w:val="007821CF"/>
    <w:rsid w:val="0078220B"/>
    <w:rsid w:val="007824BB"/>
    <w:rsid w:val="00782521"/>
    <w:rsid w:val="0078255E"/>
    <w:rsid w:val="00782606"/>
    <w:rsid w:val="00782669"/>
    <w:rsid w:val="007826DC"/>
    <w:rsid w:val="007827F1"/>
    <w:rsid w:val="007828D0"/>
    <w:rsid w:val="00782A3C"/>
    <w:rsid w:val="00782ADE"/>
    <w:rsid w:val="00782BAC"/>
    <w:rsid w:val="00782C22"/>
    <w:rsid w:val="00782CCB"/>
    <w:rsid w:val="00782CE9"/>
    <w:rsid w:val="00782F17"/>
    <w:rsid w:val="00782F74"/>
    <w:rsid w:val="007831EA"/>
    <w:rsid w:val="00783229"/>
    <w:rsid w:val="007836F0"/>
    <w:rsid w:val="007838DD"/>
    <w:rsid w:val="0078397D"/>
    <w:rsid w:val="00783A4F"/>
    <w:rsid w:val="00783BB1"/>
    <w:rsid w:val="00783C14"/>
    <w:rsid w:val="007841E4"/>
    <w:rsid w:val="00784376"/>
    <w:rsid w:val="0078465B"/>
    <w:rsid w:val="007846A3"/>
    <w:rsid w:val="007846D3"/>
    <w:rsid w:val="007846F2"/>
    <w:rsid w:val="007848DC"/>
    <w:rsid w:val="00784929"/>
    <w:rsid w:val="00784A5B"/>
    <w:rsid w:val="00784BC3"/>
    <w:rsid w:val="00784DE3"/>
    <w:rsid w:val="00784F74"/>
    <w:rsid w:val="00784FFA"/>
    <w:rsid w:val="007850EB"/>
    <w:rsid w:val="0078536A"/>
    <w:rsid w:val="00785474"/>
    <w:rsid w:val="007854C7"/>
    <w:rsid w:val="0078551D"/>
    <w:rsid w:val="007856BE"/>
    <w:rsid w:val="007856D9"/>
    <w:rsid w:val="007856F1"/>
    <w:rsid w:val="0078570D"/>
    <w:rsid w:val="007858B6"/>
    <w:rsid w:val="00785A0F"/>
    <w:rsid w:val="00785A2B"/>
    <w:rsid w:val="00785BA8"/>
    <w:rsid w:val="00785C52"/>
    <w:rsid w:val="00785D28"/>
    <w:rsid w:val="00785D85"/>
    <w:rsid w:val="00785E1D"/>
    <w:rsid w:val="00785FD2"/>
    <w:rsid w:val="00786457"/>
    <w:rsid w:val="007864E3"/>
    <w:rsid w:val="007865E6"/>
    <w:rsid w:val="0078677B"/>
    <w:rsid w:val="00786B5D"/>
    <w:rsid w:val="00786C82"/>
    <w:rsid w:val="00786E7A"/>
    <w:rsid w:val="00786F5B"/>
    <w:rsid w:val="00786F78"/>
    <w:rsid w:val="00786FD8"/>
    <w:rsid w:val="007870E9"/>
    <w:rsid w:val="007871F3"/>
    <w:rsid w:val="0078722F"/>
    <w:rsid w:val="0078727E"/>
    <w:rsid w:val="0078733F"/>
    <w:rsid w:val="007873E5"/>
    <w:rsid w:val="007874D6"/>
    <w:rsid w:val="007875DC"/>
    <w:rsid w:val="0078787F"/>
    <w:rsid w:val="0078795D"/>
    <w:rsid w:val="00787B4A"/>
    <w:rsid w:val="00787B6B"/>
    <w:rsid w:val="00787D5D"/>
    <w:rsid w:val="00787DF8"/>
    <w:rsid w:val="00787E2D"/>
    <w:rsid w:val="00787FB9"/>
    <w:rsid w:val="007900BE"/>
    <w:rsid w:val="0079012B"/>
    <w:rsid w:val="007901B0"/>
    <w:rsid w:val="007902B0"/>
    <w:rsid w:val="0079032C"/>
    <w:rsid w:val="00790396"/>
    <w:rsid w:val="007903CA"/>
    <w:rsid w:val="0079047F"/>
    <w:rsid w:val="007905D3"/>
    <w:rsid w:val="0079074B"/>
    <w:rsid w:val="00790831"/>
    <w:rsid w:val="007908BE"/>
    <w:rsid w:val="007908D4"/>
    <w:rsid w:val="00790A51"/>
    <w:rsid w:val="00790AF0"/>
    <w:rsid w:val="00790C1B"/>
    <w:rsid w:val="00790D12"/>
    <w:rsid w:val="00790DFE"/>
    <w:rsid w:val="00790F62"/>
    <w:rsid w:val="00790FE2"/>
    <w:rsid w:val="00791149"/>
    <w:rsid w:val="0079123E"/>
    <w:rsid w:val="0079124D"/>
    <w:rsid w:val="00791388"/>
    <w:rsid w:val="007916B0"/>
    <w:rsid w:val="00791785"/>
    <w:rsid w:val="00791917"/>
    <w:rsid w:val="00791A14"/>
    <w:rsid w:val="00791ACA"/>
    <w:rsid w:val="00791B49"/>
    <w:rsid w:val="00791BA2"/>
    <w:rsid w:val="00791C2E"/>
    <w:rsid w:val="00791CC5"/>
    <w:rsid w:val="00791DC1"/>
    <w:rsid w:val="00791FE8"/>
    <w:rsid w:val="0079211A"/>
    <w:rsid w:val="00792139"/>
    <w:rsid w:val="007921D5"/>
    <w:rsid w:val="007924B5"/>
    <w:rsid w:val="00792604"/>
    <w:rsid w:val="007926BA"/>
    <w:rsid w:val="007928D4"/>
    <w:rsid w:val="00792966"/>
    <w:rsid w:val="007929B8"/>
    <w:rsid w:val="00792ABF"/>
    <w:rsid w:val="00792B6E"/>
    <w:rsid w:val="00792C24"/>
    <w:rsid w:val="00792C39"/>
    <w:rsid w:val="00792CC2"/>
    <w:rsid w:val="00792D1D"/>
    <w:rsid w:val="00792E50"/>
    <w:rsid w:val="00792EE3"/>
    <w:rsid w:val="0079320B"/>
    <w:rsid w:val="00793279"/>
    <w:rsid w:val="00793289"/>
    <w:rsid w:val="00793296"/>
    <w:rsid w:val="007933EB"/>
    <w:rsid w:val="0079340E"/>
    <w:rsid w:val="00793422"/>
    <w:rsid w:val="00793625"/>
    <w:rsid w:val="00793645"/>
    <w:rsid w:val="007937AD"/>
    <w:rsid w:val="007938A5"/>
    <w:rsid w:val="007938B2"/>
    <w:rsid w:val="00793942"/>
    <w:rsid w:val="00793A14"/>
    <w:rsid w:val="00793B32"/>
    <w:rsid w:val="00793BD3"/>
    <w:rsid w:val="00793C57"/>
    <w:rsid w:val="00793DD4"/>
    <w:rsid w:val="00793EDC"/>
    <w:rsid w:val="00793FCC"/>
    <w:rsid w:val="00793FD6"/>
    <w:rsid w:val="00794197"/>
    <w:rsid w:val="007942E6"/>
    <w:rsid w:val="0079435E"/>
    <w:rsid w:val="00794366"/>
    <w:rsid w:val="00794379"/>
    <w:rsid w:val="00794388"/>
    <w:rsid w:val="0079446F"/>
    <w:rsid w:val="00794536"/>
    <w:rsid w:val="007945A1"/>
    <w:rsid w:val="007946C4"/>
    <w:rsid w:val="00794738"/>
    <w:rsid w:val="007947A9"/>
    <w:rsid w:val="007947D9"/>
    <w:rsid w:val="007949DC"/>
    <w:rsid w:val="00794A3C"/>
    <w:rsid w:val="00794A53"/>
    <w:rsid w:val="00794D3D"/>
    <w:rsid w:val="00794D40"/>
    <w:rsid w:val="00794EC1"/>
    <w:rsid w:val="00794ED9"/>
    <w:rsid w:val="00794EE5"/>
    <w:rsid w:val="00795023"/>
    <w:rsid w:val="007953D9"/>
    <w:rsid w:val="007954D6"/>
    <w:rsid w:val="00795503"/>
    <w:rsid w:val="0079553A"/>
    <w:rsid w:val="007956AB"/>
    <w:rsid w:val="0079576D"/>
    <w:rsid w:val="00795B8F"/>
    <w:rsid w:val="00795C35"/>
    <w:rsid w:val="00795C8D"/>
    <w:rsid w:val="00796004"/>
    <w:rsid w:val="0079606E"/>
    <w:rsid w:val="00796285"/>
    <w:rsid w:val="0079637D"/>
    <w:rsid w:val="007963AF"/>
    <w:rsid w:val="007963C0"/>
    <w:rsid w:val="00796575"/>
    <w:rsid w:val="0079672B"/>
    <w:rsid w:val="00796819"/>
    <w:rsid w:val="00796887"/>
    <w:rsid w:val="00796B22"/>
    <w:rsid w:val="00796B83"/>
    <w:rsid w:val="00796E6E"/>
    <w:rsid w:val="00796E94"/>
    <w:rsid w:val="00796EB1"/>
    <w:rsid w:val="00796F6E"/>
    <w:rsid w:val="00797075"/>
    <w:rsid w:val="007970A1"/>
    <w:rsid w:val="007970A2"/>
    <w:rsid w:val="0079723A"/>
    <w:rsid w:val="00797333"/>
    <w:rsid w:val="0079744D"/>
    <w:rsid w:val="00797601"/>
    <w:rsid w:val="007976E2"/>
    <w:rsid w:val="0079791C"/>
    <w:rsid w:val="0079794C"/>
    <w:rsid w:val="00797966"/>
    <w:rsid w:val="00797C2E"/>
    <w:rsid w:val="007A0008"/>
    <w:rsid w:val="007A0012"/>
    <w:rsid w:val="007A008F"/>
    <w:rsid w:val="007A00AF"/>
    <w:rsid w:val="007A0159"/>
    <w:rsid w:val="007A0237"/>
    <w:rsid w:val="007A0270"/>
    <w:rsid w:val="007A0421"/>
    <w:rsid w:val="007A09DF"/>
    <w:rsid w:val="007A0A37"/>
    <w:rsid w:val="007A0A5D"/>
    <w:rsid w:val="007A0DE5"/>
    <w:rsid w:val="007A0E0B"/>
    <w:rsid w:val="007A0EBA"/>
    <w:rsid w:val="007A0F4E"/>
    <w:rsid w:val="007A1337"/>
    <w:rsid w:val="007A1463"/>
    <w:rsid w:val="007A14FB"/>
    <w:rsid w:val="007A1528"/>
    <w:rsid w:val="007A163A"/>
    <w:rsid w:val="007A17B2"/>
    <w:rsid w:val="007A188A"/>
    <w:rsid w:val="007A1918"/>
    <w:rsid w:val="007A19E8"/>
    <w:rsid w:val="007A1AFD"/>
    <w:rsid w:val="007A1E02"/>
    <w:rsid w:val="007A1EA6"/>
    <w:rsid w:val="007A1F2C"/>
    <w:rsid w:val="007A1F71"/>
    <w:rsid w:val="007A1FA7"/>
    <w:rsid w:val="007A237E"/>
    <w:rsid w:val="007A2456"/>
    <w:rsid w:val="007A2584"/>
    <w:rsid w:val="007A258A"/>
    <w:rsid w:val="007A259D"/>
    <w:rsid w:val="007A267E"/>
    <w:rsid w:val="007A279D"/>
    <w:rsid w:val="007A2973"/>
    <w:rsid w:val="007A29BC"/>
    <w:rsid w:val="007A2A5D"/>
    <w:rsid w:val="007A2A8F"/>
    <w:rsid w:val="007A2B2A"/>
    <w:rsid w:val="007A2B71"/>
    <w:rsid w:val="007A2C2C"/>
    <w:rsid w:val="007A2C5F"/>
    <w:rsid w:val="007A2C67"/>
    <w:rsid w:val="007A3024"/>
    <w:rsid w:val="007A304C"/>
    <w:rsid w:val="007A30B1"/>
    <w:rsid w:val="007A3248"/>
    <w:rsid w:val="007A3344"/>
    <w:rsid w:val="007A337B"/>
    <w:rsid w:val="007A3386"/>
    <w:rsid w:val="007A349B"/>
    <w:rsid w:val="007A376F"/>
    <w:rsid w:val="007A37BA"/>
    <w:rsid w:val="007A3861"/>
    <w:rsid w:val="007A3A51"/>
    <w:rsid w:val="007A3CE6"/>
    <w:rsid w:val="007A3E4D"/>
    <w:rsid w:val="007A3F17"/>
    <w:rsid w:val="007A4023"/>
    <w:rsid w:val="007A406D"/>
    <w:rsid w:val="007A40AC"/>
    <w:rsid w:val="007A41AD"/>
    <w:rsid w:val="007A433C"/>
    <w:rsid w:val="007A4377"/>
    <w:rsid w:val="007A48A1"/>
    <w:rsid w:val="007A4A8A"/>
    <w:rsid w:val="007A4C3C"/>
    <w:rsid w:val="007A4CA1"/>
    <w:rsid w:val="007A501B"/>
    <w:rsid w:val="007A5173"/>
    <w:rsid w:val="007A5219"/>
    <w:rsid w:val="007A5370"/>
    <w:rsid w:val="007A547D"/>
    <w:rsid w:val="007A5657"/>
    <w:rsid w:val="007A5712"/>
    <w:rsid w:val="007A57B1"/>
    <w:rsid w:val="007A57DD"/>
    <w:rsid w:val="007A57EA"/>
    <w:rsid w:val="007A58C2"/>
    <w:rsid w:val="007A5907"/>
    <w:rsid w:val="007A59EB"/>
    <w:rsid w:val="007A5A04"/>
    <w:rsid w:val="007A5A6E"/>
    <w:rsid w:val="007A5CF2"/>
    <w:rsid w:val="007A5D32"/>
    <w:rsid w:val="007A5DB5"/>
    <w:rsid w:val="007A5E24"/>
    <w:rsid w:val="007A5E28"/>
    <w:rsid w:val="007A5E9D"/>
    <w:rsid w:val="007A5EB8"/>
    <w:rsid w:val="007A5F46"/>
    <w:rsid w:val="007A610D"/>
    <w:rsid w:val="007A6137"/>
    <w:rsid w:val="007A6209"/>
    <w:rsid w:val="007A627F"/>
    <w:rsid w:val="007A62A4"/>
    <w:rsid w:val="007A6318"/>
    <w:rsid w:val="007A639B"/>
    <w:rsid w:val="007A63FD"/>
    <w:rsid w:val="007A643F"/>
    <w:rsid w:val="007A6526"/>
    <w:rsid w:val="007A667B"/>
    <w:rsid w:val="007A671F"/>
    <w:rsid w:val="007A672C"/>
    <w:rsid w:val="007A68BA"/>
    <w:rsid w:val="007A68D7"/>
    <w:rsid w:val="007A6BB1"/>
    <w:rsid w:val="007A6D18"/>
    <w:rsid w:val="007A6D3C"/>
    <w:rsid w:val="007A6FF9"/>
    <w:rsid w:val="007A70E6"/>
    <w:rsid w:val="007A70FB"/>
    <w:rsid w:val="007A71C4"/>
    <w:rsid w:val="007A7211"/>
    <w:rsid w:val="007A724D"/>
    <w:rsid w:val="007A74B7"/>
    <w:rsid w:val="007A7555"/>
    <w:rsid w:val="007A7914"/>
    <w:rsid w:val="007A79B8"/>
    <w:rsid w:val="007A7B6D"/>
    <w:rsid w:val="007A7D64"/>
    <w:rsid w:val="007A7DE5"/>
    <w:rsid w:val="007A7DF1"/>
    <w:rsid w:val="007A7ECC"/>
    <w:rsid w:val="007B0083"/>
    <w:rsid w:val="007B0338"/>
    <w:rsid w:val="007B045A"/>
    <w:rsid w:val="007B049E"/>
    <w:rsid w:val="007B05A9"/>
    <w:rsid w:val="007B05E0"/>
    <w:rsid w:val="007B05FC"/>
    <w:rsid w:val="007B0686"/>
    <w:rsid w:val="007B0739"/>
    <w:rsid w:val="007B0766"/>
    <w:rsid w:val="007B0821"/>
    <w:rsid w:val="007B09D8"/>
    <w:rsid w:val="007B0AE8"/>
    <w:rsid w:val="007B0B0D"/>
    <w:rsid w:val="007B0D24"/>
    <w:rsid w:val="007B0D49"/>
    <w:rsid w:val="007B0E16"/>
    <w:rsid w:val="007B0F04"/>
    <w:rsid w:val="007B0F27"/>
    <w:rsid w:val="007B0F4E"/>
    <w:rsid w:val="007B0F8D"/>
    <w:rsid w:val="007B0FE7"/>
    <w:rsid w:val="007B11BF"/>
    <w:rsid w:val="007B12A8"/>
    <w:rsid w:val="007B1325"/>
    <w:rsid w:val="007B1391"/>
    <w:rsid w:val="007B1397"/>
    <w:rsid w:val="007B13AA"/>
    <w:rsid w:val="007B15B9"/>
    <w:rsid w:val="007B1787"/>
    <w:rsid w:val="007B1A20"/>
    <w:rsid w:val="007B1BC1"/>
    <w:rsid w:val="007B1D14"/>
    <w:rsid w:val="007B20F1"/>
    <w:rsid w:val="007B22D4"/>
    <w:rsid w:val="007B23FC"/>
    <w:rsid w:val="007B247D"/>
    <w:rsid w:val="007B2530"/>
    <w:rsid w:val="007B2588"/>
    <w:rsid w:val="007B2606"/>
    <w:rsid w:val="007B2721"/>
    <w:rsid w:val="007B27E4"/>
    <w:rsid w:val="007B2879"/>
    <w:rsid w:val="007B28B7"/>
    <w:rsid w:val="007B29F7"/>
    <w:rsid w:val="007B2A0D"/>
    <w:rsid w:val="007B2AF9"/>
    <w:rsid w:val="007B2C2F"/>
    <w:rsid w:val="007B2CB0"/>
    <w:rsid w:val="007B2DE9"/>
    <w:rsid w:val="007B2E72"/>
    <w:rsid w:val="007B2EF8"/>
    <w:rsid w:val="007B3020"/>
    <w:rsid w:val="007B3250"/>
    <w:rsid w:val="007B32EC"/>
    <w:rsid w:val="007B337E"/>
    <w:rsid w:val="007B35E5"/>
    <w:rsid w:val="007B36F7"/>
    <w:rsid w:val="007B3AB0"/>
    <w:rsid w:val="007B3C1D"/>
    <w:rsid w:val="007B3C3E"/>
    <w:rsid w:val="007B3CD2"/>
    <w:rsid w:val="007B3D62"/>
    <w:rsid w:val="007B3F72"/>
    <w:rsid w:val="007B3FE8"/>
    <w:rsid w:val="007B40C0"/>
    <w:rsid w:val="007B4302"/>
    <w:rsid w:val="007B4363"/>
    <w:rsid w:val="007B4603"/>
    <w:rsid w:val="007B4807"/>
    <w:rsid w:val="007B4842"/>
    <w:rsid w:val="007B4A15"/>
    <w:rsid w:val="007B4A77"/>
    <w:rsid w:val="007B4A85"/>
    <w:rsid w:val="007B4B0E"/>
    <w:rsid w:val="007B4D9E"/>
    <w:rsid w:val="007B4DD7"/>
    <w:rsid w:val="007B4EDA"/>
    <w:rsid w:val="007B4F47"/>
    <w:rsid w:val="007B50CB"/>
    <w:rsid w:val="007B5465"/>
    <w:rsid w:val="007B5489"/>
    <w:rsid w:val="007B570C"/>
    <w:rsid w:val="007B57AC"/>
    <w:rsid w:val="007B57B7"/>
    <w:rsid w:val="007B591C"/>
    <w:rsid w:val="007B5A6D"/>
    <w:rsid w:val="007B5C58"/>
    <w:rsid w:val="007B5E08"/>
    <w:rsid w:val="007B5EC1"/>
    <w:rsid w:val="007B5EDC"/>
    <w:rsid w:val="007B5EE0"/>
    <w:rsid w:val="007B5FCA"/>
    <w:rsid w:val="007B61D0"/>
    <w:rsid w:val="007B6449"/>
    <w:rsid w:val="007B6492"/>
    <w:rsid w:val="007B64F7"/>
    <w:rsid w:val="007B65C5"/>
    <w:rsid w:val="007B667A"/>
    <w:rsid w:val="007B66D6"/>
    <w:rsid w:val="007B67AF"/>
    <w:rsid w:val="007B6839"/>
    <w:rsid w:val="007B6A91"/>
    <w:rsid w:val="007B6AE0"/>
    <w:rsid w:val="007B6B22"/>
    <w:rsid w:val="007B6BFC"/>
    <w:rsid w:val="007B6C21"/>
    <w:rsid w:val="007B6C7A"/>
    <w:rsid w:val="007B6CD1"/>
    <w:rsid w:val="007B6CE4"/>
    <w:rsid w:val="007B6DF3"/>
    <w:rsid w:val="007B6E87"/>
    <w:rsid w:val="007B6EBF"/>
    <w:rsid w:val="007B72BF"/>
    <w:rsid w:val="007B735A"/>
    <w:rsid w:val="007B7386"/>
    <w:rsid w:val="007B73AB"/>
    <w:rsid w:val="007B7561"/>
    <w:rsid w:val="007B7608"/>
    <w:rsid w:val="007B76E6"/>
    <w:rsid w:val="007B76E8"/>
    <w:rsid w:val="007B790F"/>
    <w:rsid w:val="007B7960"/>
    <w:rsid w:val="007B799A"/>
    <w:rsid w:val="007B79A9"/>
    <w:rsid w:val="007B7A20"/>
    <w:rsid w:val="007B7A8A"/>
    <w:rsid w:val="007B7AE5"/>
    <w:rsid w:val="007B7B83"/>
    <w:rsid w:val="007B7DAE"/>
    <w:rsid w:val="007B7E46"/>
    <w:rsid w:val="007B7F78"/>
    <w:rsid w:val="007B7FB3"/>
    <w:rsid w:val="007C0103"/>
    <w:rsid w:val="007C01E8"/>
    <w:rsid w:val="007C02B5"/>
    <w:rsid w:val="007C0343"/>
    <w:rsid w:val="007C0371"/>
    <w:rsid w:val="007C0378"/>
    <w:rsid w:val="007C0400"/>
    <w:rsid w:val="007C0466"/>
    <w:rsid w:val="007C0552"/>
    <w:rsid w:val="007C0BE7"/>
    <w:rsid w:val="007C0C67"/>
    <w:rsid w:val="007C0CC3"/>
    <w:rsid w:val="007C1119"/>
    <w:rsid w:val="007C122E"/>
    <w:rsid w:val="007C12F8"/>
    <w:rsid w:val="007C13BA"/>
    <w:rsid w:val="007C13F2"/>
    <w:rsid w:val="007C1552"/>
    <w:rsid w:val="007C1589"/>
    <w:rsid w:val="007C19B2"/>
    <w:rsid w:val="007C1A24"/>
    <w:rsid w:val="007C1A51"/>
    <w:rsid w:val="007C1A90"/>
    <w:rsid w:val="007C1AC1"/>
    <w:rsid w:val="007C1BE8"/>
    <w:rsid w:val="007C1C11"/>
    <w:rsid w:val="007C1CCB"/>
    <w:rsid w:val="007C1D55"/>
    <w:rsid w:val="007C1D61"/>
    <w:rsid w:val="007C1F94"/>
    <w:rsid w:val="007C20C7"/>
    <w:rsid w:val="007C215C"/>
    <w:rsid w:val="007C21C5"/>
    <w:rsid w:val="007C2425"/>
    <w:rsid w:val="007C25D1"/>
    <w:rsid w:val="007C2791"/>
    <w:rsid w:val="007C279B"/>
    <w:rsid w:val="007C283E"/>
    <w:rsid w:val="007C2943"/>
    <w:rsid w:val="007C2A5A"/>
    <w:rsid w:val="007C2AD5"/>
    <w:rsid w:val="007C2D3F"/>
    <w:rsid w:val="007C2DC9"/>
    <w:rsid w:val="007C2DF5"/>
    <w:rsid w:val="007C2DFB"/>
    <w:rsid w:val="007C2E63"/>
    <w:rsid w:val="007C309C"/>
    <w:rsid w:val="007C32E6"/>
    <w:rsid w:val="007C3379"/>
    <w:rsid w:val="007C33A4"/>
    <w:rsid w:val="007C347A"/>
    <w:rsid w:val="007C3511"/>
    <w:rsid w:val="007C370B"/>
    <w:rsid w:val="007C3825"/>
    <w:rsid w:val="007C39F2"/>
    <w:rsid w:val="007C3AE8"/>
    <w:rsid w:val="007C3B86"/>
    <w:rsid w:val="007C3F88"/>
    <w:rsid w:val="007C4102"/>
    <w:rsid w:val="007C41BB"/>
    <w:rsid w:val="007C41FB"/>
    <w:rsid w:val="007C4253"/>
    <w:rsid w:val="007C43CD"/>
    <w:rsid w:val="007C449B"/>
    <w:rsid w:val="007C45C0"/>
    <w:rsid w:val="007C460B"/>
    <w:rsid w:val="007C4649"/>
    <w:rsid w:val="007C47CF"/>
    <w:rsid w:val="007C47D6"/>
    <w:rsid w:val="007C4896"/>
    <w:rsid w:val="007C48AA"/>
    <w:rsid w:val="007C4A5B"/>
    <w:rsid w:val="007C4BA3"/>
    <w:rsid w:val="007C4E60"/>
    <w:rsid w:val="007C4EBE"/>
    <w:rsid w:val="007C53B0"/>
    <w:rsid w:val="007C5405"/>
    <w:rsid w:val="007C5484"/>
    <w:rsid w:val="007C5512"/>
    <w:rsid w:val="007C55DA"/>
    <w:rsid w:val="007C5697"/>
    <w:rsid w:val="007C5729"/>
    <w:rsid w:val="007C574D"/>
    <w:rsid w:val="007C581E"/>
    <w:rsid w:val="007C5892"/>
    <w:rsid w:val="007C58BD"/>
    <w:rsid w:val="007C5AC0"/>
    <w:rsid w:val="007C5B44"/>
    <w:rsid w:val="007C5BF9"/>
    <w:rsid w:val="007C6056"/>
    <w:rsid w:val="007C6142"/>
    <w:rsid w:val="007C6195"/>
    <w:rsid w:val="007C62E1"/>
    <w:rsid w:val="007C636A"/>
    <w:rsid w:val="007C639E"/>
    <w:rsid w:val="007C6462"/>
    <w:rsid w:val="007C6496"/>
    <w:rsid w:val="007C64D5"/>
    <w:rsid w:val="007C662B"/>
    <w:rsid w:val="007C6707"/>
    <w:rsid w:val="007C6869"/>
    <w:rsid w:val="007C6886"/>
    <w:rsid w:val="007C696F"/>
    <w:rsid w:val="007C6B6C"/>
    <w:rsid w:val="007C6D44"/>
    <w:rsid w:val="007C6DD2"/>
    <w:rsid w:val="007C6E68"/>
    <w:rsid w:val="007C6ED3"/>
    <w:rsid w:val="007C6F15"/>
    <w:rsid w:val="007C6FFE"/>
    <w:rsid w:val="007C70B4"/>
    <w:rsid w:val="007C714B"/>
    <w:rsid w:val="007C7153"/>
    <w:rsid w:val="007C7166"/>
    <w:rsid w:val="007C7193"/>
    <w:rsid w:val="007C72E4"/>
    <w:rsid w:val="007C74E1"/>
    <w:rsid w:val="007C77EB"/>
    <w:rsid w:val="007C786C"/>
    <w:rsid w:val="007C78A0"/>
    <w:rsid w:val="007C79A8"/>
    <w:rsid w:val="007C7D87"/>
    <w:rsid w:val="007C7EE4"/>
    <w:rsid w:val="007C7F79"/>
    <w:rsid w:val="007D00D6"/>
    <w:rsid w:val="007D01CD"/>
    <w:rsid w:val="007D0226"/>
    <w:rsid w:val="007D0545"/>
    <w:rsid w:val="007D07BC"/>
    <w:rsid w:val="007D0848"/>
    <w:rsid w:val="007D085A"/>
    <w:rsid w:val="007D08DA"/>
    <w:rsid w:val="007D0B37"/>
    <w:rsid w:val="007D0BA6"/>
    <w:rsid w:val="007D0D6E"/>
    <w:rsid w:val="007D0DF3"/>
    <w:rsid w:val="007D0E0C"/>
    <w:rsid w:val="007D0F13"/>
    <w:rsid w:val="007D0F93"/>
    <w:rsid w:val="007D10CA"/>
    <w:rsid w:val="007D1353"/>
    <w:rsid w:val="007D136F"/>
    <w:rsid w:val="007D13F4"/>
    <w:rsid w:val="007D1561"/>
    <w:rsid w:val="007D186A"/>
    <w:rsid w:val="007D189C"/>
    <w:rsid w:val="007D1A62"/>
    <w:rsid w:val="007D1AFE"/>
    <w:rsid w:val="007D1C09"/>
    <w:rsid w:val="007D1C49"/>
    <w:rsid w:val="007D1CAD"/>
    <w:rsid w:val="007D1E84"/>
    <w:rsid w:val="007D1EA6"/>
    <w:rsid w:val="007D1EBA"/>
    <w:rsid w:val="007D1FC8"/>
    <w:rsid w:val="007D2028"/>
    <w:rsid w:val="007D21F3"/>
    <w:rsid w:val="007D22A7"/>
    <w:rsid w:val="007D2401"/>
    <w:rsid w:val="007D24F6"/>
    <w:rsid w:val="007D2576"/>
    <w:rsid w:val="007D2607"/>
    <w:rsid w:val="007D26A4"/>
    <w:rsid w:val="007D2707"/>
    <w:rsid w:val="007D2896"/>
    <w:rsid w:val="007D28CB"/>
    <w:rsid w:val="007D297C"/>
    <w:rsid w:val="007D29AA"/>
    <w:rsid w:val="007D29C9"/>
    <w:rsid w:val="007D2A66"/>
    <w:rsid w:val="007D2A78"/>
    <w:rsid w:val="007D2B9B"/>
    <w:rsid w:val="007D2D78"/>
    <w:rsid w:val="007D2FCD"/>
    <w:rsid w:val="007D3089"/>
    <w:rsid w:val="007D30A8"/>
    <w:rsid w:val="007D314F"/>
    <w:rsid w:val="007D3221"/>
    <w:rsid w:val="007D343F"/>
    <w:rsid w:val="007D3521"/>
    <w:rsid w:val="007D35FF"/>
    <w:rsid w:val="007D361F"/>
    <w:rsid w:val="007D3760"/>
    <w:rsid w:val="007D3833"/>
    <w:rsid w:val="007D39AE"/>
    <w:rsid w:val="007D39D5"/>
    <w:rsid w:val="007D3A19"/>
    <w:rsid w:val="007D3AE3"/>
    <w:rsid w:val="007D3C54"/>
    <w:rsid w:val="007D3CD8"/>
    <w:rsid w:val="007D3DF2"/>
    <w:rsid w:val="007D3E14"/>
    <w:rsid w:val="007D43D2"/>
    <w:rsid w:val="007D43FA"/>
    <w:rsid w:val="007D4436"/>
    <w:rsid w:val="007D46AC"/>
    <w:rsid w:val="007D47FF"/>
    <w:rsid w:val="007D4818"/>
    <w:rsid w:val="007D4B09"/>
    <w:rsid w:val="007D4BBA"/>
    <w:rsid w:val="007D4C6C"/>
    <w:rsid w:val="007D4D47"/>
    <w:rsid w:val="007D4DE6"/>
    <w:rsid w:val="007D4F29"/>
    <w:rsid w:val="007D5060"/>
    <w:rsid w:val="007D507B"/>
    <w:rsid w:val="007D50FC"/>
    <w:rsid w:val="007D53B0"/>
    <w:rsid w:val="007D53F8"/>
    <w:rsid w:val="007D551C"/>
    <w:rsid w:val="007D5536"/>
    <w:rsid w:val="007D5599"/>
    <w:rsid w:val="007D55DF"/>
    <w:rsid w:val="007D571E"/>
    <w:rsid w:val="007D5769"/>
    <w:rsid w:val="007D5814"/>
    <w:rsid w:val="007D5884"/>
    <w:rsid w:val="007D58A4"/>
    <w:rsid w:val="007D5936"/>
    <w:rsid w:val="007D5A20"/>
    <w:rsid w:val="007D5A23"/>
    <w:rsid w:val="007D5CB1"/>
    <w:rsid w:val="007D5F27"/>
    <w:rsid w:val="007D5F42"/>
    <w:rsid w:val="007D605C"/>
    <w:rsid w:val="007D6069"/>
    <w:rsid w:val="007D6140"/>
    <w:rsid w:val="007D6220"/>
    <w:rsid w:val="007D635C"/>
    <w:rsid w:val="007D635E"/>
    <w:rsid w:val="007D6471"/>
    <w:rsid w:val="007D6626"/>
    <w:rsid w:val="007D67A9"/>
    <w:rsid w:val="007D67EA"/>
    <w:rsid w:val="007D690F"/>
    <w:rsid w:val="007D6927"/>
    <w:rsid w:val="007D6992"/>
    <w:rsid w:val="007D6A03"/>
    <w:rsid w:val="007D6A05"/>
    <w:rsid w:val="007D6BCC"/>
    <w:rsid w:val="007D6C32"/>
    <w:rsid w:val="007D6C81"/>
    <w:rsid w:val="007D6CA6"/>
    <w:rsid w:val="007D6D32"/>
    <w:rsid w:val="007D6DB7"/>
    <w:rsid w:val="007D7115"/>
    <w:rsid w:val="007D71D5"/>
    <w:rsid w:val="007D72DC"/>
    <w:rsid w:val="007D76C7"/>
    <w:rsid w:val="007D77A3"/>
    <w:rsid w:val="007D7A1B"/>
    <w:rsid w:val="007D7A28"/>
    <w:rsid w:val="007D7C20"/>
    <w:rsid w:val="007D7D17"/>
    <w:rsid w:val="007D7D18"/>
    <w:rsid w:val="007D7D45"/>
    <w:rsid w:val="007D7ED0"/>
    <w:rsid w:val="007E0040"/>
    <w:rsid w:val="007E017D"/>
    <w:rsid w:val="007E02E3"/>
    <w:rsid w:val="007E0391"/>
    <w:rsid w:val="007E042E"/>
    <w:rsid w:val="007E04A5"/>
    <w:rsid w:val="007E04CC"/>
    <w:rsid w:val="007E05E6"/>
    <w:rsid w:val="007E06AF"/>
    <w:rsid w:val="007E07A8"/>
    <w:rsid w:val="007E07E3"/>
    <w:rsid w:val="007E0EB7"/>
    <w:rsid w:val="007E0F2A"/>
    <w:rsid w:val="007E118C"/>
    <w:rsid w:val="007E12CA"/>
    <w:rsid w:val="007E1311"/>
    <w:rsid w:val="007E145E"/>
    <w:rsid w:val="007E1521"/>
    <w:rsid w:val="007E1551"/>
    <w:rsid w:val="007E172E"/>
    <w:rsid w:val="007E1932"/>
    <w:rsid w:val="007E1960"/>
    <w:rsid w:val="007E19A3"/>
    <w:rsid w:val="007E19B6"/>
    <w:rsid w:val="007E1A99"/>
    <w:rsid w:val="007E1B41"/>
    <w:rsid w:val="007E1F5D"/>
    <w:rsid w:val="007E20E5"/>
    <w:rsid w:val="007E2107"/>
    <w:rsid w:val="007E218A"/>
    <w:rsid w:val="007E230D"/>
    <w:rsid w:val="007E2316"/>
    <w:rsid w:val="007E234C"/>
    <w:rsid w:val="007E2445"/>
    <w:rsid w:val="007E2454"/>
    <w:rsid w:val="007E2463"/>
    <w:rsid w:val="007E2743"/>
    <w:rsid w:val="007E278B"/>
    <w:rsid w:val="007E29DE"/>
    <w:rsid w:val="007E2A77"/>
    <w:rsid w:val="007E2A8E"/>
    <w:rsid w:val="007E2F7F"/>
    <w:rsid w:val="007E3059"/>
    <w:rsid w:val="007E31E1"/>
    <w:rsid w:val="007E32A6"/>
    <w:rsid w:val="007E351A"/>
    <w:rsid w:val="007E3549"/>
    <w:rsid w:val="007E3571"/>
    <w:rsid w:val="007E3608"/>
    <w:rsid w:val="007E39EA"/>
    <w:rsid w:val="007E3AC4"/>
    <w:rsid w:val="007E3B85"/>
    <w:rsid w:val="007E3C3F"/>
    <w:rsid w:val="007E3D09"/>
    <w:rsid w:val="007E3D58"/>
    <w:rsid w:val="007E3EA0"/>
    <w:rsid w:val="007E3F3D"/>
    <w:rsid w:val="007E3F48"/>
    <w:rsid w:val="007E3FF4"/>
    <w:rsid w:val="007E405F"/>
    <w:rsid w:val="007E40D8"/>
    <w:rsid w:val="007E4119"/>
    <w:rsid w:val="007E4243"/>
    <w:rsid w:val="007E4587"/>
    <w:rsid w:val="007E4591"/>
    <w:rsid w:val="007E4648"/>
    <w:rsid w:val="007E4990"/>
    <w:rsid w:val="007E4A0C"/>
    <w:rsid w:val="007E4A75"/>
    <w:rsid w:val="007E4C79"/>
    <w:rsid w:val="007E4DAB"/>
    <w:rsid w:val="007E4E21"/>
    <w:rsid w:val="007E4E53"/>
    <w:rsid w:val="007E4F65"/>
    <w:rsid w:val="007E4FD2"/>
    <w:rsid w:val="007E507E"/>
    <w:rsid w:val="007E51B4"/>
    <w:rsid w:val="007E51E1"/>
    <w:rsid w:val="007E5265"/>
    <w:rsid w:val="007E53A3"/>
    <w:rsid w:val="007E5405"/>
    <w:rsid w:val="007E54EB"/>
    <w:rsid w:val="007E5567"/>
    <w:rsid w:val="007E5987"/>
    <w:rsid w:val="007E59FB"/>
    <w:rsid w:val="007E5A89"/>
    <w:rsid w:val="007E5B96"/>
    <w:rsid w:val="007E5C5B"/>
    <w:rsid w:val="007E5D7F"/>
    <w:rsid w:val="007E600A"/>
    <w:rsid w:val="007E607D"/>
    <w:rsid w:val="007E608B"/>
    <w:rsid w:val="007E61D8"/>
    <w:rsid w:val="007E6273"/>
    <w:rsid w:val="007E635D"/>
    <w:rsid w:val="007E64EA"/>
    <w:rsid w:val="007E6600"/>
    <w:rsid w:val="007E66B1"/>
    <w:rsid w:val="007E68B6"/>
    <w:rsid w:val="007E69AF"/>
    <w:rsid w:val="007E6A09"/>
    <w:rsid w:val="007E6B6C"/>
    <w:rsid w:val="007E6F34"/>
    <w:rsid w:val="007E7331"/>
    <w:rsid w:val="007E737A"/>
    <w:rsid w:val="007E7387"/>
    <w:rsid w:val="007E73F0"/>
    <w:rsid w:val="007E73FA"/>
    <w:rsid w:val="007E742E"/>
    <w:rsid w:val="007E7519"/>
    <w:rsid w:val="007E75AC"/>
    <w:rsid w:val="007E75FF"/>
    <w:rsid w:val="007E768E"/>
    <w:rsid w:val="007E7841"/>
    <w:rsid w:val="007E789E"/>
    <w:rsid w:val="007E7930"/>
    <w:rsid w:val="007E7966"/>
    <w:rsid w:val="007E7ACE"/>
    <w:rsid w:val="007E7AFA"/>
    <w:rsid w:val="007E7C83"/>
    <w:rsid w:val="007E7C9C"/>
    <w:rsid w:val="007E7DCB"/>
    <w:rsid w:val="007E7ECE"/>
    <w:rsid w:val="007F007C"/>
    <w:rsid w:val="007F016E"/>
    <w:rsid w:val="007F026C"/>
    <w:rsid w:val="007F054E"/>
    <w:rsid w:val="007F0557"/>
    <w:rsid w:val="007F05A1"/>
    <w:rsid w:val="007F05AC"/>
    <w:rsid w:val="007F05DB"/>
    <w:rsid w:val="007F0886"/>
    <w:rsid w:val="007F096A"/>
    <w:rsid w:val="007F09B0"/>
    <w:rsid w:val="007F0A60"/>
    <w:rsid w:val="007F0A87"/>
    <w:rsid w:val="007F0B49"/>
    <w:rsid w:val="007F0C16"/>
    <w:rsid w:val="007F0C59"/>
    <w:rsid w:val="007F0CD2"/>
    <w:rsid w:val="007F0F58"/>
    <w:rsid w:val="007F1051"/>
    <w:rsid w:val="007F11D2"/>
    <w:rsid w:val="007F123C"/>
    <w:rsid w:val="007F140E"/>
    <w:rsid w:val="007F14BB"/>
    <w:rsid w:val="007F1533"/>
    <w:rsid w:val="007F158C"/>
    <w:rsid w:val="007F1712"/>
    <w:rsid w:val="007F1748"/>
    <w:rsid w:val="007F17DF"/>
    <w:rsid w:val="007F17EC"/>
    <w:rsid w:val="007F180E"/>
    <w:rsid w:val="007F1865"/>
    <w:rsid w:val="007F1989"/>
    <w:rsid w:val="007F19FD"/>
    <w:rsid w:val="007F1A52"/>
    <w:rsid w:val="007F1A80"/>
    <w:rsid w:val="007F1B0F"/>
    <w:rsid w:val="007F1BE4"/>
    <w:rsid w:val="007F1CF6"/>
    <w:rsid w:val="007F2151"/>
    <w:rsid w:val="007F22AB"/>
    <w:rsid w:val="007F243B"/>
    <w:rsid w:val="007F2458"/>
    <w:rsid w:val="007F25B2"/>
    <w:rsid w:val="007F25D3"/>
    <w:rsid w:val="007F2660"/>
    <w:rsid w:val="007F279A"/>
    <w:rsid w:val="007F2968"/>
    <w:rsid w:val="007F2A85"/>
    <w:rsid w:val="007F2C4A"/>
    <w:rsid w:val="007F2C85"/>
    <w:rsid w:val="007F2C8B"/>
    <w:rsid w:val="007F2D25"/>
    <w:rsid w:val="007F2D8D"/>
    <w:rsid w:val="007F2DC8"/>
    <w:rsid w:val="007F2E98"/>
    <w:rsid w:val="007F30D2"/>
    <w:rsid w:val="007F30EC"/>
    <w:rsid w:val="007F32E0"/>
    <w:rsid w:val="007F330C"/>
    <w:rsid w:val="007F33E3"/>
    <w:rsid w:val="007F3868"/>
    <w:rsid w:val="007F386B"/>
    <w:rsid w:val="007F390F"/>
    <w:rsid w:val="007F3A61"/>
    <w:rsid w:val="007F3A66"/>
    <w:rsid w:val="007F3AF1"/>
    <w:rsid w:val="007F3C83"/>
    <w:rsid w:val="007F3D53"/>
    <w:rsid w:val="007F3D69"/>
    <w:rsid w:val="007F413B"/>
    <w:rsid w:val="007F4173"/>
    <w:rsid w:val="007F42AB"/>
    <w:rsid w:val="007F42F1"/>
    <w:rsid w:val="007F4312"/>
    <w:rsid w:val="007F4347"/>
    <w:rsid w:val="007F443A"/>
    <w:rsid w:val="007F45C8"/>
    <w:rsid w:val="007F48F2"/>
    <w:rsid w:val="007F4955"/>
    <w:rsid w:val="007F4A6C"/>
    <w:rsid w:val="007F4B0F"/>
    <w:rsid w:val="007F4DE4"/>
    <w:rsid w:val="007F4DF5"/>
    <w:rsid w:val="007F4E33"/>
    <w:rsid w:val="007F4E5A"/>
    <w:rsid w:val="007F5166"/>
    <w:rsid w:val="007F5281"/>
    <w:rsid w:val="007F5348"/>
    <w:rsid w:val="007F5354"/>
    <w:rsid w:val="007F5360"/>
    <w:rsid w:val="007F53DC"/>
    <w:rsid w:val="007F5566"/>
    <w:rsid w:val="007F55F7"/>
    <w:rsid w:val="007F56C7"/>
    <w:rsid w:val="007F5799"/>
    <w:rsid w:val="007F5803"/>
    <w:rsid w:val="007F581D"/>
    <w:rsid w:val="007F5C79"/>
    <w:rsid w:val="007F5D14"/>
    <w:rsid w:val="007F5D5C"/>
    <w:rsid w:val="007F5D7A"/>
    <w:rsid w:val="007F5E26"/>
    <w:rsid w:val="007F6030"/>
    <w:rsid w:val="007F62F5"/>
    <w:rsid w:val="007F6411"/>
    <w:rsid w:val="007F654F"/>
    <w:rsid w:val="007F667E"/>
    <w:rsid w:val="007F6833"/>
    <w:rsid w:val="007F6896"/>
    <w:rsid w:val="007F69AA"/>
    <w:rsid w:val="007F69F5"/>
    <w:rsid w:val="007F6AA9"/>
    <w:rsid w:val="007F6AAD"/>
    <w:rsid w:val="007F6C67"/>
    <w:rsid w:val="007F6CD9"/>
    <w:rsid w:val="007F6D62"/>
    <w:rsid w:val="007F6E9D"/>
    <w:rsid w:val="007F6EA5"/>
    <w:rsid w:val="007F6ED9"/>
    <w:rsid w:val="007F6F5C"/>
    <w:rsid w:val="007F7037"/>
    <w:rsid w:val="007F709A"/>
    <w:rsid w:val="007F71E5"/>
    <w:rsid w:val="007F72B5"/>
    <w:rsid w:val="007F737C"/>
    <w:rsid w:val="007F737E"/>
    <w:rsid w:val="007F73FF"/>
    <w:rsid w:val="007F7442"/>
    <w:rsid w:val="007F7493"/>
    <w:rsid w:val="007F74DB"/>
    <w:rsid w:val="007F75DE"/>
    <w:rsid w:val="007F763F"/>
    <w:rsid w:val="007F7687"/>
    <w:rsid w:val="007F77CD"/>
    <w:rsid w:val="007F77D6"/>
    <w:rsid w:val="007F7989"/>
    <w:rsid w:val="007F79F6"/>
    <w:rsid w:val="007F7A85"/>
    <w:rsid w:val="007F7ACF"/>
    <w:rsid w:val="007F7C26"/>
    <w:rsid w:val="007F7CB1"/>
    <w:rsid w:val="007F7D16"/>
    <w:rsid w:val="007F7D1E"/>
    <w:rsid w:val="007F7E66"/>
    <w:rsid w:val="008001C5"/>
    <w:rsid w:val="0080020C"/>
    <w:rsid w:val="0080038A"/>
    <w:rsid w:val="0080041A"/>
    <w:rsid w:val="00800432"/>
    <w:rsid w:val="008004FB"/>
    <w:rsid w:val="00800579"/>
    <w:rsid w:val="00800994"/>
    <w:rsid w:val="00800AFD"/>
    <w:rsid w:val="00800C2C"/>
    <w:rsid w:val="00800C7D"/>
    <w:rsid w:val="0080108C"/>
    <w:rsid w:val="0080110B"/>
    <w:rsid w:val="008013DA"/>
    <w:rsid w:val="008013E7"/>
    <w:rsid w:val="00801476"/>
    <w:rsid w:val="00801547"/>
    <w:rsid w:val="00801731"/>
    <w:rsid w:val="00801BE4"/>
    <w:rsid w:val="00801C26"/>
    <w:rsid w:val="00801E99"/>
    <w:rsid w:val="00801EAD"/>
    <w:rsid w:val="00801EEC"/>
    <w:rsid w:val="00801F28"/>
    <w:rsid w:val="00802088"/>
    <w:rsid w:val="0080221B"/>
    <w:rsid w:val="008022A0"/>
    <w:rsid w:val="008022B0"/>
    <w:rsid w:val="008022B4"/>
    <w:rsid w:val="0080240F"/>
    <w:rsid w:val="008025AC"/>
    <w:rsid w:val="0080278F"/>
    <w:rsid w:val="0080280C"/>
    <w:rsid w:val="00802896"/>
    <w:rsid w:val="00802BC7"/>
    <w:rsid w:val="00802C47"/>
    <w:rsid w:val="00802FFD"/>
    <w:rsid w:val="008030BC"/>
    <w:rsid w:val="0080312C"/>
    <w:rsid w:val="008031E9"/>
    <w:rsid w:val="0080330B"/>
    <w:rsid w:val="008033F3"/>
    <w:rsid w:val="00803488"/>
    <w:rsid w:val="008034CB"/>
    <w:rsid w:val="0080375A"/>
    <w:rsid w:val="00803B9C"/>
    <w:rsid w:val="00803CC6"/>
    <w:rsid w:val="00803FC6"/>
    <w:rsid w:val="008040DC"/>
    <w:rsid w:val="008042E7"/>
    <w:rsid w:val="0080437B"/>
    <w:rsid w:val="008044C5"/>
    <w:rsid w:val="008044D4"/>
    <w:rsid w:val="0080453B"/>
    <w:rsid w:val="008048EC"/>
    <w:rsid w:val="00804938"/>
    <w:rsid w:val="00804B96"/>
    <w:rsid w:val="00804D0B"/>
    <w:rsid w:val="00804E92"/>
    <w:rsid w:val="00805000"/>
    <w:rsid w:val="00805024"/>
    <w:rsid w:val="00805085"/>
    <w:rsid w:val="008050EE"/>
    <w:rsid w:val="0080519B"/>
    <w:rsid w:val="00805349"/>
    <w:rsid w:val="0080535C"/>
    <w:rsid w:val="00805472"/>
    <w:rsid w:val="008054C0"/>
    <w:rsid w:val="008054E0"/>
    <w:rsid w:val="0080553E"/>
    <w:rsid w:val="00805869"/>
    <w:rsid w:val="00805979"/>
    <w:rsid w:val="00805B06"/>
    <w:rsid w:val="00805F04"/>
    <w:rsid w:val="0080608D"/>
    <w:rsid w:val="008060C7"/>
    <w:rsid w:val="0080612A"/>
    <w:rsid w:val="00806229"/>
    <w:rsid w:val="008062E0"/>
    <w:rsid w:val="008062F7"/>
    <w:rsid w:val="00806419"/>
    <w:rsid w:val="00806432"/>
    <w:rsid w:val="008064A9"/>
    <w:rsid w:val="008064B2"/>
    <w:rsid w:val="00806690"/>
    <w:rsid w:val="008066DC"/>
    <w:rsid w:val="00806791"/>
    <w:rsid w:val="008067D9"/>
    <w:rsid w:val="00806963"/>
    <w:rsid w:val="00806B21"/>
    <w:rsid w:val="00806F13"/>
    <w:rsid w:val="00806F20"/>
    <w:rsid w:val="008071B5"/>
    <w:rsid w:val="008071D5"/>
    <w:rsid w:val="0080729C"/>
    <w:rsid w:val="008072BE"/>
    <w:rsid w:val="00807464"/>
    <w:rsid w:val="008074C0"/>
    <w:rsid w:val="0080751E"/>
    <w:rsid w:val="0080753B"/>
    <w:rsid w:val="008077C1"/>
    <w:rsid w:val="008078BC"/>
    <w:rsid w:val="00807A27"/>
    <w:rsid w:val="00807C36"/>
    <w:rsid w:val="00807C37"/>
    <w:rsid w:val="00807C8D"/>
    <w:rsid w:val="00807EAD"/>
    <w:rsid w:val="00807EBB"/>
    <w:rsid w:val="008100BA"/>
    <w:rsid w:val="00810166"/>
    <w:rsid w:val="00810381"/>
    <w:rsid w:val="0081047C"/>
    <w:rsid w:val="00810572"/>
    <w:rsid w:val="00810891"/>
    <w:rsid w:val="008108BB"/>
    <w:rsid w:val="00810A0C"/>
    <w:rsid w:val="00810BB7"/>
    <w:rsid w:val="00810C03"/>
    <w:rsid w:val="00810C39"/>
    <w:rsid w:val="00810D43"/>
    <w:rsid w:val="0081124D"/>
    <w:rsid w:val="008112DA"/>
    <w:rsid w:val="00811570"/>
    <w:rsid w:val="00811607"/>
    <w:rsid w:val="00811707"/>
    <w:rsid w:val="0081174C"/>
    <w:rsid w:val="0081174D"/>
    <w:rsid w:val="00811778"/>
    <w:rsid w:val="00811BCC"/>
    <w:rsid w:val="00811BD7"/>
    <w:rsid w:val="00811C7C"/>
    <w:rsid w:val="00811D00"/>
    <w:rsid w:val="00811E1B"/>
    <w:rsid w:val="00811EA2"/>
    <w:rsid w:val="00811EBA"/>
    <w:rsid w:val="00811F7C"/>
    <w:rsid w:val="008121FC"/>
    <w:rsid w:val="00812478"/>
    <w:rsid w:val="0081247D"/>
    <w:rsid w:val="00812496"/>
    <w:rsid w:val="00812576"/>
    <w:rsid w:val="0081259B"/>
    <w:rsid w:val="00812691"/>
    <w:rsid w:val="00812875"/>
    <w:rsid w:val="0081299E"/>
    <w:rsid w:val="00812A59"/>
    <w:rsid w:val="00812AEB"/>
    <w:rsid w:val="00812B39"/>
    <w:rsid w:val="00812BA4"/>
    <w:rsid w:val="00812BB4"/>
    <w:rsid w:val="00812BD0"/>
    <w:rsid w:val="00812C25"/>
    <w:rsid w:val="00812D81"/>
    <w:rsid w:val="00812E33"/>
    <w:rsid w:val="00812ED1"/>
    <w:rsid w:val="008132F8"/>
    <w:rsid w:val="0081336E"/>
    <w:rsid w:val="00813458"/>
    <w:rsid w:val="00813490"/>
    <w:rsid w:val="00813551"/>
    <w:rsid w:val="008135E4"/>
    <w:rsid w:val="008138F7"/>
    <w:rsid w:val="00813968"/>
    <w:rsid w:val="008139C5"/>
    <w:rsid w:val="00813A92"/>
    <w:rsid w:val="00813C1D"/>
    <w:rsid w:val="00813CC2"/>
    <w:rsid w:val="00813DCD"/>
    <w:rsid w:val="00813DD5"/>
    <w:rsid w:val="0081401F"/>
    <w:rsid w:val="008140A3"/>
    <w:rsid w:val="00814296"/>
    <w:rsid w:val="008142F5"/>
    <w:rsid w:val="00814336"/>
    <w:rsid w:val="00814363"/>
    <w:rsid w:val="00814465"/>
    <w:rsid w:val="008144F0"/>
    <w:rsid w:val="008147C6"/>
    <w:rsid w:val="008148E6"/>
    <w:rsid w:val="00814952"/>
    <w:rsid w:val="008149AB"/>
    <w:rsid w:val="008149BB"/>
    <w:rsid w:val="008149E2"/>
    <w:rsid w:val="00814ABE"/>
    <w:rsid w:val="00814E74"/>
    <w:rsid w:val="00814F2D"/>
    <w:rsid w:val="00815083"/>
    <w:rsid w:val="0081513A"/>
    <w:rsid w:val="0081533F"/>
    <w:rsid w:val="008153F5"/>
    <w:rsid w:val="0081554B"/>
    <w:rsid w:val="00815696"/>
    <w:rsid w:val="0081578B"/>
    <w:rsid w:val="00815BB8"/>
    <w:rsid w:val="00815C2E"/>
    <w:rsid w:val="00815D73"/>
    <w:rsid w:val="00815E32"/>
    <w:rsid w:val="00815F01"/>
    <w:rsid w:val="008160B9"/>
    <w:rsid w:val="00816300"/>
    <w:rsid w:val="00816343"/>
    <w:rsid w:val="0081641A"/>
    <w:rsid w:val="0081658E"/>
    <w:rsid w:val="0081669E"/>
    <w:rsid w:val="0081681A"/>
    <w:rsid w:val="00816968"/>
    <w:rsid w:val="00816A06"/>
    <w:rsid w:val="00816A84"/>
    <w:rsid w:val="00816BC4"/>
    <w:rsid w:val="00816C34"/>
    <w:rsid w:val="00816C85"/>
    <w:rsid w:val="00816DB7"/>
    <w:rsid w:val="0081704F"/>
    <w:rsid w:val="00817300"/>
    <w:rsid w:val="00817427"/>
    <w:rsid w:val="008174D7"/>
    <w:rsid w:val="0081755E"/>
    <w:rsid w:val="008176F3"/>
    <w:rsid w:val="00817713"/>
    <w:rsid w:val="0081784A"/>
    <w:rsid w:val="00817943"/>
    <w:rsid w:val="00817D61"/>
    <w:rsid w:val="00817F7E"/>
    <w:rsid w:val="00820185"/>
    <w:rsid w:val="00820258"/>
    <w:rsid w:val="008204F4"/>
    <w:rsid w:val="00820584"/>
    <w:rsid w:val="00820608"/>
    <w:rsid w:val="00820794"/>
    <w:rsid w:val="008207AA"/>
    <w:rsid w:val="008209B1"/>
    <w:rsid w:val="00820A49"/>
    <w:rsid w:val="00820B1F"/>
    <w:rsid w:val="00820B29"/>
    <w:rsid w:val="00820B2D"/>
    <w:rsid w:val="00820C6E"/>
    <w:rsid w:val="00820D42"/>
    <w:rsid w:val="00820F48"/>
    <w:rsid w:val="00820F51"/>
    <w:rsid w:val="00820FAE"/>
    <w:rsid w:val="0082104F"/>
    <w:rsid w:val="008210EA"/>
    <w:rsid w:val="0082116D"/>
    <w:rsid w:val="0082117C"/>
    <w:rsid w:val="00821350"/>
    <w:rsid w:val="0082138C"/>
    <w:rsid w:val="00821663"/>
    <w:rsid w:val="008216B6"/>
    <w:rsid w:val="00821841"/>
    <w:rsid w:val="008218E6"/>
    <w:rsid w:val="008219EF"/>
    <w:rsid w:val="00821D20"/>
    <w:rsid w:val="00821D68"/>
    <w:rsid w:val="00821EA3"/>
    <w:rsid w:val="00821F29"/>
    <w:rsid w:val="00821F37"/>
    <w:rsid w:val="00821FC0"/>
    <w:rsid w:val="00822051"/>
    <w:rsid w:val="00822073"/>
    <w:rsid w:val="00822105"/>
    <w:rsid w:val="008221E2"/>
    <w:rsid w:val="00822228"/>
    <w:rsid w:val="00822295"/>
    <w:rsid w:val="008222AA"/>
    <w:rsid w:val="008222BD"/>
    <w:rsid w:val="008225E1"/>
    <w:rsid w:val="00822614"/>
    <w:rsid w:val="008226D1"/>
    <w:rsid w:val="00822756"/>
    <w:rsid w:val="008229A0"/>
    <w:rsid w:val="00822C69"/>
    <w:rsid w:val="00822CEA"/>
    <w:rsid w:val="00822D57"/>
    <w:rsid w:val="00822DCE"/>
    <w:rsid w:val="00822F09"/>
    <w:rsid w:val="00822F23"/>
    <w:rsid w:val="008230A7"/>
    <w:rsid w:val="008231AD"/>
    <w:rsid w:val="00823288"/>
    <w:rsid w:val="00823320"/>
    <w:rsid w:val="008233A4"/>
    <w:rsid w:val="008236E8"/>
    <w:rsid w:val="008238DA"/>
    <w:rsid w:val="00823AD3"/>
    <w:rsid w:val="00823B2F"/>
    <w:rsid w:val="00823B36"/>
    <w:rsid w:val="00823C08"/>
    <w:rsid w:val="00823DE4"/>
    <w:rsid w:val="00823E73"/>
    <w:rsid w:val="00823F2A"/>
    <w:rsid w:val="00824038"/>
    <w:rsid w:val="0082415B"/>
    <w:rsid w:val="00824351"/>
    <w:rsid w:val="008243D4"/>
    <w:rsid w:val="008243FF"/>
    <w:rsid w:val="0082456F"/>
    <w:rsid w:val="00824678"/>
    <w:rsid w:val="0082467F"/>
    <w:rsid w:val="0082476A"/>
    <w:rsid w:val="008247AE"/>
    <w:rsid w:val="00824BA3"/>
    <w:rsid w:val="00824BE3"/>
    <w:rsid w:val="00824D10"/>
    <w:rsid w:val="00824D6C"/>
    <w:rsid w:val="00824E56"/>
    <w:rsid w:val="00824F8B"/>
    <w:rsid w:val="00824FAA"/>
    <w:rsid w:val="008252E5"/>
    <w:rsid w:val="008253A1"/>
    <w:rsid w:val="00825564"/>
    <w:rsid w:val="008255C8"/>
    <w:rsid w:val="0082566E"/>
    <w:rsid w:val="00825812"/>
    <w:rsid w:val="00825815"/>
    <w:rsid w:val="0082583C"/>
    <w:rsid w:val="00825873"/>
    <w:rsid w:val="00825912"/>
    <w:rsid w:val="0082598A"/>
    <w:rsid w:val="00825B39"/>
    <w:rsid w:val="00825B85"/>
    <w:rsid w:val="00825C95"/>
    <w:rsid w:val="00825D38"/>
    <w:rsid w:val="00825E3B"/>
    <w:rsid w:val="00825EA5"/>
    <w:rsid w:val="00826018"/>
    <w:rsid w:val="008260D8"/>
    <w:rsid w:val="008260DC"/>
    <w:rsid w:val="00826741"/>
    <w:rsid w:val="0082676D"/>
    <w:rsid w:val="00826929"/>
    <w:rsid w:val="00826AA7"/>
    <w:rsid w:val="00826D03"/>
    <w:rsid w:val="00826E33"/>
    <w:rsid w:val="00826F2A"/>
    <w:rsid w:val="00826F86"/>
    <w:rsid w:val="00826FC8"/>
    <w:rsid w:val="00827150"/>
    <w:rsid w:val="008273D7"/>
    <w:rsid w:val="0082755E"/>
    <w:rsid w:val="008276AF"/>
    <w:rsid w:val="00827994"/>
    <w:rsid w:val="008279B5"/>
    <w:rsid w:val="008279ED"/>
    <w:rsid w:val="00827B36"/>
    <w:rsid w:val="00827D33"/>
    <w:rsid w:val="00827D35"/>
    <w:rsid w:val="00830329"/>
    <w:rsid w:val="00830370"/>
    <w:rsid w:val="008303FE"/>
    <w:rsid w:val="00830402"/>
    <w:rsid w:val="00830561"/>
    <w:rsid w:val="008305AE"/>
    <w:rsid w:val="00830690"/>
    <w:rsid w:val="00830A9E"/>
    <w:rsid w:val="00830A9F"/>
    <w:rsid w:val="00830C10"/>
    <w:rsid w:val="00830D1E"/>
    <w:rsid w:val="0083138D"/>
    <w:rsid w:val="008313A7"/>
    <w:rsid w:val="0083168B"/>
    <w:rsid w:val="008318C7"/>
    <w:rsid w:val="00831A7B"/>
    <w:rsid w:val="00831AC0"/>
    <w:rsid w:val="00831D8D"/>
    <w:rsid w:val="00831DD3"/>
    <w:rsid w:val="00831F83"/>
    <w:rsid w:val="0083205F"/>
    <w:rsid w:val="008320B0"/>
    <w:rsid w:val="00832194"/>
    <w:rsid w:val="00832295"/>
    <w:rsid w:val="008322E9"/>
    <w:rsid w:val="0083235B"/>
    <w:rsid w:val="0083236E"/>
    <w:rsid w:val="00832453"/>
    <w:rsid w:val="00832558"/>
    <w:rsid w:val="0083266E"/>
    <w:rsid w:val="0083272B"/>
    <w:rsid w:val="00832842"/>
    <w:rsid w:val="0083290A"/>
    <w:rsid w:val="00832975"/>
    <w:rsid w:val="00832A02"/>
    <w:rsid w:val="00832EBD"/>
    <w:rsid w:val="00832F01"/>
    <w:rsid w:val="00832F83"/>
    <w:rsid w:val="0083308D"/>
    <w:rsid w:val="0083316A"/>
    <w:rsid w:val="008331D7"/>
    <w:rsid w:val="00833280"/>
    <w:rsid w:val="0083342C"/>
    <w:rsid w:val="00833587"/>
    <w:rsid w:val="0083363F"/>
    <w:rsid w:val="00833660"/>
    <w:rsid w:val="00833665"/>
    <w:rsid w:val="008336AF"/>
    <w:rsid w:val="00833807"/>
    <w:rsid w:val="0083382B"/>
    <w:rsid w:val="00833847"/>
    <w:rsid w:val="0083397D"/>
    <w:rsid w:val="00833B66"/>
    <w:rsid w:val="00833C92"/>
    <w:rsid w:val="0083402B"/>
    <w:rsid w:val="00834060"/>
    <w:rsid w:val="00834312"/>
    <w:rsid w:val="00834321"/>
    <w:rsid w:val="0083444F"/>
    <w:rsid w:val="0083454A"/>
    <w:rsid w:val="008346E0"/>
    <w:rsid w:val="00834713"/>
    <w:rsid w:val="0083483B"/>
    <w:rsid w:val="00834925"/>
    <w:rsid w:val="008349E2"/>
    <w:rsid w:val="00834C4D"/>
    <w:rsid w:val="00834D15"/>
    <w:rsid w:val="00834DEC"/>
    <w:rsid w:val="00834E97"/>
    <w:rsid w:val="00834EAA"/>
    <w:rsid w:val="00834F4A"/>
    <w:rsid w:val="0083547A"/>
    <w:rsid w:val="00835551"/>
    <w:rsid w:val="0083556E"/>
    <w:rsid w:val="00835586"/>
    <w:rsid w:val="008356CC"/>
    <w:rsid w:val="00835811"/>
    <w:rsid w:val="00835854"/>
    <w:rsid w:val="00835B15"/>
    <w:rsid w:val="00835BD6"/>
    <w:rsid w:val="00835E5C"/>
    <w:rsid w:val="00835EF8"/>
    <w:rsid w:val="00836073"/>
    <w:rsid w:val="0083608D"/>
    <w:rsid w:val="008361D3"/>
    <w:rsid w:val="00836281"/>
    <w:rsid w:val="00836344"/>
    <w:rsid w:val="00836390"/>
    <w:rsid w:val="008363D8"/>
    <w:rsid w:val="0083648F"/>
    <w:rsid w:val="008364F8"/>
    <w:rsid w:val="00836510"/>
    <w:rsid w:val="0083652A"/>
    <w:rsid w:val="00836938"/>
    <w:rsid w:val="00836DC3"/>
    <w:rsid w:val="00836E6C"/>
    <w:rsid w:val="00837066"/>
    <w:rsid w:val="008370DE"/>
    <w:rsid w:val="00837143"/>
    <w:rsid w:val="008372CB"/>
    <w:rsid w:val="00837392"/>
    <w:rsid w:val="008373E7"/>
    <w:rsid w:val="0083745A"/>
    <w:rsid w:val="0083756B"/>
    <w:rsid w:val="0083769C"/>
    <w:rsid w:val="008376C6"/>
    <w:rsid w:val="008377C4"/>
    <w:rsid w:val="00837805"/>
    <w:rsid w:val="0083786C"/>
    <w:rsid w:val="0083799C"/>
    <w:rsid w:val="00837BE9"/>
    <w:rsid w:val="00837EBC"/>
    <w:rsid w:val="00837F44"/>
    <w:rsid w:val="00837FB1"/>
    <w:rsid w:val="0084008C"/>
    <w:rsid w:val="0084033F"/>
    <w:rsid w:val="00840486"/>
    <w:rsid w:val="00840694"/>
    <w:rsid w:val="008407C2"/>
    <w:rsid w:val="00840989"/>
    <w:rsid w:val="008409B6"/>
    <w:rsid w:val="00840ECE"/>
    <w:rsid w:val="00840F2E"/>
    <w:rsid w:val="00841032"/>
    <w:rsid w:val="008410D7"/>
    <w:rsid w:val="008411C5"/>
    <w:rsid w:val="00841208"/>
    <w:rsid w:val="0084120B"/>
    <w:rsid w:val="0084127E"/>
    <w:rsid w:val="00841371"/>
    <w:rsid w:val="00841382"/>
    <w:rsid w:val="0084139F"/>
    <w:rsid w:val="00841542"/>
    <w:rsid w:val="008415C0"/>
    <w:rsid w:val="008418F6"/>
    <w:rsid w:val="00841930"/>
    <w:rsid w:val="0084197D"/>
    <w:rsid w:val="008419AA"/>
    <w:rsid w:val="00841CC8"/>
    <w:rsid w:val="008421EE"/>
    <w:rsid w:val="008421F7"/>
    <w:rsid w:val="0084228D"/>
    <w:rsid w:val="00842298"/>
    <w:rsid w:val="008422EE"/>
    <w:rsid w:val="00842334"/>
    <w:rsid w:val="008425FF"/>
    <w:rsid w:val="0084272E"/>
    <w:rsid w:val="00842794"/>
    <w:rsid w:val="00842801"/>
    <w:rsid w:val="00842921"/>
    <w:rsid w:val="00842936"/>
    <w:rsid w:val="00842BA6"/>
    <w:rsid w:val="00842C1E"/>
    <w:rsid w:val="00842C4F"/>
    <w:rsid w:val="00842C7C"/>
    <w:rsid w:val="00842EEC"/>
    <w:rsid w:val="00843028"/>
    <w:rsid w:val="008431DD"/>
    <w:rsid w:val="00843294"/>
    <w:rsid w:val="008432B7"/>
    <w:rsid w:val="008432F2"/>
    <w:rsid w:val="00843372"/>
    <w:rsid w:val="008433E7"/>
    <w:rsid w:val="0084359D"/>
    <w:rsid w:val="0084360E"/>
    <w:rsid w:val="0084365B"/>
    <w:rsid w:val="00843686"/>
    <w:rsid w:val="0084377F"/>
    <w:rsid w:val="00843801"/>
    <w:rsid w:val="0084387C"/>
    <w:rsid w:val="008439C7"/>
    <w:rsid w:val="00843CB6"/>
    <w:rsid w:val="00843DDD"/>
    <w:rsid w:val="00843E3F"/>
    <w:rsid w:val="00843E9C"/>
    <w:rsid w:val="00843F24"/>
    <w:rsid w:val="00843F8F"/>
    <w:rsid w:val="008440E0"/>
    <w:rsid w:val="008441BD"/>
    <w:rsid w:val="00844354"/>
    <w:rsid w:val="008446AB"/>
    <w:rsid w:val="008446F2"/>
    <w:rsid w:val="0084471E"/>
    <w:rsid w:val="0084493F"/>
    <w:rsid w:val="00844B7F"/>
    <w:rsid w:val="00844BC8"/>
    <w:rsid w:val="00845025"/>
    <w:rsid w:val="00845067"/>
    <w:rsid w:val="008450C6"/>
    <w:rsid w:val="00845220"/>
    <w:rsid w:val="008452E5"/>
    <w:rsid w:val="00845365"/>
    <w:rsid w:val="0084555E"/>
    <w:rsid w:val="0084559F"/>
    <w:rsid w:val="00845604"/>
    <w:rsid w:val="0084574C"/>
    <w:rsid w:val="00845770"/>
    <w:rsid w:val="00845841"/>
    <w:rsid w:val="008459A3"/>
    <w:rsid w:val="00845B12"/>
    <w:rsid w:val="00845B2D"/>
    <w:rsid w:val="00845D5C"/>
    <w:rsid w:val="00845D88"/>
    <w:rsid w:val="00845DBF"/>
    <w:rsid w:val="00845DEE"/>
    <w:rsid w:val="00845FE6"/>
    <w:rsid w:val="00846010"/>
    <w:rsid w:val="008461B9"/>
    <w:rsid w:val="008461FA"/>
    <w:rsid w:val="00846359"/>
    <w:rsid w:val="0084642D"/>
    <w:rsid w:val="0084645B"/>
    <w:rsid w:val="00846484"/>
    <w:rsid w:val="0084650D"/>
    <w:rsid w:val="00846514"/>
    <w:rsid w:val="008467E6"/>
    <w:rsid w:val="0084681F"/>
    <w:rsid w:val="00846844"/>
    <w:rsid w:val="00846950"/>
    <w:rsid w:val="00846A15"/>
    <w:rsid w:val="00846A25"/>
    <w:rsid w:val="00846AD6"/>
    <w:rsid w:val="00846C5F"/>
    <w:rsid w:val="00846E02"/>
    <w:rsid w:val="00846FBA"/>
    <w:rsid w:val="00847019"/>
    <w:rsid w:val="0084729D"/>
    <w:rsid w:val="00847531"/>
    <w:rsid w:val="0084777B"/>
    <w:rsid w:val="00847798"/>
    <w:rsid w:val="00847C12"/>
    <w:rsid w:val="00847C3F"/>
    <w:rsid w:val="00847CFB"/>
    <w:rsid w:val="00847D47"/>
    <w:rsid w:val="0085006B"/>
    <w:rsid w:val="00850140"/>
    <w:rsid w:val="0085017A"/>
    <w:rsid w:val="008502FC"/>
    <w:rsid w:val="00850375"/>
    <w:rsid w:val="0085038F"/>
    <w:rsid w:val="0085040B"/>
    <w:rsid w:val="00850412"/>
    <w:rsid w:val="0085042C"/>
    <w:rsid w:val="00850566"/>
    <w:rsid w:val="00850713"/>
    <w:rsid w:val="008507C3"/>
    <w:rsid w:val="0085088C"/>
    <w:rsid w:val="00850C7B"/>
    <w:rsid w:val="00850CFE"/>
    <w:rsid w:val="00850D66"/>
    <w:rsid w:val="00850DD2"/>
    <w:rsid w:val="00850E84"/>
    <w:rsid w:val="00850EE6"/>
    <w:rsid w:val="00851112"/>
    <w:rsid w:val="00851230"/>
    <w:rsid w:val="008514A3"/>
    <w:rsid w:val="0085165B"/>
    <w:rsid w:val="008516A6"/>
    <w:rsid w:val="008516BE"/>
    <w:rsid w:val="00851790"/>
    <w:rsid w:val="00851875"/>
    <w:rsid w:val="00851A3A"/>
    <w:rsid w:val="00851AA9"/>
    <w:rsid w:val="00851B8D"/>
    <w:rsid w:val="00851BA9"/>
    <w:rsid w:val="00851C1A"/>
    <w:rsid w:val="00851D83"/>
    <w:rsid w:val="00851DC7"/>
    <w:rsid w:val="00851E41"/>
    <w:rsid w:val="0085230E"/>
    <w:rsid w:val="0085247E"/>
    <w:rsid w:val="008524DE"/>
    <w:rsid w:val="00852525"/>
    <w:rsid w:val="00852539"/>
    <w:rsid w:val="00852589"/>
    <w:rsid w:val="008525C1"/>
    <w:rsid w:val="0085280B"/>
    <w:rsid w:val="00852908"/>
    <w:rsid w:val="008529A7"/>
    <w:rsid w:val="00852AE1"/>
    <w:rsid w:val="00852D68"/>
    <w:rsid w:val="00852DF1"/>
    <w:rsid w:val="00852F50"/>
    <w:rsid w:val="00852FC7"/>
    <w:rsid w:val="00853045"/>
    <w:rsid w:val="008530CF"/>
    <w:rsid w:val="0085326B"/>
    <w:rsid w:val="008532D3"/>
    <w:rsid w:val="00853471"/>
    <w:rsid w:val="0085359E"/>
    <w:rsid w:val="00853686"/>
    <w:rsid w:val="00853728"/>
    <w:rsid w:val="00853800"/>
    <w:rsid w:val="008538CD"/>
    <w:rsid w:val="008538FB"/>
    <w:rsid w:val="00853F2D"/>
    <w:rsid w:val="008540C3"/>
    <w:rsid w:val="00854155"/>
    <w:rsid w:val="00854217"/>
    <w:rsid w:val="0085422B"/>
    <w:rsid w:val="0085437C"/>
    <w:rsid w:val="00854728"/>
    <w:rsid w:val="0085481E"/>
    <w:rsid w:val="00854940"/>
    <w:rsid w:val="00854A6B"/>
    <w:rsid w:val="00854C47"/>
    <w:rsid w:val="00854C53"/>
    <w:rsid w:val="00854C98"/>
    <w:rsid w:val="00854D35"/>
    <w:rsid w:val="00854DA8"/>
    <w:rsid w:val="00854DC4"/>
    <w:rsid w:val="00854DC6"/>
    <w:rsid w:val="00854FBD"/>
    <w:rsid w:val="00855018"/>
    <w:rsid w:val="008551A7"/>
    <w:rsid w:val="0085524E"/>
    <w:rsid w:val="0085526D"/>
    <w:rsid w:val="00855454"/>
    <w:rsid w:val="008554AD"/>
    <w:rsid w:val="008554FB"/>
    <w:rsid w:val="00855680"/>
    <w:rsid w:val="008556FC"/>
    <w:rsid w:val="008558B4"/>
    <w:rsid w:val="0085593B"/>
    <w:rsid w:val="008559A0"/>
    <w:rsid w:val="008559B1"/>
    <w:rsid w:val="00855B27"/>
    <w:rsid w:val="00855EE2"/>
    <w:rsid w:val="00855FBF"/>
    <w:rsid w:val="00856056"/>
    <w:rsid w:val="00856070"/>
    <w:rsid w:val="008560A9"/>
    <w:rsid w:val="00856787"/>
    <w:rsid w:val="0085685C"/>
    <w:rsid w:val="00856881"/>
    <w:rsid w:val="0085689C"/>
    <w:rsid w:val="008568EC"/>
    <w:rsid w:val="0085696E"/>
    <w:rsid w:val="00856A19"/>
    <w:rsid w:val="00856AB2"/>
    <w:rsid w:val="00856B2E"/>
    <w:rsid w:val="00856BF6"/>
    <w:rsid w:val="00856C07"/>
    <w:rsid w:val="00856D32"/>
    <w:rsid w:val="00856E66"/>
    <w:rsid w:val="00857027"/>
    <w:rsid w:val="00857087"/>
    <w:rsid w:val="00857093"/>
    <w:rsid w:val="008571B1"/>
    <w:rsid w:val="008575FE"/>
    <w:rsid w:val="008576CA"/>
    <w:rsid w:val="008577DE"/>
    <w:rsid w:val="00857C22"/>
    <w:rsid w:val="00857C3E"/>
    <w:rsid w:val="00857CD5"/>
    <w:rsid w:val="00857D0A"/>
    <w:rsid w:val="00857DDE"/>
    <w:rsid w:val="00857E09"/>
    <w:rsid w:val="00857EBA"/>
    <w:rsid w:val="00857F17"/>
    <w:rsid w:val="00857F24"/>
    <w:rsid w:val="00860070"/>
    <w:rsid w:val="0086017C"/>
    <w:rsid w:val="008603EB"/>
    <w:rsid w:val="008605F9"/>
    <w:rsid w:val="0086074A"/>
    <w:rsid w:val="008607E6"/>
    <w:rsid w:val="00860804"/>
    <w:rsid w:val="008608CF"/>
    <w:rsid w:val="0086091B"/>
    <w:rsid w:val="00860A66"/>
    <w:rsid w:val="00860AE9"/>
    <w:rsid w:val="00860BA8"/>
    <w:rsid w:val="00860C49"/>
    <w:rsid w:val="00860FB8"/>
    <w:rsid w:val="008610D2"/>
    <w:rsid w:val="008611DC"/>
    <w:rsid w:val="008613A1"/>
    <w:rsid w:val="00861564"/>
    <w:rsid w:val="008615BE"/>
    <w:rsid w:val="008618C8"/>
    <w:rsid w:val="00861990"/>
    <w:rsid w:val="008619BB"/>
    <w:rsid w:val="00861A84"/>
    <w:rsid w:val="00861BD4"/>
    <w:rsid w:val="00861CF4"/>
    <w:rsid w:val="00861D08"/>
    <w:rsid w:val="00862084"/>
    <w:rsid w:val="0086213C"/>
    <w:rsid w:val="00862224"/>
    <w:rsid w:val="00862313"/>
    <w:rsid w:val="008625E1"/>
    <w:rsid w:val="00862923"/>
    <w:rsid w:val="00862A0F"/>
    <w:rsid w:val="00862B80"/>
    <w:rsid w:val="00862C13"/>
    <w:rsid w:val="00862C92"/>
    <w:rsid w:val="00862D1C"/>
    <w:rsid w:val="00862D96"/>
    <w:rsid w:val="00862F3E"/>
    <w:rsid w:val="00862F98"/>
    <w:rsid w:val="00863123"/>
    <w:rsid w:val="0086313F"/>
    <w:rsid w:val="00863219"/>
    <w:rsid w:val="00863364"/>
    <w:rsid w:val="008634C9"/>
    <w:rsid w:val="008634CA"/>
    <w:rsid w:val="0086357E"/>
    <w:rsid w:val="0086380A"/>
    <w:rsid w:val="00863A11"/>
    <w:rsid w:val="00863A48"/>
    <w:rsid w:val="00863E26"/>
    <w:rsid w:val="00863F1D"/>
    <w:rsid w:val="0086404F"/>
    <w:rsid w:val="008640C2"/>
    <w:rsid w:val="00864351"/>
    <w:rsid w:val="008644D9"/>
    <w:rsid w:val="00864503"/>
    <w:rsid w:val="008645C0"/>
    <w:rsid w:val="0086460A"/>
    <w:rsid w:val="00864653"/>
    <w:rsid w:val="0086471F"/>
    <w:rsid w:val="008647B7"/>
    <w:rsid w:val="00864942"/>
    <w:rsid w:val="00864A37"/>
    <w:rsid w:val="00864AC6"/>
    <w:rsid w:val="00864AE5"/>
    <w:rsid w:val="00864B26"/>
    <w:rsid w:val="00864BFC"/>
    <w:rsid w:val="00864C38"/>
    <w:rsid w:val="00864C5F"/>
    <w:rsid w:val="00864F4E"/>
    <w:rsid w:val="008650AA"/>
    <w:rsid w:val="00865235"/>
    <w:rsid w:val="00865291"/>
    <w:rsid w:val="008653D2"/>
    <w:rsid w:val="00865533"/>
    <w:rsid w:val="008655CB"/>
    <w:rsid w:val="008656F7"/>
    <w:rsid w:val="0086584B"/>
    <w:rsid w:val="00865970"/>
    <w:rsid w:val="00865A70"/>
    <w:rsid w:val="00865ECF"/>
    <w:rsid w:val="00866000"/>
    <w:rsid w:val="00866081"/>
    <w:rsid w:val="00866575"/>
    <w:rsid w:val="008665AB"/>
    <w:rsid w:val="00866706"/>
    <w:rsid w:val="00866769"/>
    <w:rsid w:val="008667AD"/>
    <w:rsid w:val="00866882"/>
    <w:rsid w:val="00866931"/>
    <w:rsid w:val="00866979"/>
    <w:rsid w:val="00866A9A"/>
    <w:rsid w:val="00866E58"/>
    <w:rsid w:val="00866EB2"/>
    <w:rsid w:val="00866F74"/>
    <w:rsid w:val="00867081"/>
    <w:rsid w:val="00867168"/>
    <w:rsid w:val="0086731D"/>
    <w:rsid w:val="008673C1"/>
    <w:rsid w:val="00867408"/>
    <w:rsid w:val="00867456"/>
    <w:rsid w:val="0086751F"/>
    <w:rsid w:val="008675E5"/>
    <w:rsid w:val="008675F0"/>
    <w:rsid w:val="008676E3"/>
    <w:rsid w:val="00867757"/>
    <w:rsid w:val="00867989"/>
    <w:rsid w:val="00867A63"/>
    <w:rsid w:val="00867B31"/>
    <w:rsid w:val="00867BB9"/>
    <w:rsid w:val="00867C00"/>
    <w:rsid w:val="00867D36"/>
    <w:rsid w:val="00867E31"/>
    <w:rsid w:val="00867FEE"/>
    <w:rsid w:val="008700B1"/>
    <w:rsid w:val="00870251"/>
    <w:rsid w:val="008702F5"/>
    <w:rsid w:val="00870747"/>
    <w:rsid w:val="0087077B"/>
    <w:rsid w:val="0087081C"/>
    <w:rsid w:val="0087084A"/>
    <w:rsid w:val="0087087C"/>
    <w:rsid w:val="00870941"/>
    <w:rsid w:val="00870A23"/>
    <w:rsid w:val="00870ABD"/>
    <w:rsid w:val="00870AC4"/>
    <w:rsid w:val="00870AE1"/>
    <w:rsid w:val="00870BB9"/>
    <w:rsid w:val="00870C39"/>
    <w:rsid w:val="00870C71"/>
    <w:rsid w:val="00870CF7"/>
    <w:rsid w:val="00870F4A"/>
    <w:rsid w:val="0087105B"/>
    <w:rsid w:val="008710BE"/>
    <w:rsid w:val="0087110E"/>
    <w:rsid w:val="008711A0"/>
    <w:rsid w:val="008711D5"/>
    <w:rsid w:val="00871264"/>
    <w:rsid w:val="00871405"/>
    <w:rsid w:val="0087177E"/>
    <w:rsid w:val="008718FD"/>
    <w:rsid w:val="00871C75"/>
    <w:rsid w:val="00871C96"/>
    <w:rsid w:val="00871D05"/>
    <w:rsid w:val="00871D48"/>
    <w:rsid w:val="00871D89"/>
    <w:rsid w:val="00871EF8"/>
    <w:rsid w:val="00871FD0"/>
    <w:rsid w:val="00871FE9"/>
    <w:rsid w:val="00872060"/>
    <w:rsid w:val="0087235D"/>
    <w:rsid w:val="0087246F"/>
    <w:rsid w:val="0087248D"/>
    <w:rsid w:val="00872651"/>
    <w:rsid w:val="008726C3"/>
    <w:rsid w:val="008726C6"/>
    <w:rsid w:val="008726DC"/>
    <w:rsid w:val="0087276B"/>
    <w:rsid w:val="00872816"/>
    <w:rsid w:val="00872D7F"/>
    <w:rsid w:val="00872DC6"/>
    <w:rsid w:val="00872F38"/>
    <w:rsid w:val="00872F8C"/>
    <w:rsid w:val="0087313A"/>
    <w:rsid w:val="00873167"/>
    <w:rsid w:val="0087316B"/>
    <w:rsid w:val="00873295"/>
    <w:rsid w:val="00873340"/>
    <w:rsid w:val="008733CA"/>
    <w:rsid w:val="008733D7"/>
    <w:rsid w:val="008736BB"/>
    <w:rsid w:val="00873805"/>
    <w:rsid w:val="00873932"/>
    <w:rsid w:val="008739B2"/>
    <w:rsid w:val="008739EB"/>
    <w:rsid w:val="00873AB2"/>
    <w:rsid w:val="00873B0B"/>
    <w:rsid w:val="00873E9C"/>
    <w:rsid w:val="00873F75"/>
    <w:rsid w:val="00873FB2"/>
    <w:rsid w:val="00873FB9"/>
    <w:rsid w:val="00874026"/>
    <w:rsid w:val="00874054"/>
    <w:rsid w:val="00874278"/>
    <w:rsid w:val="00874406"/>
    <w:rsid w:val="0087471F"/>
    <w:rsid w:val="00874740"/>
    <w:rsid w:val="0087497E"/>
    <w:rsid w:val="00874BF7"/>
    <w:rsid w:val="00874CC2"/>
    <w:rsid w:val="00874DA2"/>
    <w:rsid w:val="008750AB"/>
    <w:rsid w:val="00875112"/>
    <w:rsid w:val="008752BC"/>
    <w:rsid w:val="00875381"/>
    <w:rsid w:val="00875411"/>
    <w:rsid w:val="00875505"/>
    <w:rsid w:val="008756FA"/>
    <w:rsid w:val="00875749"/>
    <w:rsid w:val="0087589E"/>
    <w:rsid w:val="00875C07"/>
    <w:rsid w:val="00875EAE"/>
    <w:rsid w:val="0087635A"/>
    <w:rsid w:val="008764CF"/>
    <w:rsid w:val="00876598"/>
    <w:rsid w:val="00876643"/>
    <w:rsid w:val="00876799"/>
    <w:rsid w:val="008767D1"/>
    <w:rsid w:val="0087683A"/>
    <w:rsid w:val="008769B8"/>
    <w:rsid w:val="00876A79"/>
    <w:rsid w:val="00876B89"/>
    <w:rsid w:val="00876C85"/>
    <w:rsid w:val="00876D87"/>
    <w:rsid w:val="00876DE3"/>
    <w:rsid w:val="00876E5A"/>
    <w:rsid w:val="0087707F"/>
    <w:rsid w:val="00877367"/>
    <w:rsid w:val="008773C8"/>
    <w:rsid w:val="0087749E"/>
    <w:rsid w:val="00877760"/>
    <w:rsid w:val="00877A38"/>
    <w:rsid w:val="00877A62"/>
    <w:rsid w:val="00877B55"/>
    <w:rsid w:val="00877C1D"/>
    <w:rsid w:val="00877CD9"/>
    <w:rsid w:val="00877D92"/>
    <w:rsid w:val="00877EE9"/>
    <w:rsid w:val="008800EC"/>
    <w:rsid w:val="00880133"/>
    <w:rsid w:val="008801A4"/>
    <w:rsid w:val="00880221"/>
    <w:rsid w:val="0088035F"/>
    <w:rsid w:val="0088043B"/>
    <w:rsid w:val="0088046C"/>
    <w:rsid w:val="00880896"/>
    <w:rsid w:val="008808C2"/>
    <w:rsid w:val="00880936"/>
    <w:rsid w:val="008809D5"/>
    <w:rsid w:val="00880C2E"/>
    <w:rsid w:val="00880CC1"/>
    <w:rsid w:val="00880DB0"/>
    <w:rsid w:val="008811A3"/>
    <w:rsid w:val="0088121B"/>
    <w:rsid w:val="00881248"/>
    <w:rsid w:val="0088137A"/>
    <w:rsid w:val="008815D0"/>
    <w:rsid w:val="008816CA"/>
    <w:rsid w:val="008816F0"/>
    <w:rsid w:val="008817D0"/>
    <w:rsid w:val="00881882"/>
    <w:rsid w:val="00881951"/>
    <w:rsid w:val="0088199B"/>
    <w:rsid w:val="008819BE"/>
    <w:rsid w:val="00881D07"/>
    <w:rsid w:val="00881DE1"/>
    <w:rsid w:val="00881E34"/>
    <w:rsid w:val="00882147"/>
    <w:rsid w:val="0088221B"/>
    <w:rsid w:val="0088225C"/>
    <w:rsid w:val="008823B6"/>
    <w:rsid w:val="008824B7"/>
    <w:rsid w:val="00882545"/>
    <w:rsid w:val="008825A2"/>
    <w:rsid w:val="0088277E"/>
    <w:rsid w:val="00882A13"/>
    <w:rsid w:val="00882A73"/>
    <w:rsid w:val="00882C17"/>
    <w:rsid w:val="00882DF4"/>
    <w:rsid w:val="00882F68"/>
    <w:rsid w:val="008830EA"/>
    <w:rsid w:val="0088321E"/>
    <w:rsid w:val="0088335D"/>
    <w:rsid w:val="0088341F"/>
    <w:rsid w:val="008834B6"/>
    <w:rsid w:val="008835E8"/>
    <w:rsid w:val="0088363D"/>
    <w:rsid w:val="00883671"/>
    <w:rsid w:val="00883723"/>
    <w:rsid w:val="00883927"/>
    <w:rsid w:val="00883947"/>
    <w:rsid w:val="00883A02"/>
    <w:rsid w:val="00883A93"/>
    <w:rsid w:val="00883BA9"/>
    <w:rsid w:val="00883C56"/>
    <w:rsid w:val="00883C77"/>
    <w:rsid w:val="00883E39"/>
    <w:rsid w:val="00883E7F"/>
    <w:rsid w:val="00883E8F"/>
    <w:rsid w:val="008841B7"/>
    <w:rsid w:val="008841D5"/>
    <w:rsid w:val="00884215"/>
    <w:rsid w:val="0088424B"/>
    <w:rsid w:val="008845CE"/>
    <w:rsid w:val="00884694"/>
    <w:rsid w:val="00884733"/>
    <w:rsid w:val="00884739"/>
    <w:rsid w:val="008847BA"/>
    <w:rsid w:val="00884858"/>
    <w:rsid w:val="00884A2E"/>
    <w:rsid w:val="00884A32"/>
    <w:rsid w:val="00884A35"/>
    <w:rsid w:val="00884A44"/>
    <w:rsid w:val="00884E3E"/>
    <w:rsid w:val="00884E9E"/>
    <w:rsid w:val="00884EDE"/>
    <w:rsid w:val="00885013"/>
    <w:rsid w:val="0088513A"/>
    <w:rsid w:val="008851D8"/>
    <w:rsid w:val="008851F0"/>
    <w:rsid w:val="0088522D"/>
    <w:rsid w:val="0088528C"/>
    <w:rsid w:val="00885381"/>
    <w:rsid w:val="00885534"/>
    <w:rsid w:val="00885AD0"/>
    <w:rsid w:val="00885E28"/>
    <w:rsid w:val="00886287"/>
    <w:rsid w:val="008863C8"/>
    <w:rsid w:val="008864EE"/>
    <w:rsid w:val="008865AC"/>
    <w:rsid w:val="008866CE"/>
    <w:rsid w:val="0088685F"/>
    <w:rsid w:val="008868B5"/>
    <w:rsid w:val="00886938"/>
    <w:rsid w:val="00886CBE"/>
    <w:rsid w:val="00886D19"/>
    <w:rsid w:val="00886D95"/>
    <w:rsid w:val="00886E19"/>
    <w:rsid w:val="008870A6"/>
    <w:rsid w:val="008872B4"/>
    <w:rsid w:val="008873BE"/>
    <w:rsid w:val="00887470"/>
    <w:rsid w:val="00887598"/>
    <w:rsid w:val="008875B7"/>
    <w:rsid w:val="008877F0"/>
    <w:rsid w:val="0088786A"/>
    <w:rsid w:val="00887AAD"/>
    <w:rsid w:val="00887BDA"/>
    <w:rsid w:val="00887DFD"/>
    <w:rsid w:val="00887EB5"/>
    <w:rsid w:val="00890043"/>
    <w:rsid w:val="008900E8"/>
    <w:rsid w:val="0089010B"/>
    <w:rsid w:val="00890345"/>
    <w:rsid w:val="0089038D"/>
    <w:rsid w:val="0089054D"/>
    <w:rsid w:val="00890700"/>
    <w:rsid w:val="008908F4"/>
    <w:rsid w:val="0089090D"/>
    <w:rsid w:val="00890A16"/>
    <w:rsid w:val="00890C3A"/>
    <w:rsid w:val="00890CAD"/>
    <w:rsid w:val="00890D76"/>
    <w:rsid w:val="00890EDF"/>
    <w:rsid w:val="00890F26"/>
    <w:rsid w:val="00891133"/>
    <w:rsid w:val="00891204"/>
    <w:rsid w:val="008912BA"/>
    <w:rsid w:val="008912F9"/>
    <w:rsid w:val="0089138F"/>
    <w:rsid w:val="008915EC"/>
    <w:rsid w:val="008915F3"/>
    <w:rsid w:val="00891744"/>
    <w:rsid w:val="00891B4E"/>
    <w:rsid w:val="00891CEE"/>
    <w:rsid w:val="00891F80"/>
    <w:rsid w:val="00892054"/>
    <w:rsid w:val="00892119"/>
    <w:rsid w:val="0089215F"/>
    <w:rsid w:val="00892267"/>
    <w:rsid w:val="008922E6"/>
    <w:rsid w:val="008923BD"/>
    <w:rsid w:val="00892430"/>
    <w:rsid w:val="0089265B"/>
    <w:rsid w:val="0089282A"/>
    <w:rsid w:val="008928EA"/>
    <w:rsid w:val="00892C02"/>
    <w:rsid w:val="00892C3E"/>
    <w:rsid w:val="00892CC6"/>
    <w:rsid w:val="00892EB9"/>
    <w:rsid w:val="00892F52"/>
    <w:rsid w:val="00892FF8"/>
    <w:rsid w:val="00893270"/>
    <w:rsid w:val="008932A3"/>
    <w:rsid w:val="008934CB"/>
    <w:rsid w:val="008936AB"/>
    <w:rsid w:val="008937A1"/>
    <w:rsid w:val="008937FC"/>
    <w:rsid w:val="0089387B"/>
    <w:rsid w:val="008938C5"/>
    <w:rsid w:val="008939AE"/>
    <w:rsid w:val="008939FC"/>
    <w:rsid w:val="00893B31"/>
    <w:rsid w:val="00893D00"/>
    <w:rsid w:val="00893D21"/>
    <w:rsid w:val="00893E81"/>
    <w:rsid w:val="00894027"/>
    <w:rsid w:val="0089431E"/>
    <w:rsid w:val="008947CA"/>
    <w:rsid w:val="00894897"/>
    <w:rsid w:val="0089497D"/>
    <w:rsid w:val="00894A96"/>
    <w:rsid w:val="00894B08"/>
    <w:rsid w:val="00894D0D"/>
    <w:rsid w:val="00894D80"/>
    <w:rsid w:val="00894DDF"/>
    <w:rsid w:val="00894E41"/>
    <w:rsid w:val="00894F7C"/>
    <w:rsid w:val="008952E3"/>
    <w:rsid w:val="0089538A"/>
    <w:rsid w:val="0089540E"/>
    <w:rsid w:val="00895516"/>
    <w:rsid w:val="008955EA"/>
    <w:rsid w:val="008955F6"/>
    <w:rsid w:val="0089560E"/>
    <w:rsid w:val="00895719"/>
    <w:rsid w:val="0089579A"/>
    <w:rsid w:val="00895A5B"/>
    <w:rsid w:val="00895ADC"/>
    <w:rsid w:val="00895AF0"/>
    <w:rsid w:val="00895B88"/>
    <w:rsid w:val="00895B8D"/>
    <w:rsid w:val="00895C07"/>
    <w:rsid w:val="00895C7E"/>
    <w:rsid w:val="00895D03"/>
    <w:rsid w:val="00895DD8"/>
    <w:rsid w:val="00895F5A"/>
    <w:rsid w:val="00895F92"/>
    <w:rsid w:val="0089645D"/>
    <w:rsid w:val="008964EA"/>
    <w:rsid w:val="0089653E"/>
    <w:rsid w:val="00896706"/>
    <w:rsid w:val="0089673E"/>
    <w:rsid w:val="008969D0"/>
    <w:rsid w:val="00896C89"/>
    <w:rsid w:val="00896F56"/>
    <w:rsid w:val="0089708E"/>
    <w:rsid w:val="008971CA"/>
    <w:rsid w:val="00897631"/>
    <w:rsid w:val="00897641"/>
    <w:rsid w:val="0089778C"/>
    <w:rsid w:val="0089789F"/>
    <w:rsid w:val="0089791A"/>
    <w:rsid w:val="00897946"/>
    <w:rsid w:val="00897A85"/>
    <w:rsid w:val="00897AA2"/>
    <w:rsid w:val="00897C72"/>
    <w:rsid w:val="00897DF8"/>
    <w:rsid w:val="00897E3B"/>
    <w:rsid w:val="008A0057"/>
    <w:rsid w:val="008A00D7"/>
    <w:rsid w:val="008A00F8"/>
    <w:rsid w:val="008A01B6"/>
    <w:rsid w:val="008A023D"/>
    <w:rsid w:val="008A04BC"/>
    <w:rsid w:val="008A04C2"/>
    <w:rsid w:val="008A0550"/>
    <w:rsid w:val="008A05CE"/>
    <w:rsid w:val="008A0691"/>
    <w:rsid w:val="008A07C1"/>
    <w:rsid w:val="008A08F0"/>
    <w:rsid w:val="008A0901"/>
    <w:rsid w:val="008A0937"/>
    <w:rsid w:val="008A09F2"/>
    <w:rsid w:val="008A0DEC"/>
    <w:rsid w:val="008A0E1E"/>
    <w:rsid w:val="008A0EA4"/>
    <w:rsid w:val="008A15E0"/>
    <w:rsid w:val="008A1710"/>
    <w:rsid w:val="008A1719"/>
    <w:rsid w:val="008A1879"/>
    <w:rsid w:val="008A18A5"/>
    <w:rsid w:val="008A1AC8"/>
    <w:rsid w:val="008A1BA8"/>
    <w:rsid w:val="008A1C91"/>
    <w:rsid w:val="008A1CDB"/>
    <w:rsid w:val="008A1CF5"/>
    <w:rsid w:val="008A1EFA"/>
    <w:rsid w:val="008A1F94"/>
    <w:rsid w:val="008A1FB6"/>
    <w:rsid w:val="008A2043"/>
    <w:rsid w:val="008A21EF"/>
    <w:rsid w:val="008A2279"/>
    <w:rsid w:val="008A230D"/>
    <w:rsid w:val="008A23E8"/>
    <w:rsid w:val="008A2544"/>
    <w:rsid w:val="008A258D"/>
    <w:rsid w:val="008A2649"/>
    <w:rsid w:val="008A2735"/>
    <w:rsid w:val="008A27F8"/>
    <w:rsid w:val="008A2893"/>
    <w:rsid w:val="008A28B8"/>
    <w:rsid w:val="008A2BEE"/>
    <w:rsid w:val="008A2D5F"/>
    <w:rsid w:val="008A2D68"/>
    <w:rsid w:val="008A3214"/>
    <w:rsid w:val="008A329E"/>
    <w:rsid w:val="008A3435"/>
    <w:rsid w:val="008A35F1"/>
    <w:rsid w:val="008A363C"/>
    <w:rsid w:val="008A36B2"/>
    <w:rsid w:val="008A3755"/>
    <w:rsid w:val="008A389E"/>
    <w:rsid w:val="008A3948"/>
    <w:rsid w:val="008A3982"/>
    <w:rsid w:val="008A39B7"/>
    <w:rsid w:val="008A39FC"/>
    <w:rsid w:val="008A3A57"/>
    <w:rsid w:val="008A3B4B"/>
    <w:rsid w:val="008A3C37"/>
    <w:rsid w:val="008A3D29"/>
    <w:rsid w:val="008A3DCE"/>
    <w:rsid w:val="008A3E37"/>
    <w:rsid w:val="008A3F7E"/>
    <w:rsid w:val="008A4040"/>
    <w:rsid w:val="008A40E7"/>
    <w:rsid w:val="008A42B9"/>
    <w:rsid w:val="008A42D1"/>
    <w:rsid w:val="008A4412"/>
    <w:rsid w:val="008A44C8"/>
    <w:rsid w:val="008A4AD5"/>
    <w:rsid w:val="008A4BA6"/>
    <w:rsid w:val="008A4CB7"/>
    <w:rsid w:val="008A4DB6"/>
    <w:rsid w:val="008A4DF4"/>
    <w:rsid w:val="008A4E73"/>
    <w:rsid w:val="008A4E7E"/>
    <w:rsid w:val="008A515E"/>
    <w:rsid w:val="008A55A8"/>
    <w:rsid w:val="008A566C"/>
    <w:rsid w:val="008A5A63"/>
    <w:rsid w:val="008A5ABF"/>
    <w:rsid w:val="008A5C54"/>
    <w:rsid w:val="008A5C95"/>
    <w:rsid w:val="008A5D84"/>
    <w:rsid w:val="008A5EC4"/>
    <w:rsid w:val="008A5EE7"/>
    <w:rsid w:val="008A60B4"/>
    <w:rsid w:val="008A6129"/>
    <w:rsid w:val="008A61BC"/>
    <w:rsid w:val="008A61C3"/>
    <w:rsid w:val="008A6245"/>
    <w:rsid w:val="008A62FF"/>
    <w:rsid w:val="008A631B"/>
    <w:rsid w:val="008A63EE"/>
    <w:rsid w:val="008A6477"/>
    <w:rsid w:val="008A6490"/>
    <w:rsid w:val="008A671A"/>
    <w:rsid w:val="008A6777"/>
    <w:rsid w:val="008A6974"/>
    <w:rsid w:val="008A69E6"/>
    <w:rsid w:val="008A6CA2"/>
    <w:rsid w:val="008A6FF4"/>
    <w:rsid w:val="008A708C"/>
    <w:rsid w:val="008A71E7"/>
    <w:rsid w:val="008A72B9"/>
    <w:rsid w:val="008A738E"/>
    <w:rsid w:val="008A7396"/>
    <w:rsid w:val="008A73A1"/>
    <w:rsid w:val="008A7626"/>
    <w:rsid w:val="008A764B"/>
    <w:rsid w:val="008A7697"/>
    <w:rsid w:val="008A771D"/>
    <w:rsid w:val="008A7870"/>
    <w:rsid w:val="008A78F5"/>
    <w:rsid w:val="008A7A93"/>
    <w:rsid w:val="008A7B3D"/>
    <w:rsid w:val="008A7E05"/>
    <w:rsid w:val="008A7F26"/>
    <w:rsid w:val="008A7F27"/>
    <w:rsid w:val="008A7FC3"/>
    <w:rsid w:val="008B03AC"/>
    <w:rsid w:val="008B044D"/>
    <w:rsid w:val="008B0451"/>
    <w:rsid w:val="008B06C6"/>
    <w:rsid w:val="008B073B"/>
    <w:rsid w:val="008B0863"/>
    <w:rsid w:val="008B08DD"/>
    <w:rsid w:val="008B097F"/>
    <w:rsid w:val="008B0B5E"/>
    <w:rsid w:val="008B0C86"/>
    <w:rsid w:val="008B0D1E"/>
    <w:rsid w:val="008B0D68"/>
    <w:rsid w:val="008B0E14"/>
    <w:rsid w:val="008B1004"/>
    <w:rsid w:val="008B1164"/>
    <w:rsid w:val="008B1504"/>
    <w:rsid w:val="008B153E"/>
    <w:rsid w:val="008B15EB"/>
    <w:rsid w:val="008B1631"/>
    <w:rsid w:val="008B1783"/>
    <w:rsid w:val="008B1788"/>
    <w:rsid w:val="008B17A9"/>
    <w:rsid w:val="008B1800"/>
    <w:rsid w:val="008B18DA"/>
    <w:rsid w:val="008B1C63"/>
    <w:rsid w:val="008B1C86"/>
    <w:rsid w:val="008B1DFC"/>
    <w:rsid w:val="008B1F92"/>
    <w:rsid w:val="008B219D"/>
    <w:rsid w:val="008B2235"/>
    <w:rsid w:val="008B22A3"/>
    <w:rsid w:val="008B275E"/>
    <w:rsid w:val="008B2785"/>
    <w:rsid w:val="008B2911"/>
    <w:rsid w:val="008B29F9"/>
    <w:rsid w:val="008B2A2F"/>
    <w:rsid w:val="008B2A49"/>
    <w:rsid w:val="008B2A4E"/>
    <w:rsid w:val="008B2AAC"/>
    <w:rsid w:val="008B2BB7"/>
    <w:rsid w:val="008B2C69"/>
    <w:rsid w:val="008B2C90"/>
    <w:rsid w:val="008B2DCE"/>
    <w:rsid w:val="008B3035"/>
    <w:rsid w:val="008B3090"/>
    <w:rsid w:val="008B31F2"/>
    <w:rsid w:val="008B3278"/>
    <w:rsid w:val="008B3304"/>
    <w:rsid w:val="008B36A5"/>
    <w:rsid w:val="008B36C3"/>
    <w:rsid w:val="008B3929"/>
    <w:rsid w:val="008B3B6A"/>
    <w:rsid w:val="008B3BBD"/>
    <w:rsid w:val="008B3C19"/>
    <w:rsid w:val="008B3F26"/>
    <w:rsid w:val="008B4008"/>
    <w:rsid w:val="008B4153"/>
    <w:rsid w:val="008B42D1"/>
    <w:rsid w:val="008B4490"/>
    <w:rsid w:val="008B44E9"/>
    <w:rsid w:val="008B455D"/>
    <w:rsid w:val="008B47E1"/>
    <w:rsid w:val="008B49DC"/>
    <w:rsid w:val="008B49F0"/>
    <w:rsid w:val="008B4A73"/>
    <w:rsid w:val="008B4AAF"/>
    <w:rsid w:val="008B4AFC"/>
    <w:rsid w:val="008B4B14"/>
    <w:rsid w:val="008B4B99"/>
    <w:rsid w:val="008B4BFF"/>
    <w:rsid w:val="008B4DDD"/>
    <w:rsid w:val="008B4EC5"/>
    <w:rsid w:val="008B4EDB"/>
    <w:rsid w:val="008B4F50"/>
    <w:rsid w:val="008B4F53"/>
    <w:rsid w:val="008B4F84"/>
    <w:rsid w:val="008B525D"/>
    <w:rsid w:val="008B5437"/>
    <w:rsid w:val="008B557E"/>
    <w:rsid w:val="008B58D3"/>
    <w:rsid w:val="008B59E6"/>
    <w:rsid w:val="008B5A9D"/>
    <w:rsid w:val="008B5B09"/>
    <w:rsid w:val="008B5F8E"/>
    <w:rsid w:val="008B62A6"/>
    <w:rsid w:val="008B62ED"/>
    <w:rsid w:val="008B66BE"/>
    <w:rsid w:val="008B66EE"/>
    <w:rsid w:val="008B6707"/>
    <w:rsid w:val="008B673B"/>
    <w:rsid w:val="008B6790"/>
    <w:rsid w:val="008B67D1"/>
    <w:rsid w:val="008B687E"/>
    <w:rsid w:val="008B6C2F"/>
    <w:rsid w:val="008B6CE6"/>
    <w:rsid w:val="008B6D27"/>
    <w:rsid w:val="008B71E7"/>
    <w:rsid w:val="008B7230"/>
    <w:rsid w:val="008B7311"/>
    <w:rsid w:val="008B7508"/>
    <w:rsid w:val="008B75FE"/>
    <w:rsid w:val="008B78DF"/>
    <w:rsid w:val="008B7A03"/>
    <w:rsid w:val="008B7A3E"/>
    <w:rsid w:val="008B7AC3"/>
    <w:rsid w:val="008B7B97"/>
    <w:rsid w:val="008B7BD3"/>
    <w:rsid w:val="008C0062"/>
    <w:rsid w:val="008C00EB"/>
    <w:rsid w:val="008C0280"/>
    <w:rsid w:val="008C02B9"/>
    <w:rsid w:val="008C0430"/>
    <w:rsid w:val="008C0720"/>
    <w:rsid w:val="008C0808"/>
    <w:rsid w:val="008C089A"/>
    <w:rsid w:val="008C08BE"/>
    <w:rsid w:val="008C0970"/>
    <w:rsid w:val="008C0984"/>
    <w:rsid w:val="008C09B6"/>
    <w:rsid w:val="008C0AF4"/>
    <w:rsid w:val="008C0DC3"/>
    <w:rsid w:val="008C0DC5"/>
    <w:rsid w:val="008C0EF5"/>
    <w:rsid w:val="008C0F77"/>
    <w:rsid w:val="008C11D7"/>
    <w:rsid w:val="008C12A2"/>
    <w:rsid w:val="008C13DB"/>
    <w:rsid w:val="008C19DE"/>
    <w:rsid w:val="008C1ABF"/>
    <w:rsid w:val="008C1AEA"/>
    <w:rsid w:val="008C1B78"/>
    <w:rsid w:val="008C1C2B"/>
    <w:rsid w:val="008C1C3D"/>
    <w:rsid w:val="008C1E37"/>
    <w:rsid w:val="008C1EDB"/>
    <w:rsid w:val="008C227F"/>
    <w:rsid w:val="008C22B3"/>
    <w:rsid w:val="008C22FB"/>
    <w:rsid w:val="008C2314"/>
    <w:rsid w:val="008C2362"/>
    <w:rsid w:val="008C23BF"/>
    <w:rsid w:val="008C26D7"/>
    <w:rsid w:val="008C273B"/>
    <w:rsid w:val="008C278F"/>
    <w:rsid w:val="008C2B33"/>
    <w:rsid w:val="008C2C66"/>
    <w:rsid w:val="008C2D15"/>
    <w:rsid w:val="008C2E01"/>
    <w:rsid w:val="008C2E12"/>
    <w:rsid w:val="008C3049"/>
    <w:rsid w:val="008C308D"/>
    <w:rsid w:val="008C32F4"/>
    <w:rsid w:val="008C337F"/>
    <w:rsid w:val="008C347A"/>
    <w:rsid w:val="008C361D"/>
    <w:rsid w:val="008C36A5"/>
    <w:rsid w:val="008C3816"/>
    <w:rsid w:val="008C391E"/>
    <w:rsid w:val="008C3A8E"/>
    <w:rsid w:val="008C3BDD"/>
    <w:rsid w:val="008C3C88"/>
    <w:rsid w:val="008C3DC2"/>
    <w:rsid w:val="008C3E2B"/>
    <w:rsid w:val="008C413B"/>
    <w:rsid w:val="008C41AF"/>
    <w:rsid w:val="008C41B7"/>
    <w:rsid w:val="008C42CA"/>
    <w:rsid w:val="008C431B"/>
    <w:rsid w:val="008C453E"/>
    <w:rsid w:val="008C467C"/>
    <w:rsid w:val="008C46B9"/>
    <w:rsid w:val="008C46C5"/>
    <w:rsid w:val="008C46F8"/>
    <w:rsid w:val="008C4812"/>
    <w:rsid w:val="008C48C2"/>
    <w:rsid w:val="008C4A38"/>
    <w:rsid w:val="008C4B94"/>
    <w:rsid w:val="008C4BBB"/>
    <w:rsid w:val="008C4BDA"/>
    <w:rsid w:val="008C4C4F"/>
    <w:rsid w:val="008C4D2D"/>
    <w:rsid w:val="008C4DB8"/>
    <w:rsid w:val="008C5146"/>
    <w:rsid w:val="008C520F"/>
    <w:rsid w:val="008C5226"/>
    <w:rsid w:val="008C525D"/>
    <w:rsid w:val="008C5405"/>
    <w:rsid w:val="008C54C1"/>
    <w:rsid w:val="008C57BD"/>
    <w:rsid w:val="008C58CF"/>
    <w:rsid w:val="008C5D3C"/>
    <w:rsid w:val="008C6017"/>
    <w:rsid w:val="008C602C"/>
    <w:rsid w:val="008C61CA"/>
    <w:rsid w:val="008C63F9"/>
    <w:rsid w:val="008C6550"/>
    <w:rsid w:val="008C672D"/>
    <w:rsid w:val="008C6864"/>
    <w:rsid w:val="008C68F5"/>
    <w:rsid w:val="008C6969"/>
    <w:rsid w:val="008C6A8E"/>
    <w:rsid w:val="008C6D12"/>
    <w:rsid w:val="008C6E62"/>
    <w:rsid w:val="008C6E8B"/>
    <w:rsid w:val="008C6F17"/>
    <w:rsid w:val="008C7030"/>
    <w:rsid w:val="008C7127"/>
    <w:rsid w:val="008C7215"/>
    <w:rsid w:val="008C73D0"/>
    <w:rsid w:val="008C758E"/>
    <w:rsid w:val="008C7755"/>
    <w:rsid w:val="008C7902"/>
    <w:rsid w:val="008C79E2"/>
    <w:rsid w:val="008C7A0E"/>
    <w:rsid w:val="008C7AFE"/>
    <w:rsid w:val="008C7BDA"/>
    <w:rsid w:val="008C7BE2"/>
    <w:rsid w:val="008C7E4C"/>
    <w:rsid w:val="008D007B"/>
    <w:rsid w:val="008D022F"/>
    <w:rsid w:val="008D06DD"/>
    <w:rsid w:val="008D076E"/>
    <w:rsid w:val="008D0783"/>
    <w:rsid w:val="008D07B7"/>
    <w:rsid w:val="008D08A5"/>
    <w:rsid w:val="008D09F9"/>
    <w:rsid w:val="008D0B4A"/>
    <w:rsid w:val="008D0B5E"/>
    <w:rsid w:val="008D0B7B"/>
    <w:rsid w:val="008D0F05"/>
    <w:rsid w:val="008D1016"/>
    <w:rsid w:val="008D123E"/>
    <w:rsid w:val="008D1254"/>
    <w:rsid w:val="008D135F"/>
    <w:rsid w:val="008D1475"/>
    <w:rsid w:val="008D1534"/>
    <w:rsid w:val="008D155E"/>
    <w:rsid w:val="008D15AA"/>
    <w:rsid w:val="008D1728"/>
    <w:rsid w:val="008D1798"/>
    <w:rsid w:val="008D17DC"/>
    <w:rsid w:val="008D1963"/>
    <w:rsid w:val="008D199D"/>
    <w:rsid w:val="008D1CD5"/>
    <w:rsid w:val="008D1F42"/>
    <w:rsid w:val="008D20C6"/>
    <w:rsid w:val="008D218F"/>
    <w:rsid w:val="008D22E3"/>
    <w:rsid w:val="008D2304"/>
    <w:rsid w:val="008D24EB"/>
    <w:rsid w:val="008D25FB"/>
    <w:rsid w:val="008D26B1"/>
    <w:rsid w:val="008D2915"/>
    <w:rsid w:val="008D2B6E"/>
    <w:rsid w:val="008D2BC6"/>
    <w:rsid w:val="008D2C15"/>
    <w:rsid w:val="008D2EA1"/>
    <w:rsid w:val="008D2F5F"/>
    <w:rsid w:val="008D3021"/>
    <w:rsid w:val="008D311E"/>
    <w:rsid w:val="008D31D5"/>
    <w:rsid w:val="008D344F"/>
    <w:rsid w:val="008D37FB"/>
    <w:rsid w:val="008D3896"/>
    <w:rsid w:val="008D3CFF"/>
    <w:rsid w:val="008D3F6C"/>
    <w:rsid w:val="008D40B4"/>
    <w:rsid w:val="008D40F1"/>
    <w:rsid w:val="008D41FA"/>
    <w:rsid w:val="008D420F"/>
    <w:rsid w:val="008D438A"/>
    <w:rsid w:val="008D45B7"/>
    <w:rsid w:val="008D4A6E"/>
    <w:rsid w:val="008D4A73"/>
    <w:rsid w:val="008D4AB6"/>
    <w:rsid w:val="008D4B1F"/>
    <w:rsid w:val="008D4BAF"/>
    <w:rsid w:val="008D4DDA"/>
    <w:rsid w:val="008D4F26"/>
    <w:rsid w:val="008D4F33"/>
    <w:rsid w:val="008D4FBB"/>
    <w:rsid w:val="008D503F"/>
    <w:rsid w:val="008D5140"/>
    <w:rsid w:val="008D5385"/>
    <w:rsid w:val="008D5694"/>
    <w:rsid w:val="008D578A"/>
    <w:rsid w:val="008D58C9"/>
    <w:rsid w:val="008D593D"/>
    <w:rsid w:val="008D599D"/>
    <w:rsid w:val="008D599E"/>
    <w:rsid w:val="008D5BF4"/>
    <w:rsid w:val="008D5C92"/>
    <w:rsid w:val="008D5E0F"/>
    <w:rsid w:val="008D5E1C"/>
    <w:rsid w:val="008D5EC6"/>
    <w:rsid w:val="008D5FC6"/>
    <w:rsid w:val="008D61FE"/>
    <w:rsid w:val="008D624A"/>
    <w:rsid w:val="008D66A0"/>
    <w:rsid w:val="008D6704"/>
    <w:rsid w:val="008D678C"/>
    <w:rsid w:val="008D67D3"/>
    <w:rsid w:val="008D67F1"/>
    <w:rsid w:val="008D680E"/>
    <w:rsid w:val="008D68A9"/>
    <w:rsid w:val="008D6965"/>
    <w:rsid w:val="008D6BB6"/>
    <w:rsid w:val="008D6C92"/>
    <w:rsid w:val="008D6D5E"/>
    <w:rsid w:val="008D6F39"/>
    <w:rsid w:val="008D7075"/>
    <w:rsid w:val="008D71EE"/>
    <w:rsid w:val="008D73E4"/>
    <w:rsid w:val="008D74E4"/>
    <w:rsid w:val="008D7754"/>
    <w:rsid w:val="008D79E2"/>
    <w:rsid w:val="008D7B03"/>
    <w:rsid w:val="008D7FA3"/>
    <w:rsid w:val="008E0040"/>
    <w:rsid w:val="008E01C2"/>
    <w:rsid w:val="008E027A"/>
    <w:rsid w:val="008E0397"/>
    <w:rsid w:val="008E04F1"/>
    <w:rsid w:val="008E05BC"/>
    <w:rsid w:val="008E05FF"/>
    <w:rsid w:val="008E0743"/>
    <w:rsid w:val="008E07E8"/>
    <w:rsid w:val="008E08AE"/>
    <w:rsid w:val="008E0928"/>
    <w:rsid w:val="008E0AFE"/>
    <w:rsid w:val="008E0CBA"/>
    <w:rsid w:val="008E0D36"/>
    <w:rsid w:val="008E0E7D"/>
    <w:rsid w:val="008E100D"/>
    <w:rsid w:val="008E116E"/>
    <w:rsid w:val="008E1468"/>
    <w:rsid w:val="008E14B0"/>
    <w:rsid w:val="008E14F1"/>
    <w:rsid w:val="008E15C6"/>
    <w:rsid w:val="008E18E4"/>
    <w:rsid w:val="008E1A91"/>
    <w:rsid w:val="008E1AE4"/>
    <w:rsid w:val="008E1B3F"/>
    <w:rsid w:val="008E1C17"/>
    <w:rsid w:val="008E1C2C"/>
    <w:rsid w:val="008E1C58"/>
    <w:rsid w:val="008E1CA0"/>
    <w:rsid w:val="008E1F3E"/>
    <w:rsid w:val="008E2024"/>
    <w:rsid w:val="008E2266"/>
    <w:rsid w:val="008E233D"/>
    <w:rsid w:val="008E26C0"/>
    <w:rsid w:val="008E285C"/>
    <w:rsid w:val="008E2944"/>
    <w:rsid w:val="008E29FB"/>
    <w:rsid w:val="008E2BDC"/>
    <w:rsid w:val="008E2C24"/>
    <w:rsid w:val="008E2CAD"/>
    <w:rsid w:val="008E2D53"/>
    <w:rsid w:val="008E2D64"/>
    <w:rsid w:val="008E2DB8"/>
    <w:rsid w:val="008E2EFE"/>
    <w:rsid w:val="008E3131"/>
    <w:rsid w:val="008E3357"/>
    <w:rsid w:val="008E33E5"/>
    <w:rsid w:val="008E343C"/>
    <w:rsid w:val="008E34D7"/>
    <w:rsid w:val="008E36FA"/>
    <w:rsid w:val="008E3707"/>
    <w:rsid w:val="008E399A"/>
    <w:rsid w:val="008E39D2"/>
    <w:rsid w:val="008E3C18"/>
    <w:rsid w:val="008E3D83"/>
    <w:rsid w:val="008E3DB4"/>
    <w:rsid w:val="008E3EED"/>
    <w:rsid w:val="008E3F37"/>
    <w:rsid w:val="008E409F"/>
    <w:rsid w:val="008E40F0"/>
    <w:rsid w:val="008E41F4"/>
    <w:rsid w:val="008E422E"/>
    <w:rsid w:val="008E44FD"/>
    <w:rsid w:val="008E457C"/>
    <w:rsid w:val="008E4704"/>
    <w:rsid w:val="008E482C"/>
    <w:rsid w:val="008E4902"/>
    <w:rsid w:val="008E4B03"/>
    <w:rsid w:val="008E4BA6"/>
    <w:rsid w:val="008E4BCD"/>
    <w:rsid w:val="008E4C11"/>
    <w:rsid w:val="008E4CC3"/>
    <w:rsid w:val="008E4F49"/>
    <w:rsid w:val="008E4FB9"/>
    <w:rsid w:val="008E5049"/>
    <w:rsid w:val="008E513B"/>
    <w:rsid w:val="008E524A"/>
    <w:rsid w:val="008E531B"/>
    <w:rsid w:val="008E5361"/>
    <w:rsid w:val="008E53E5"/>
    <w:rsid w:val="008E5706"/>
    <w:rsid w:val="008E5778"/>
    <w:rsid w:val="008E588C"/>
    <w:rsid w:val="008E588E"/>
    <w:rsid w:val="008E58BD"/>
    <w:rsid w:val="008E5B09"/>
    <w:rsid w:val="008E5BA7"/>
    <w:rsid w:val="008E5C38"/>
    <w:rsid w:val="008E5CEF"/>
    <w:rsid w:val="008E5F67"/>
    <w:rsid w:val="008E6050"/>
    <w:rsid w:val="008E60AC"/>
    <w:rsid w:val="008E60EA"/>
    <w:rsid w:val="008E6164"/>
    <w:rsid w:val="008E6262"/>
    <w:rsid w:val="008E6379"/>
    <w:rsid w:val="008E63A5"/>
    <w:rsid w:val="008E63C2"/>
    <w:rsid w:val="008E63E0"/>
    <w:rsid w:val="008E6581"/>
    <w:rsid w:val="008E67AB"/>
    <w:rsid w:val="008E6869"/>
    <w:rsid w:val="008E68BA"/>
    <w:rsid w:val="008E6B02"/>
    <w:rsid w:val="008E6D51"/>
    <w:rsid w:val="008E6F0A"/>
    <w:rsid w:val="008E709E"/>
    <w:rsid w:val="008E70A4"/>
    <w:rsid w:val="008E71FA"/>
    <w:rsid w:val="008E7313"/>
    <w:rsid w:val="008E7576"/>
    <w:rsid w:val="008E75B4"/>
    <w:rsid w:val="008E75CE"/>
    <w:rsid w:val="008E778C"/>
    <w:rsid w:val="008E77EC"/>
    <w:rsid w:val="008E79FE"/>
    <w:rsid w:val="008E7A13"/>
    <w:rsid w:val="008E7C6A"/>
    <w:rsid w:val="008E7CEF"/>
    <w:rsid w:val="008E7DBA"/>
    <w:rsid w:val="008E7E56"/>
    <w:rsid w:val="008E7FF3"/>
    <w:rsid w:val="008F0177"/>
    <w:rsid w:val="008F0183"/>
    <w:rsid w:val="008F01E8"/>
    <w:rsid w:val="008F0529"/>
    <w:rsid w:val="008F0567"/>
    <w:rsid w:val="008F0569"/>
    <w:rsid w:val="008F0724"/>
    <w:rsid w:val="008F07AD"/>
    <w:rsid w:val="008F0BF9"/>
    <w:rsid w:val="008F0DB9"/>
    <w:rsid w:val="008F145D"/>
    <w:rsid w:val="008F1766"/>
    <w:rsid w:val="008F17AD"/>
    <w:rsid w:val="008F182E"/>
    <w:rsid w:val="008F1865"/>
    <w:rsid w:val="008F1878"/>
    <w:rsid w:val="008F1A17"/>
    <w:rsid w:val="008F1AF9"/>
    <w:rsid w:val="008F1B94"/>
    <w:rsid w:val="008F1D5C"/>
    <w:rsid w:val="008F1F6D"/>
    <w:rsid w:val="008F2218"/>
    <w:rsid w:val="008F233C"/>
    <w:rsid w:val="008F23CD"/>
    <w:rsid w:val="008F2584"/>
    <w:rsid w:val="008F2866"/>
    <w:rsid w:val="008F2907"/>
    <w:rsid w:val="008F2B7A"/>
    <w:rsid w:val="008F2BC9"/>
    <w:rsid w:val="008F2D5C"/>
    <w:rsid w:val="008F2DC0"/>
    <w:rsid w:val="008F2F4A"/>
    <w:rsid w:val="008F304B"/>
    <w:rsid w:val="008F30E3"/>
    <w:rsid w:val="008F317B"/>
    <w:rsid w:val="008F33EC"/>
    <w:rsid w:val="008F3473"/>
    <w:rsid w:val="008F3544"/>
    <w:rsid w:val="008F3570"/>
    <w:rsid w:val="008F36ED"/>
    <w:rsid w:val="008F375D"/>
    <w:rsid w:val="008F39A3"/>
    <w:rsid w:val="008F3A78"/>
    <w:rsid w:val="008F3B1E"/>
    <w:rsid w:val="008F3C73"/>
    <w:rsid w:val="008F3C8A"/>
    <w:rsid w:val="008F3F17"/>
    <w:rsid w:val="008F3F27"/>
    <w:rsid w:val="008F410D"/>
    <w:rsid w:val="008F4176"/>
    <w:rsid w:val="008F41DC"/>
    <w:rsid w:val="008F4267"/>
    <w:rsid w:val="008F42B8"/>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75"/>
    <w:rsid w:val="008F4EE4"/>
    <w:rsid w:val="008F4F25"/>
    <w:rsid w:val="008F4FB5"/>
    <w:rsid w:val="008F4FBB"/>
    <w:rsid w:val="008F51D9"/>
    <w:rsid w:val="008F520E"/>
    <w:rsid w:val="008F5388"/>
    <w:rsid w:val="008F5402"/>
    <w:rsid w:val="008F541F"/>
    <w:rsid w:val="008F56FB"/>
    <w:rsid w:val="008F57F1"/>
    <w:rsid w:val="008F593C"/>
    <w:rsid w:val="008F5951"/>
    <w:rsid w:val="008F5A01"/>
    <w:rsid w:val="008F5C44"/>
    <w:rsid w:val="008F5D4D"/>
    <w:rsid w:val="008F5D5A"/>
    <w:rsid w:val="008F5DE8"/>
    <w:rsid w:val="008F5EBC"/>
    <w:rsid w:val="008F5ED3"/>
    <w:rsid w:val="008F5FAF"/>
    <w:rsid w:val="008F602B"/>
    <w:rsid w:val="008F617B"/>
    <w:rsid w:val="008F632A"/>
    <w:rsid w:val="008F65C4"/>
    <w:rsid w:val="008F6763"/>
    <w:rsid w:val="008F6A11"/>
    <w:rsid w:val="008F6B3A"/>
    <w:rsid w:val="008F6D7E"/>
    <w:rsid w:val="008F6EEB"/>
    <w:rsid w:val="008F701B"/>
    <w:rsid w:val="008F70F1"/>
    <w:rsid w:val="008F70FD"/>
    <w:rsid w:val="008F71EF"/>
    <w:rsid w:val="008F724B"/>
    <w:rsid w:val="008F725C"/>
    <w:rsid w:val="008F73A3"/>
    <w:rsid w:val="008F7450"/>
    <w:rsid w:val="008F75B5"/>
    <w:rsid w:val="008F75C9"/>
    <w:rsid w:val="008F7613"/>
    <w:rsid w:val="008F7835"/>
    <w:rsid w:val="008F7CA9"/>
    <w:rsid w:val="008F7D03"/>
    <w:rsid w:val="008F7ECA"/>
    <w:rsid w:val="00900193"/>
    <w:rsid w:val="00900275"/>
    <w:rsid w:val="0090036D"/>
    <w:rsid w:val="009003B9"/>
    <w:rsid w:val="009003E5"/>
    <w:rsid w:val="00900418"/>
    <w:rsid w:val="00900422"/>
    <w:rsid w:val="009006CF"/>
    <w:rsid w:val="00900719"/>
    <w:rsid w:val="009007A1"/>
    <w:rsid w:val="00900968"/>
    <w:rsid w:val="00900CC3"/>
    <w:rsid w:val="00900D46"/>
    <w:rsid w:val="00901025"/>
    <w:rsid w:val="00901041"/>
    <w:rsid w:val="00901113"/>
    <w:rsid w:val="009011ED"/>
    <w:rsid w:val="00901383"/>
    <w:rsid w:val="0090142E"/>
    <w:rsid w:val="00901475"/>
    <w:rsid w:val="00901523"/>
    <w:rsid w:val="0090155D"/>
    <w:rsid w:val="009017EF"/>
    <w:rsid w:val="00901A70"/>
    <w:rsid w:val="00901AFF"/>
    <w:rsid w:val="00901B8C"/>
    <w:rsid w:val="00901D62"/>
    <w:rsid w:val="00901D88"/>
    <w:rsid w:val="00902076"/>
    <w:rsid w:val="0090207A"/>
    <w:rsid w:val="00902157"/>
    <w:rsid w:val="00902182"/>
    <w:rsid w:val="009021CD"/>
    <w:rsid w:val="00902443"/>
    <w:rsid w:val="00902547"/>
    <w:rsid w:val="00902881"/>
    <w:rsid w:val="00902B24"/>
    <w:rsid w:val="00902CB0"/>
    <w:rsid w:val="00902E0C"/>
    <w:rsid w:val="00902F32"/>
    <w:rsid w:val="00902FF4"/>
    <w:rsid w:val="00903089"/>
    <w:rsid w:val="0090308E"/>
    <w:rsid w:val="00903103"/>
    <w:rsid w:val="009033CD"/>
    <w:rsid w:val="00903763"/>
    <w:rsid w:val="0090376A"/>
    <w:rsid w:val="009039BB"/>
    <w:rsid w:val="009039D3"/>
    <w:rsid w:val="00903E6F"/>
    <w:rsid w:val="0090414E"/>
    <w:rsid w:val="0090437A"/>
    <w:rsid w:val="00904399"/>
    <w:rsid w:val="009043EF"/>
    <w:rsid w:val="0090446D"/>
    <w:rsid w:val="00904552"/>
    <w:rsid w:val="00904560"/>
    <w:rsid w:val="00904672"/>
    <w:rsid w:val="009046CD"/>
    <w:rsid w:val="00904913"/>
    <w:rsid w:val="00904B23"/>
    <w:rsid w:val="00904D11"/>
    <w:rsid w:val="00904D9E"/>
    <w:rsid w:val="00904DD4"/>
    <w:rsid w:val="00904E1A"/>
    <w:rsid w:val="00905078"/>
    <w:rsid w:val="0090508B"/>
    <w:rsid w:val="009051F9"/>
    <w:rsid w:val="0090531B"/>
    <w:rsid w:val="00905398"/>
    <w:rsid w:val="0090542B"/>
    <w:rsid w:val="0090543D"/>
    <w:rsid w:val="00905672"/>
    <w:rsid w:val="009057B7"/>
    <w:rsid w:val="00905818"/>
    <w:rsid w:val="0090594E"/>
    <w:rsid w:val="00905A6F"/>
    <w:rsid w:val="00905AEC"/>
    <w:rsid w:val="00905B0D"/>
    <w:rsid w:val="00905C42"/>
    <w:rsid w:val="0090605F"/>
    <w:rsid w:val="009060BD"/>
    <w:rsid w:val="00906172"/>
    <w:rsid w:val="00906173"/>
    <w:rsid w:val="00906189"/>
    <w:rsid w:val="00906194"/>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593"/>
    <w:rsid w:val="00907832"/>
    <w:rsid w:val="00907839"/>
    <w:rsid w:val="00907897"/>
    <w:rsid w:val="0090792C"/>
    <w:rsid w:val="00907A9E"/>
    <w:rsid w:val="00907B62"/>
    <w:rsid w:val="00907B80"/>
    <w:rsid w:val="00907D3B"/>
    <w:rsid w:val="00907D6C"/>
    <w:rsid w:val="00907E21"/>
    <w:rsid w:val="00907E3C"/>
    <w:rsid w:val="00907E48"/>
    <w:rsid w:val="009102A3"/>
    <w:rsid w:val="00910493"/>
    <w:rsid w:val="009105E8"/>
    <w:rsid w:val="009105FE"/>
    <w:rsid w:val="009106AC"/>
    <w:rsid w:val="009106FF"/>
    <w:rsid w:val="00910831"/>
    <w:rsid w:val="009108AD"/>
    <w:rsid w:val="00910933"/>
    <w:rsid w:val="00910A83"/>
    <w:rsid w:val="00910C0A"/>
    <w:rsid w:val="00910C98"/>
    <w:rsid w:val="00910CE2"/>
    <w:rsid w:val="00910CF9"/>
    <w:rsid w:val="00910EC2"/>
    <w:rsid w:val="00911139"/>
    <w:rsid w:val="00911355"/>
    <w:rsid w:val="009114A3"/>
    <w:rsid w:val="009114D8"/>
    <w:rsid w:val="0091151B"/>
    <w:rsid w:val="00911685"/>
    <w:rsid w:val="009116DE"/>
    <w:rsid w:val="0091192D"/>
    <w:rsid w:val="00911937"/>
    <w:rsid w:val="00911948"/>
    <w:rsid w:val="00911B36"/>
    <w:rsid w:val="00911B84"/>
    <w:rsid w:val="00911CEF"/>
    <w:rsid w:val="00911CFB"/>
    <w:rsid w:val="00911E6D"/>
    <w:rsid w:val="009121DA"/>
    <w:rsid w:val="00912206"/>
    <w:rsid w:val="0091231D"/>
    <w:rsid w:val="009125B6"/>
    <w:rsid w:val="009125C8"/>
    <w:rsid w:val="00912664"/>
    <w:rsid w:val="00912670"/>
    <w:rsid w:val="00912695"/>
    <w:rsid w:val="00912AB9"/>
    <w:rsid w:val="00912F96"/>
    <w:rsid w:val="00913053"/>
    <w:rsid w:val="00913241"/>
    <w:rsid w:val="009135AF"/>
    <w:rsid w:val="009136B7"/>
    <w:rsid w:val="009139AB"/>
    <w:rsid w:val="00913D1A"/>
    <w:rsid w:val="00913E30"/>
    <w:rsid w:val="00913FF1"/>
    <w:rsid w:val="00914098"/>
    <w:rsid w:val="0091420A"/>
    <w:rsid w:val="00914278"/>
    <w:rsid w:val="009142A0"/>
    <w:rsid w:val="009142E0"/>
    <w:rsid w:val="00914390"/>
    <w:rsid w:val="00914820"/>
    <w:rsid w:val="00914867"/>
    <w:rsid w:val="009148BE"/>
    <w:rsid w:val="009148F4"/>
    <w:rsid w:val="00914AC5"/>
    <w:rsid w:val="00914B1A"/>
    <w:rsid w:val="00914D0A"/>
    <w:rsid w:val="00914D36"/>
    <w:rsid w:val="00914F15"/>
    <w:rsid w:val="00914F2F"/>
    <w:rsid w:val="00914FDA"/>
    <w:rsid w:val="009152C2"/>
    <w:rsid w:val="009154B5"/>
    <w:rsid w:val="00915536"/>
    <w:rsid w:val="0091558D"/>
    <w:rsid w:val="009158EE"/>
    <w:rsid w:val="00915AF7"/>
    <w:rsid w:val="00915B01"/>
    <w:rsid w:val="00915BD6"/>
    <w:rsid w:val="00915BF6"/>
    <w:rsid w:val="00915C25"/>
    <w:rsid w:val="00915C78"/>
    <w:rsid w:val="00915E41"/>
    <w:rsid w:val="00916049"/>
    <w:rsid w:val="00916242"/>
    <w:rsid w:val="009162FC"/>
    <w:rsid w:val="009163BE"/>
    <w:rsid w:val="00916457"/>
    <w:rsid w:val="009165D9"/>
    <w:rsid w:val="009166F7"/>
    <w:rsid w:val="00916716"/>
    <w:rsid w:val="0091674F"/>
    <w:rsid w:val="009167F6"/>
    <w:rsid w:val="00916998"/>
    <w:rsid w:val="00916C26"/>
    <w:rsid w:val="00916C3C"/>
    <w:rsid w:val="00916CDD"/>
    <w:rsid w:val="00916D18"/>
    <w:rsid w:val="00916E99"/>
    <w:rsid w:val="00916ED9"/>
    <w:rsid w:val="00916F85"/>
    <w:rsid w:val="00916F86"/>
    <w:rsid w:val="00917263"/>
    <w:rsid w:val="00917367"/>
    <w:rsid w:val="00917477"/>
    <w:rsid w:val="009175E9"/>
    <w:rsid w:val="0091765F"/>
    <w:rsid w:val="009178DD"/>
    <w:rsid w:val="00917EA5"/>
    <w:rsid w:val="00917EAA"/>
    <w:rsid w:val="0092001C"/>
    <w:rsid w:val="00920487"/>
    <w:rsid w:val="0092059E"/>
    <w:rsid w:val="00920701"/>
    <w:rsid w:val="009207E6"/>
    <w:rsid w:val="00920857"/>
    <w:rsid w:val="0092099B"/>
    <w:rsid w:val="00920AEE"/>
    <w:rsid w:val="00920B56"/>
    <w:rsid w:val="00920B9F"/>
    <w:rsid w:val="00920BA9"/>
    <w:rsid w:val="00920BAD"/>
    <w:rsid w:val="00920D5F"/>
    <w:rsid w:val="00920D97"/>
    <w:rsid w:val="00920E53"/>
    <w:rsid w:val="00920F05"/>
    <w:rsid w:val="00920F3E"/>
    <w:rsid w:val="009211FE"/>
    <w:rsid w:val="009213BF"/>
    <w:rsid w:val="0092145F"/>
    <w:rsid w:val="009214E8"/>
    <w:rsid w:val="00921532"/>
    <w:rsid w:val="00921752"/>
    <w:rsid w:val="00921C22"/>
    <w:rsid w:val="00921C6D"/>
    <w:rsid w:val="00921D13"/>
    <w:rsid w:val="009221AF"/>
    <w:rsid w:val="009222CB"/>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69"/>
    <w:rsid w:val="009231D9"/>
    <w:rsid w:val="009232B4"/>
    <w:rsid w:val="00923320"/>
    <w:rsid w:val="009233BD"/>
    <w:rsid w:val="009235AC"/>
    <w:rsid w:val="009235AE"/>
    <w:rsid w:val="009238E3"/>
    <w:rsid w:val="00923A4A"/>
    <w:rsid w:val="00923BA6"/>
    <w:rsid w:val="00923BD3"/>
    <w:rsid w:val="00923CA7"/>
    <w:rsid w:val="00923EFC"/>
    <w:rsid w:val="00923FC9"/>
    <w:rsid w:val="00924013"/>
    <w:rsid w:val="00924019"/>
    <w:rsid w:val="009240C4"/>
    <w:rsid w:val="009240C7"/>
    <w:rsid w:val="009240CC"/>
    <w:rsid w:val="00924132"/>
    <w:rsid w:val="00924169"/>
    <w:rsid w:val="0092417A"/>
    <w:rsid w:val="0092428F"/>
    <w:rsid w:val="0092459B"/>
    <w:rsid w:val="00924655"/>
    <w:rsid w:val="00924784"/>
    <w:rsid w:val="00924897"/>
    <w:rsid w:val="009249E2"/>
    <w:rsid w:val="00924AB6"/>
    <w:rsid w:val="00924B3C"/>
    <w:rsid w:val="00924C25"/>
    <w:rsid w:val="00924CB6"/>
    <w:rsid w:val="00924DD2"/>
    <w:rsid w:val="00924F0A"/>
    <w:rsid w:val="00924F40"/>
    <w:rsid w:val="00924FD0"/>
    <w:rsid w:val="009252D9"/>
    <w:rsid w:val="0092531A"/>
    <w:rsid w:val="0092547B"/>
    <w:rsid w:val="00925547"/>
    <w:rsid w:val="009256B4"/>
    <w:rsid w:val="009259C8"/>
    <w:rsid w:val="00925A3A"/>
    <w:rsid w:val="00925A72"/>
    <w:rsid w:val="00925AC7"/>
    <w:rsid w:val="00925B18"/>
    <w:rsid w:val="00925DFA"/>
    <w:rsid w:val="00925E23"/>
    <w:rsid w:val="00925EA4"/>
    <w:rsid w:val="00925FDC"/>
    <w:rsid w:val="0092605F"/>
    <w:rsid w:val="00926123"/>
    <w:rsid w:val="009261C3"/>
    <w:rsid w:val="009262A4"/>
    <w:rsid w:val="009262B7"/>
    <w:rsid w:val="009262FB"/>
    <w:rsid w:val="0092635F"/>
    <w:rsid w:val="00926433"/>
    <w:rsid w:val="009264A9"/>
    <w:rsid w:val="009264F2"/>
    <w:rsid w:val="00926517"/>
    <w:rsid w:val="009265C3"/>
    <w:rsid w:val="009265F8"/>
    <w:rsid w:val="0092666F"/>
    <w:rsid w:val="00926AB2"/>
    <w:rsid w:val="00926D14"/>
    <w:rsid w:val="00926D3A"/>
    <w:rsid w:val="00926DD0"/>
    <w:rsid w:val="00926E1A"/>
    <w:rsid w:val="009270CE"/>
    <w:rsid w:val="009271B8"/>
    <w:rsid w:val="009271F4"/>
    <w:rsid w:val="00927219"/>
    <w:rsid w:val="00927227"/>
    <w:rsid w:val="009275B6"/>
    <w:rsid w:val="00927701"/>
    <w:rsid w:val="00927827"/>
    <w:rsid w:val="009278A5"/>
    <w:rsid w:val="00927A50"/>
    <w:rsid w:val="00927AF8"/>
    <w:rsid w:val="00927BFF"/>
    <w:rsid w:val="00927C45"/>
    <w:rsid w:val="00927D08"/>
    <w:rsid w:val="00927D17"/>
    <w:rsid w:val="00927E8D"/>
    <w:rsid w:val="00930048"/>
    <w:rsid w:val="0093006E"/>
    <w:rsid w:val="0093017E"/>
    <w:rsid w:val="00930286"/>
    <w:rsid w:val="00930322"/>
    <w:rsid w:val="00930432"/>
    <w:rsid w:val="00930572"/>
    <w:rsid w:val="009306D5"/>
    <w:rsid w:val="009306F2"/>
    <w:rsid w:val="00930817"/>
    <w:rsid w:val="00930850"/>
    <w:rsid w:val="009309AE"/>
    <w:rsid w:val="00930B63"/>
    <w:rsid w:val="00930B92"/>
    <w:rsid w:val="00930BC6"/>
    <w:rsid w:val="00930D38"/>
    <w:rsid w:val="00930F0C"/>
    <w:rsid w:val="00930F6A"/>
    <w:rsid w:val="009310D5"/>
    <w:rsid w:val="00931174"/>
    <w:rsid w:val="0093134C"/>
    <w:rsid w:val="0093138F"/>
    <w:rsid w:val="00931423"/>
    <w:rsid w:val="00931456"/>
    <w:rsid w:val="0093149F"/>
    <w:rsid w:val="0093153F"/>
    <w:rsid w:val="00931549"/>
    <w:rsid w:val="00931617"/>
    <w:rsid w:val="009317C9"/>
    <w:rsid w:val="00931823"/>
    <w:rsid w:val="009319CA"/>
    <w:rsid w:val="00931A68"/>
    <w:rsid w:val="00931C46"/>
    <w:rsid w:val="00931D1C"/>
    <w:rsid w:val="00931F10"/>
    <w:rsid w:val="00932120"/>
    <w:rsid w:val="00932214"/>
    <w:rsid w:val="009322AF"/>
    <w:rsid w:val="009323E0"/>
    <w:rsid w:val="0093248A"/>
    <w:rsid w:val="0093254F"/>
    <w:rsid w:val="009325AC"/>
    <w:rsid w:val="0093293B"/>
    <w:rsid w:val="00932CB5"/>
    <w:rsid w:val="00932D23"/>
    <w:rsid w:val="00932D50"/>
    <w:rsid w:val="00932F4C"/>
    <w:rsid w:val="009331BF"/>
    <w:rsid w:val="0093321D"/>
    <w:rsid w:val="0093339D"/>
    <w:rsid w:val="0093344C"/>
    <w:rsid w:val="009334A8"/>
    <w:rsid w:val="009334E1"/>
    <w:rsid w:val="00933573"/>
    <w:rsid w:val="009335F1"/>
    <w:rsid w:val="009336CB"/>
    <w:rsid w:val="00933704"/>
    <w:rsid w:val="00933726"/>
    <w:rsid w:val="00933976"/>
    <w:rsid w:val="00933D3C"/>
    <w:rsid w:val="00933F48"/>
    <w:rsid w:val="00933F5F"/>
    <w:rsid w:val="0093401B"/>
    <w:rsid w:val="00934172"/>
    <w:rsid w:val="00934708"/>
    <w:rsid w:val="009347C6"/>
    <w:rsid w:val="009347E2"/>
    <w:rsid w:val="009347FD"/>
    <w:rsid w:val="00934871"/>
    <w:rsid w:val="00934A29"/>
    <w:rsid w:val="00934AC8"/>
    <w:rsid w:val="00934B3C"/>
    <w:rsid w:val="00934C00"/>
    <w:rsid w:val="00934C48"/>
    <w:rsid w:val="00934FA8"/>
    <w:rsid w:val="00934FCA"/>
    <w:rsid w:val="00935000"/>
    <w:rsid w:val="00935055"/>
    <w:rsid w:val="0093511E"/>
    <w:rsid w:val="009351E4"/>
    <w:rsid w:val="00935272"/>
    <w:rsid w:val="009354E3"/>
    <w:rsid w:val="0093567C"/>
    <w:rsid w:val="009356A9"/>
    <w:rsid w:val="0093571E"/>
    <w:rsid w:val="009358D6"/>
    <w:rsid w:val="0093592E"/>
    <w:rsid w:val="009359DC"/>
    <w:rsid w:val="009359E6"/>
    <w:rsid w:val="00935A1E"/>
    <w:rsid w:val="00935AF6"/>
    <w:rsid w:val="00935B41"/>
    <w:rsid w:val="00935D7C"/>
    <w:rsid w:val="00935DE9"/>
    <w:rsid w:val="00935E24"/>
    <w:rsid w:val="00936115"/>
    <w:rsid w:val="00936156"/>
    <w:rsid w:val="00936247"/>
    <w:rsid w:val="009363AC"/>
    <w:rsid w:val="009363F0"/>
    <w:rsid w:val="00936532"/>
    <w:rsid w:val="00936665"/>
    <w:rsid w:val="009366A4"/>
    <w:rsid w:val="00936886"/>
    <w:rsid w:val="009368C3"/>
    <w:rsid w:val="00936AF0"/>
    <w:rsid w:val="00936B7A"/>
    <w:rsid w:val="00936F5F"/>
    <w:rsid w:val="00937013"/>
    <w:rsid w:val="0093701E"/>
    <w:rsid w:val="00937021"/>
    <w:rsid w:val="009370C0"/>
    <w:rsid w:val="00937100"/>
    <w:rsid w:val="0093710F"/>
    <w:rsid w:val="009371CE"/>
    <w:rsid w:val="00937239"/>
    <w:rsid w:val="0093727D"/>
    <w:rsid w:val="009373E5"/>
    <w:rsid w:val="009373F1"/>
    <w:rsid w:val="009374C8"/>
    <w:rsid w:val="009375E8"/>
    <w:rsid w:val="009376D2"/>
    <w:rsid w:val="0093793C"/>
    <w:rsid w:val="009379FD"/>
    <w:rsid w:val="00937C67"/>
    <w:rsid w:val="00937D41"/>
    <w:rsid w:val="00937E26"/>
    <w:rsid w:val="00937ECC"/>
    <w:rsid w:val="0094001A"/>
    <w:rsid w:val="0094005B"/>
    <w:rsid w:val="00940141"/>
    <w:rsid w:val="0094022E"/>
    <w:rsid w:val="009402AF"/>
    <w:rsid w:val="00940CD2"/>
    <w:rsid w:val="00940CF3"/>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3FE"/>
    <w:rsid w:val="00941432"/>
    <w:rsid w:val="0094144E"/>
    <w:rsid w:val="009415B2"/>
    <w:rsid w:val="0094165A"/>
    <w:rsid w:val="0094181F"/>
    <w:rsid w:val="009418CD"/>
    <w:rsid w:val="009419A6"/>
    <w:rsid w:val="00941A12"/>
    <w:rsid w:val="00941BF5"/>
    <w:rsid w:val="00941CC7"/>
    <w:rsid w:val="00941D0D"/>
    <w:rsid w:val="00941DE3"/>
    <w:rsid w:val="00941E90"/>
    <w:rsid w:val="0094203C"/>
    <w:rsid w:val="009420C8"/>
    <w:rsid w:val="00942110"/>
    <w:rsid w:val="009423A6"/>
    <w:rsid w:val="0094260F"/>
    <w:rsid w:val="0094263B"/>
    <w:rsid w:val="0094264D"/>
    <w:rsid w:val="0094266A"/>
    <w:rsid w:val="009426CA"/>
    <w:rsid w:val="00942732"/>
    <w:rsid w:val="00942AFC"/>
    <w:rsid w:val="00942C33"/>
    <w:rsid w:val="00942CFE"/>
    <w:rsid w:val="00942D49"/>
    <w:rsid w:val="00942D6B"/>
    <w:rsid w:val="00942F33"/>
    <w:rsid w:val="00942FB5"/>
    <w:rsid w:val="0094310E"/>
    <w:rsid w:val="00943569"/>
    <w:rsid w:val="00943616"/>
    <w:rsid w:val="009436FC"/>
    <w:rsid w:val="0094393F"/>
    <w:rsid w:val="00943A57"/>
    <w:rsid w:val="00943B4A"/>
    <w:rsid w:val="00943C75"/>
    <w:rsid w:val="00943CBF"/>
    <w:rsid w:val="00943D78"/>
    <w:rsid w:val="00943DFF"/>
    <w:rsid w:val="00943F74"/>
    <w:rsid w:val="00943F7E"/>
    <w:rsid w:val="009444C7"/>
    <w:rsid w:val="0094450D"/>
    <w:rsid w:val="00944535"/>
    <w:rsid w:val="00944602"/>
    <w:rsid w:val="0094467C"/>
    <w:rsid w:val="009446CE"/>
    <w:rsid w:val="00944703"/>
    <w:rsid w:val="009447A7"/>
    <w:rsid w:val="00944899"/>
    <w:rsid w:val="00944920"/>
    <w:rsid w:val="00944968"/>
    <w:rsid w:val="00944A8E"/>
    <w:rsid w:val="00944C9D"/>
    <w:rsid w:val="00944CF7"/>
    <w:rsid w:val="009450D6"/>
    <w:rsid w:val="0094513F"/>
    <w:rsid w:val="009452F3"/>
    <w:rsid w:val="009452F4"/>
    <w:rsid w:val="00945411"/>
    <w:rsid w:val="00945418"/>
    <w:rsid w:val="009455C1"/>
    <w:rsid w:val="0094563C"/>
    <w:rsid w:val="00945680"/>
    <w:rsid w:val="00945825"/>
    <w:rsid w:val="0094596A"/>
    <w:rsid w:val="009459DD"/>
    <w:rsid w:val="009459E1"/>
    <w:rsid w:val="00945C35"/>
    <w:rsid w:val="00945D92"/>
    <w:rsid w:val="00945E1E"/>
    <w:rsid w:val="00945E99"/>
    <w:rsid w:val="00945F76"/>
    <w:rsid w:val="00945FA2"/>
    <w:rsid w:val="00945FD2"/>
    <w:rsid w:val="00946031"/>
    <w:rsid w:val="00946124"/>
    <w:rsid w:val="009461BF"/>
    <w:rsid w:val="0094662D"/>
    <w:rsid w:val="0094682B"/>
    <w:rsid w:val="00946B48"/>
    <w:rsid w:val="00946BAC"/>
    <w:rsid w:val="00946C86"/>
    <w:rsid w:val="00946DCF"/>
    <w:rsid w:val="00946E85"/>
    <w:rsid w:val="00946EB2"/>
    <w:rsid w:val="00947060"/>
    <w:rsid w:val="009470BE"/>
    <w:rsid w:val="009471CA"/>
    <w:rsid w:val="009472B7"/>
    <w:rsid w:val="00947527"/>
    <w:rsid w:val="00947A38"/>
    <w:rsid w:val="00947D19"/>
    <w:rsid w:val="00947D7E"/>
    <w:rsid w:val="00950163"/>
    <w:rsid w:val="00950282"/>
    <w:rsid w:val="00950299"/>
    <w:rsid w:val="009502E2"/>
    <w:rsid w:val="0095040F"/>
    <w:rsid w:val="00950690"/>
    <w:rsid w:val="00950903"/>
    <w:rsid w:val="0095091A"/>
    <w:rsid w:val="00950ACB"/>
    <w:rsid w:val="00950B60"/>
    <w:rsid w:val="00950CE8"/>
    <w:rsid w:val="00950D09"/>
    <w:rsid w:val="00950D57"/>
    <w:rsid w:val="00950F74"/>
    <w:rsid w:val="00951070"/>
    <w:rsid w:val="0095128E"/>
    <w:rsid w:val="009512D9"/>
    <w:rsid w:val="00951322"/>
    <w:rsid w:val="0095142B"/>
    <w:rsid w:val="00951584"/>
    <w:rsid w:val="00951B0D"/>
    <w:rsid w:val="00951BB4"/>
    <w:rsid w:val="00951D41"/>
    <w:rsid w:val="00952004"/>
    <w:rsid w:val="0095205E"/>
    <w:rsid w:val="009520AF"/>
    <w:rsid w:val="00952259"/>
    <w:rsid w:val="0095226D"/>
    <w:rsid w:val="00952333"/>
    <w:rsid w:val="009524BC"/>
    <w:rsid w:val="00952600"/>
    <w:rsid w:val="009529C8"/>
    <w:rsid w:val="00952B51"/>
    <w:rsid w:val="00952DBB"/>
    <w:rsid w:val="00952E22"/>
    <w:rsid w:val="00952E9A"/>
    <w:rsid w:val="00952EC5"/>
    <w:rsid w:val="00952FAB"/>
    <w:rsid w:val="00953229"/>
    <w:rsid w:val="009533E1"/>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EC"/>
    <w:rsid w:val="00954743"/>
    <w:rsid w:val="00954776"/>
    <w:rsid w:val="00954846"/>
    <w:rsid w:val="00954A86"/>
    <w:rsid w:val="00954ACB"/>
    <w:rsid w:val="00954B57"/>
    <w:rsid w:val="00954CC7"/>
    <w:rsid w:val="00954E6C"/>
    <w:rsid w:val="00954F11"/>
    <w:rsid w:val="00954F19"/>
    <w:rsid w:val="00954F77"/>
    <w:rsid w:val="00955141"/>
    <w:rsid w:val="009551BC"/>
    <w:rsid w:val="00955224"/>
    <w:rsid w:val="0095538F"/>
    <w:rsid w:val="00955531"/>
    <w:rsid w:val="009556F5"/>
    <w:rsid w:val="0095570A"/>
    <w:rsid w:val="00955718"/>
    <w:rsid w:val="0095574E"/>
    <w:rsid w:val="009557D2"/>
    <w:rsid w:val="009557FB"/>
    <w:rsid w:val="00955833"/>
    <w:rsid w:val="00955BBA"/>
    <w:rsid w:val="00955C6B"/>
    <w:rsid w:val="00955C95"/>
    <w:rsid w:val="00955CCD"/>
    <w:rsid w:val="00955D57"/>
    <w:rsid w:val="00955DE0"/>
    <w:rsid w:val="00955E56"/>
    <w:rsid w:val="00955EC7"/>
    <w:rsid w:val="00956075"/>
    <w:rsid w:val="0095630A"/>
    <w:rsid w:val="00956346"/>
    <w:rsid w:val="00956379"/>
    <w:rsid w:val="0095640F"/>
    <w:rsid w:val="009564E9"/>
    <w:rsid w:val="009565D5"/>
    <w:rsid w:val="009567BC"/>
    <w:rsid w:val="009568F5"/>
    <w:rsid w:val="009568FD"/>
    <w:rsid w:val="00956996"/>
    <w:rsid w:val="00956A2C"/>
    <w:rsid w:val="00956ADF"/>
    <w:rsid w:val="00956AE1"/>
    <w:rsid w:val="00956E98"/>
    <w:rsid w:val="00956E9E"/>
    <w:rsid w:val="00956EAA"/>
    <w:rsid w:val="00956F7E"/>
    <w:rsid w:val="00956FF4"/>
    <w:rsid w:val="00957048"/>
    <w:rsid w:val="009570A4"/>
    <w:rsid w:val="009570DA"/>
    <w:rsid w:val="009572D0"/>
    <w:rsid w:val="009573E7"/>
    <w:rsid w:val="009574E7"/>
    <w:rsid w:val="00957662"/>
    <w:rsid w:val="009576DA"/>
    <w:rsid w:val="009576E1"/>
    <w:rsid w:val="009577DA"/>
    <w:rsid w:val="009577EA"/>
    <w:rsid w:val="00957812"/>
    <w:rsid w:val="009578CF"/>
    <w:rsid w:val="00957938"/>
    <w:rsid w:val="009579F4"/>
    <w:rsid w:val="00957A7A"/>
    <w:rsid w:val="00957BAC"/>
    <w:rsid w:val="00957DDD"/>
    <w:rsid w:val="00957E57"/>
    <w:rsid w:val="00957FDF"/>
    <w:rsid w:val="0096023A"/>
    <w:rsid w:val="00960249"/>
    <w:rsid w:val="0096025F"/>
    <w:rsid w:val="00960378"/>
    <w:rsid w:val="0096043C"/>
    <w:rsid w:val="00960683"/>
    <w:rsid w:val="0096070B"/>
    <w:rsid w:val="00960790"/>
    <w:rsid w:val="009607F7"/>
    <w:rsid w:val="00960850"/>
    <w:rsid w:val="00960919"/>
    <w:rsid w:val="00960999"/>
    <w:rsid w:val="00960AF0"/>
    <w:rsid w:val="00960CCD"/>
    <w:rsid w:val="00960F13"/>
    <w:rsid w:val="00960F76"/>
    <w:rsid w:val="00960F7C"/>
    <w:rsid w:val="00961007"/>
    <w:rsid w:val="00961114"/>
    <w:rsid w:val="009611D0"/>
    <w:rsid w:val="00961204"/>
    <w:rsid w:val="0096123F"/>
    <w:rsid w:val="009614B0"/>
    <w:rsid w:val="00961516"/>
    <w:rsid w:val="0096168D"/>
    <w:rsid w:val="00961718"/>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69A"/>
    <w:rsid w:val="0096286C"/>
    <w:rsid w:val="00962A4F"/>
    <w:rsid w:val="00962B0E"/>
    <w:rsid w:val="00962BBE"/>
    <w:rsid w:val="00962BF1"/>
    <w:rsid w:val="00962E4D"/>
    <w:rsid w:val="00962E8C"/>
    <w:rsid w:val="00962EEF"/>
    <w:rsid w:val="00962F4B"/>
    <w:rsid w:val="009630E8"/>
    <w:rsid w:val="00963117"/>
    <w:rsid w:val="00963183"/>
    <w:rsid w:val="0096318F"/>
    <w:rsid w:val="009632DA"/>
    <w:rsid w:val="009634C9"/>
    <w:rsid w:val="009634E5"/>
    <w:rsid w:val="009636E6"/>
    <w:rsid w:val="00963833"/>
    <w:rsid w:val="00963836"/>
    <w:rsid w:val="0096388E"/>
    <w:rsid w:val="00963B2E"/>
    <w:rsid w:val="00963BEB"/>
    <w:rsid w:val="00963E09"/>
    <w:rsid w:val="00963F1E"/>
    <w:rsid w:val="00963FBF"/>
    <w:rsid w:val="00964012"/>
    <w:rsid w:val="00964088"/>
    <w:rsid w:val="009642C5"/>
    <w:rsid w:val="00964324"/>
    <w:rsid w:val="009645EE"/>
    <w:rsid w:val="0096479F"/>
    <w:rsid w:val="009647BC"/>
    <w:rsid w:val="00964AE8"/>
    <w:rsid w:val="00964C2A"/>
    <w:rsid w:val="00964C45"/>
    <w:rsid w:val="00964D23"/>
    <w:rsid w:val="00964F0A"/>
    <w:rsid w:val="00964F2C"/>
    <w:rsid w:val="00964FCF"/>
    <w:rsid w:val="00964FF2"/>
    <w:rsid w:val="0096505E"/>
    <w:rsid w:val="00965217"/>
    <w:rsid w:val="00965266"/>
    <w:rsid w:val="0096530D"/>
    <w:rsid w:val="00965500"/>
    <w:rsid w:val="0096562D"/>
    <w:rsid w:val="00965A6C"/>
    <w:rsid w:val="00965AB4"/>
    <w:rsid w:val="00965C69"/>
    <w:rsid w:val="009660E7"/>
    <w:rsid w:val="0096610C"/>
    <w:rsid w:val="0096613C"/>
    <w:rsid w:val="0096613F"/>
    <w:rsid w:val="00966263"/>
    <w:rsid w:val="0096626E"/>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604"/>
    <w:rsid w:val="009678AB"/>
    <w:rsid w:val="00967910"/>
    <w:rsid w:val="00967962"/>
    <w:rsid w:val="00967A0F"/>
    <w:rsid w:val="00967C0B"/>
    <w:rsid w:val="00967C38"/>
    <w:rsid w:val="00967CE6"/>
    <w:rsid w:val="009700B8"/>
    <w:rsid w:val="00970156"/>
    <w:rsid w:val="0097018F"/>
    <w:rsid w:val="00970667"/>
    <w:rsid w:val="009707C3"/>
    <w:rsid w:val="00970821"/>
    <w:rsid w:val="009709B3"/>
    <w:rsid w:val="009709EF"/>
    <w:rsid w:val="00970ABC"/>
    <w:rsid w:val="00970B24"/>
    <w:rsid w:val="00970C60"/>
    <w:rsid w:val="00970C9B"/>
    <w:rsid w:val="00970D80"/>
    <w:rsid w:val="0097103D"/>
    <w:rsid w:val="009710F6"/>
    <w:rsid w:val="009711D8"/>
    <w:rsid w:val="0097123F"/>
    <w:rsid w:val="009713F4"/>
    <w:rsid w:val="00971403"/>
    <w:rsid w:val="009716F4"/>
    <w:rsid w:val="00971718"/>
    <w:rsid w:val="009717BF"/>
    <w:rsid w:val="00971855"/>
    <w:rsid w:val="009718DF"/>
    <w:rsid w:val="00971956"/>
    <w:rsid w:val="00971988"/>
    <w:rsid w:val="00971BB3"/>
    <w:rsid w:val="00971E4F"/>
    <w:rsid w:val="00971E55"/>
    <w:rsid w:val="00971F05"/>
    <w:rsid w:val="00971FC7"/>
    <w:rsid w:val="00971FED"/>
    <w:rsid w:val="009720AC"/>
    <w:rsid w:val="0097213B"/>
    <w:rsid w:val="00972141"/>
    <w:rsid w:val="00972388"/>
    <w:rsid w:val="009723D8"/>
    <w:rsid w:val="00972520"/>
    <w:rsid w:val="00972980"/>
    <w:rsid w:val="00972994"/>
    <w:rsid w:val="00972ABC"/>
    <w:rsid w:val="00972B23"/>
    <w:rsid w:val="00972C37"/>
    <w:rsid w:val="00972C40"/>
    <w:rsid w:val="00972C8A"/>
    <w:rsid w:val="00972D64"/>
    <w:rsid w:val="00972D70"/>
    <w:rsid w:val="00972E7C"/>
    <w:rsid w:val="00973702"/>
    <w:rsid w:val="00973740"/>
    <w:rsid w:val="009737D1"/>
    <w:rsid w:val="00973823"/>
    <w:rsid w:val="00973859"/>
    <w:rsid w:val="009739EF"/>
    <w:rsid w:val="00973B3B"/>
    <w:rsid w:val="00973B61"/>
    <w:rsid w:val="00973B97"/>
    <w:rsid w:val="00973ECA"/>
    <w:rsid w:val="00974062"/>
    <w:rsid w:val="009740AD"/>
    <w:rsid w:val="009741BE"/>
    <w:rsid w:val="009741D1"/>
    <w:rsid w:val="009741ED"/>
    <w:rsid w:val="0097429B"/>
    <w:rsid w:val="009742DC"/>
    <w:rsid w:val="0097440C"/>
    <w:rsid w:val="009744CC"/>
    <w:rsid w:val="00974537"/>
    <w:rsid w:val="009745EC"/>
    <w:rsid w:val="009746B8"/>
    <w:rsid w:val="009746CC"/>
    <w:rsid w:val="0097490E"/>
    <w:rsid w:val="0097494C"/>
    <w:rsid w:val="00974AD7"/>
    <w:rsid w:val="00974BE8"/>
    <w:rsid w:val="00974C9C"/>
    <w:rsid w:val="00974CE6"/>
    <w:rsid w:val="00974D36"/>
    <w:rsid w:val="00974D85"/>
    <w:rsid w:val="00974E1D"/>
    <w:rsid w:val="0097515E"/>
    <w:rsid w:val="009752A2"/>
    <w:rsid w:val="009753C6"/>
    <w:rsid w:val="009753FC"/>
    <w:rsid w:val="009756D4"/>
    <w:rsid w:val="00975702"/>
    <w:rsid w:val="009757F5"/>
    <w:rsid w:val="00975865"/>
    <w:rsid w:val="00975970"/>
    <w:rsid w:val="00975985"/>
    <w:rsid w:val="00975A5A"/>
    <w:rsid w:val="00975B45"/>
    <w:rsid w:val="00975CFD"/>
    <w:rsid w:val="00975F7B"/>
    <w:rsid w:val="009760AD"/>
    <w:rsid w:val="009760F9"/>
    <w:rsid w:val="00976318"/>
    <w:rsid w:val="00976374"/>
    <w:rsid w:val="009763CD"/>
    <w:rsid w:val="009763FA"/>
    <w:rsid w:val="0097646C"/>
    <w:rsid w:val="00976543"/>
    <w:rsid w:val="0097658E"/>
    <w:rsid w:val="00976818"/>
    <w:rsid w:val="0097684B"/>
    <w:rsid w:val="00976944"/>
    <w:rsid w:val="00976A0B"/>
    <w:rsid w:val="00976C88"/>
    <w:rsid w:val="00976D64"/>
    <w:rsid w:val="00976EEC"/>
    <w:rsid w:val="00976F16"/>
    <w:rsid w:val="00977069"/>
    <w:rsid w:val="0097707C"/>
    <w:rsid w:val="009770B1"/>
    <w:rsid w:val="00977207"/>
    <w:rsid w:val="009772AB"/>
    <w:rsid w:val="00977344"/>
    <w:rsid w:val="009773AD"/>
    <w:rsid w:val="009773FE"/>
    <w:rsid w:val="00977464"/>
    <w:rsid w:val="009774F5"/>
    <w:rsid w:val="009779D1"/>
    <w:rsid w:val="00977B66"/>
    <w:rsid w:val="00977D82"/>
    <w:rsid w:val="00977EB2"/>
    <w:rsid w:val="00977F0C"/>
    <w:rsid w:val="00977FFA"/>
    <w:rsid w:val="0098001E"/>
    <w:rsid w:val="00980057"/>
    <w:rsid w:val="009800B1"/>
    <w:rsid w:val="009801B2"/>
    <w:rsid w:val="009802B5"/>
    <w:rsid w:val="009802E4"/>
    <w:rsid w:val="009803BD"/>
    <w:rsid w:val="00980614"/>
    <w:rsid w:val="0098079B"/>
    <w:rsid w:val="0098083E"/>
    <w:rsid w:val="0098087E"/>
    <w:rsid w:val="00980897"/>
    <w:rsid w:val="00980A92"/>
    <w:rsid w:val="00980AB5"/>
    <w:rsid w:val="00980CA8"/>
    <w:rsid w:val="00980DB7"/>
    <w:rsid w:val="00980FE2"/>
    <w:rsid w:val="00981057"/>
    <w:rsid w:val="009810DA"/>
    <w:rsid w:val="00981195"/>
    <w:rsid w:val="00981544"/>
    <w:rsid w:val="009815B6"/>
    <w:rsid w:val="009815BE"/>
    <w:rsid w:val="0098168A"/>
    <w:rsid w:val="009816D6"/>
    <w:rsid w:val="009817F9"/>
    <w:rsid w:val="00981829"/>
    <w:rsid w:val="0098182E"/>
    <w:rsid w:val="009818E9"/>
    <w:rsid w:val="0098193E"/>
    <w:rsid w:val="009819C4"/>
    <w:rsid w:val="009819C5"/>
    <w:rsid w:val="00981A03"/>
    <w:rsid w:val="00981A8F"/>
    <w:rsid w:val="00981AEC"/>
    <w:rsid w:val="00981C40"/>
    <w:rsid w:val="00981C58"/>
    <w:rsid w:val="00981E00"/>
    <w:rsid w:val="00981E13"/>
    <w:rsid w:val="00981E14"/>
    <w:rsid w:val="009820E6"/>
    <w:rsid w:val="0098217B"/>
    <w:rsid w:val="009822E4"/>
    <w:rsid w:val="0098232E"/>
    <w:rsid w:val="00982574"/>
    <w:rsid w:val="00982579"/>
    <w:rsid w:val="00982694"/>
    <w:rsid w:val="009828F3"/>
    <w:rsid w:val="009829B8"/>
    <w:rsid w:val="009829DC"/>
    <w:rsid w:val="00982BB2"/>
    <w:rsid w:val="00982C5C"/>
    <w:rsid w:val="00982F37"/>
    <w:rsid w:val="00983142"/>
    <w:rsid w:val="0098315F"/>
    <w:rsid w:val="00983180"/>
    <w:rsid w:val="009832CD"/>
    <w:rsid w:val="0098342C"/>
    <w:rsid w:val="0098346D"/>
    <w:rsid w:val="009834A7"/>
    <w:rsid w:val="009836E2"/>
    <w:rsid w:val="00983A26"/>
    <w:rsid w:val="00983BC8"/>
    <w:rsid w:val="00983BD1"/>
    <w:rsid w:val="00983C7F"/>
    <w:rsid w:val="00983D79"/>
    <w:rsid w:val="00983DDC"/>
    <w:rsid w:val="0098418E"/>
    <w:rsid w:val="009841EB"/>
    <w:rsid w:val="0098425A"/>
    <w:rsid w:val="0098425C"/>
    <w:rsid w:val="00984327"/>
    <w:rsid w:val="009843B8"/>
    <w:rsid w:val="00984519"/>
    <w:rsid w:val="00984523"/>
    <w:rsid w:val="0098463E"/>
    <w:rsid w:val="00984737"/>
    <w:rsid w:val="00984856"/>
    <w:rsid w:val="00984AFD"/>
    <w:rsid w:val="00984BFA"/>
    <w:rsid w:val="00984D03"/>
    <w:rsid w:val="00984FEE"/>
    <w:rsid w:val="009850DB"/>
    <w:rsid w:val="009852DB"/>
    <w:rsid w:val="009856EB"/>
    <w:rsid w:val="0098595F"/>
    <w:rsid w:val="00985A31"/>
    <w:rsid w:val="00985AA3"/>
    <w:rsid w:val="00985B1C"/>
    <w:rsid w:val="00985D06"/>
    <w:rsid w:val="00986188"/>
    <w:rsid w:val="0098618D"/>
    <w:rsid w:val="009861C2"/>
    <w:rsid w:val="00986336"/>
    <w:rsid w:val="0098643E"/>
    <w:rsid w:val="009864C7"/>
    <w:rsid w:val="009865D6"/>
    <w:rsid w:val="00986704"/>
    <w:rsid w:val="00986779"/>
    <w:rsid w:val="009867EE"/>
    <w:rsid w:val="00986A60"/>
    <w:rsid w:val="00986BD8"/>
    <w:rsid w:val="00986C58"/>
    <w:rsid w:val="00986D11"/>
    <w:rsid w:val="00986EE7"/>
    <w:rsid w:val="00987018"/>
    <w:rsid w:val="0098706F"/>
    <w:rsid w:val="009870CE"/>
    <w:rsid w:val="0098714D"/>
    <w:rsid w:val="0098738E"/>
    <w:rsid w:val="009873FB"/>
    <w:rsid w:val="00987735"/>
    <w:rsid w:val="0098776B"/>
    <w:rsid w:val="009878A7"/>
    <w:rsid w:val="009879B1"/>
    <w:rsid w:val="00987A35"/>
    <w:rsid w:val="00987B71"/>
    <w:rsid w:val="00987B74"/>
    <w:rsid w:val="00987D46"/>
    <w:rsid w:val="00987EC5"/>
    <w:rsid w:val="00987F35"/>
    <w:rsid w:val="00990372"/>
    <w:rsid w:val="00990424"/>
    <w:rsid w:val="00990529"/>
    <w:rsid w:val="0099058E"/>
    <w:rsid w:val="00990680"/>
    <w:rsid w:val="009907F4"/>
    <w:rsid w:val="00990985"/>
    <w:rsid w:val="00990A1D"/>
    <w:rsid w:val="00990DA7"/>
    <w:rsid w:val="00990DD1"/>
    <w:rsid w:val="00990EF8"/>
    <w:rsid w:val="0099132A"/>
    <w:rsid w:val="0099133A"/>
    <w:rsid w:val="00991567"/>
    <w:rsid w:val="009915E0"/>
    <w:rsid w:val="00991889"/>
    <w:rsid w:val="0099192D"/>
    <w:rsid w:val="009919E8"/>
    <w:rsid w:val="00991B80"/>
    <w:rsid w:val="00991C92"/>
    <w:rsid w:val="00991D04"/>
    <w:rsid w:val="00991D3F"/>
    <w:rsid w:val="00991EED"/>
    <w:rsid w:val="00991FF1"/>
    <w:rsid w:val="009920DD"/>
    <w:rsid w:val="00992438"/>
    <w:rsid w:val="0099250D"/>
    <w:rsid w:val="00992562"/>
    <w:rsid w:val="00992580"/>
    <w:rsid w:val="009925A9"/>
    <w:rsid w:val="009926D9"/>
    <w:rsid w:val="009927ED"/>
    <w:rsid w:val="00992825"/>
    <w:rsid w:val="009929E7"/>
    <w:rsid w:val="00992A76"/>
    <w:rsid w:val="00992CA0"/>
    <w:rsid w:val="00992CC1"/>
    <w:rsid w:val="00992F67"/>
    <w:rsid w:val="00992FA7"/>
    <w:rsid w:val="009932AD"/>
    <w:rsid w:val="009933FD"/>
    <w:rsid w:val="00993460"/>
    <w:rsid w:val="0099350F"/>
    <w:rsid w:val="00993669"/>
    <w:rsid w:val="009936A9"/>
    <w:rsid w:val="0099383A"/>
    <w:rsid w:val="00993AD6"/>
    <w:rsid w:val="00993C6F"/>
    <w:rsid w:val="00993FC5"/>
    <w:rsid w:val="009941C5"/>
    <w:rsid w:val="009942BD"/>
    <w:rsid w:val="009942FC"/>
    <w:rsid w:val="00994364"/>
    <w:rsid w:val="00994490"/>
    <w:rsid w:val="00994581"/>
    <w:rsid w:val="00994598"/>
    <w:rsid w:val="009945A7"/>
    <w:rsid w:val="009946C3"/>
    <w:rsid w:val="009946E2"/>
    <w:rsid w:val="0099470D"/>
    <w:rsid w:val="0099472F"/>
    <w:rsid w:val="00994841"/>
    <w:rsid w:val="009948AA"/>
    <w:rsid w:val="00994958"/>
    <w:rsid w:val="009949B8"/>
    <w:rsid w:val="009949D8"/>
    <w:rsid w:val="00994C16"/>
    <w:rsid w:val="00994C37"/>
    <w:rsid w:val="00994D2D"/>
    <w:rsid w:val="00994D6E"/>
    <w:rsid w:val="009950D8"/>
    <w:rsid w:val="0099536E"/>
    <w:rsid w:val="00995397"/>
    <w:rsid w:val="009953B3"/>
    <w:rsid w:val="00995599"/>
    <w:rsid w:val="00995675"/>
    <w:rsid w:val="00995A20"/>
    <w:rsid w:val="00995ABC"/>
    <w:rsid w:val="00995DA5"/>
    <w:rsid w:val="00995E84"/>
    <w:rsid w:val="00996023"/>
    <w:rsid w:val="009965E2"/>
    <w:rsid w:val="0099681D"/>
    <w:rsid w:val="009969B0"/>
    <w:rsid w:val="00996AB7"/>
    <w:rsid w:val="00996B1D"/>
    <w:rsid w:val="00996BA6"/>
    <w:rsid w:val="00996D2D"/>
    <w:rsid w:val="00996EEF"/>
    <w:rsid w:val="00997056"/>
    <w:rsid w:val="009971A9"/>
    <w:rsid w:val="00997273"/>
    <w:rsid w:val="009974BE"/>
    <w:rsid w:val="00997703"/>
    <w:rsid w:val="009A010B"/>
    <w:rsid w:val="009A023E"/>
    <w:rsid w:val="009A0253"/>
    <w:rsid w:val="009A0293"/>
    <w:rsid w:val="009A0306"/>
    <w:rsid w:val="009A03AC"/>
    <w:rsid w:val="009A048D"/>
    <w:rsid w:val="009A04B8"/>
    <w:rsid w:val="009A05E2"/>
    <w:rsid w:val="009A089F"/>
    <w:rsid w:val="009A0ACE"/>
    <w:rsid w:val="009A0AF8"/>
    <w:rsid w:val="009A0CDD"/>
    <w:rsid w:val="009A0EAC"/>
    <w:rsid w:val="009A0F9E"/>
    <w:rsid w:val="009A115D"/>
    <w:rsid w:val="009A1264"/>
    <w:rsid w:val="009A13AC"/>
    <w:rsid w:val="009A1435"/>
    <w:rsid w:val="009A14DB"/>
    <w:rsid w:val="009A1546"/>
    <w:rsid w:val="009A1719"/>
    <w:rsid w:val="009A17C7"/>
    <w:rsid w:val="009A1863"/>
    <w:rsid w:val="009A1920"/>
    <w:rsid w:val="009A1AB8"/>
    <w:rsid w:val="009A1BD3"/>
    <w:rsid w:val="009A1E9B"/>
    <w:rsid w:val="009A1F53"/>
    <w:rsid w:val="009A20FC"/>
    <w:rsid w:val="009A21DF"/>
    <w:rsid w:val="009A22A3"/>
    <w:rsid w:val="009A2323"/>
    <w:rsid w:val="009A2399"/>
    <w:rsid w:val="009A23D2"/>
    <w:rsid w:val="009A254A"/>
    <w:rsid w:val="009A26F6"/>
    <w:rsid w:val="009A2790"/>
    <w:rsid w:val="009A27BC"/>
    <w:rsid w:val="009A2986"/>
    <w:rsid w:val="009A2B28"/>
    <w:rsid w:val="009A2B42"/>
    <w:rsid w:val="009A2C19"/>
    <w:rsid w:val="009A2C53"/>
    <w:rsid w:val="009A2E25"/>
    <w:rsid w:val="009A2ED8"/>
    <w:rsid w:val="009A3119"/>
    <w:rsid w:val="009A31E8"/>
    <w:rsid w:val="009A3238"/>
    <w:rsid w:val="009A33C4"/>
    <w:rsid w:val="009A33CB"/>
    <w:rsid w:val="009A341A"/>
    <w:rsid w:val="009A3645"/>
    <w:rsid w:val="009A3680"/>
    <w:rsid w:val="009A37C1"/>
    <w:rsid w:val="009A37EF"/>
    <w:rsid w:val="009A386B"/>
    <w:rsid w:val="009A39E5"/>
    <w:rsid w:val="009A39E7"/>
    <w:rsid w:val="009A3A17"/>
    <w:rsid w:val="009A3B08"/>
    <w:rsid w:val="009A3D7C"/>
    <w:rsid w:val="009A3E4D"/>
    <w:rsid w:val="009A3F44"/>
    <w:rsid w:val="009A3F8D"/>
    <w:rsid w:val="009A4090"/>
    <w:rsid w:val="009A426A"/>
    <w:rsid w:val="009A4291"/>
    <w:rsid w:val="009A4313"/>
    <w:rsid w:val="009A448F"/>
    <w:rsid w:val="009A461E"/>
    <w:rsid w:val="009A4704"/>
    <w:rsid w:val="009A491C"/>
    <w:rsid w:val="009A4977"/>
    <w:rsid w:val="009A4B9B"/>
    <w:rsid w:val="009A4C4A"/>
    <w:rsid w:val="009A4C56"/>
    <w:rsid w:val="009A4D43"/>
    <w:rsid w:val="009A5114"/>
    <w:rsid w:val="009A513E"/>
    <w:rsid w:val="009A5206"/>
    <w:rsid w:val="009A5291"/>
    <w:rsid w:val="009A5389"/>
    <w:rsid w:val="009A53BD"/>
    <w:rsid w:val="009A53F8"/>
    <w:rsid w:val="009A5502"/>
    <w:rsid w:val="009A5604"/>
    <w:rsid w:val="009A5689"/>
    <w:rsid w:val="009A5738"/>
    <w:rsid w:val="009A5779"/>
    <w:rsid w:val="009A58D1"/>
    <w:rsid w:val="009A58F3"/>
    <w:rsid w:val="009A5963"/>
    <w:rsid w:val="009A5983"/>
    <w:rsid w:val="009A5A8B"/>
    <w:rsid w:val="009A5CA7"/>
    <w:rsid w:val="009A5EDC"/>
    <w:rsid w:val="009A6072"/>
    <w:rsid w:val="009A61A2"/>
    <w:rsid w:val="009A61EB"/>
    <w:rsid w:val="009A622E"/>
    <w:rsid w:val="009A630F"/>
    <w:rsid w:val="009A639A"/>
    <w:rsid w:val="009A656B"/>
    <w:rsid w:val="009A69AF"/>
    <w:rsid w:val="009A6A45"/>
    <w:rsid w:val="009A6A8C"/>
    <w:rsid w:val="009A6B16"/>
    <w:rsid w:val="009A6B7B"/>
    <w:rsid w:val="009A6DBC"/>
    <w:rsid w:val="009A6E39"/>
    <w:rsid w:val="009A7019"/>
    <w:rsid w:val="009A7020"/>
    <w:rsid w:val="009A7068"/>
    <w:rsid w:val="009A70D2"/>
    <w:rsid w:val="009A7331"/>
    <w:rsid w:val="009A736B"/>
    <w:rsid w:val="009A7374"/>
    <w:rsid w:val="009A73D6"/>
    <w:rsid w:val="009A771E"/>
    <w:rsid w:val="009A7791"/>
    <w:rsid w:val="009A77C4"/>
    <w:rsid w:val="009A793F"/>
    <w:rsid w:val="009A7AA0"/>
    <w:rsid w:val="009A7AA6"/>
    <w:rsid w:val="009A7B21"/>
    <w:rsid w:val="009A7C31"/>
    <w:rsid w:val="009A7C46"/>
    <w:rsid w:val="009A7D14"/>
    <w:rsid w:val="009A7D35"/>
    <w:rsid w:val="009A7D5B"/>
    <w:rsid w:val="009A7DB8"/>
    <w:rsid w:val="009A7ED3"/>
    <w:rsid w:val="009A7EE9"/>
    <w:rsid w:val="009A7F26"/>
    <w:rsid w:val="009B018F"/>
    <w:rsid w:val="009B05EF"/>
    <w:rsid w:val="009B061C"/>
    <w:rsid w:val="009B0745"/>
    <w:rsid w:val="009B0802"/>
    <w:rsid w:val="009B0843"/>
    <w:rsid w:val="009B0A48"/>
    <w:rsid w:val="009B0A64"/>
    <w:rsid w:val="009B0CB2"/>
    <w:rsid w:val="009B0D28"/>
    <w:rsid w:val="009B0DAE"/>
    <w:rsid w:val="009B0E83"/>
    <w:rsid w:val="009B0E90"/>
    <w:rsid w:val="009B0EC0"/>
    <w:rsid w:val="009B0F5F"/>
    <w:rsid w:val="009B0F71"/>
    <w:rsid w:val="009B115F"/>
    <w:rsid w:val="009B1212"/>
    <w:rsid w:val="009B12AC"/>
    <w:rsid w:val="009B1326"/>
    <w:rsid w:val="009B1327"/>
    <w:rsid w:val="009B1445"/>
    <w:rsid w:val="009B1551"/>
    <w:rsid w:val="009B156C"/>
    <w:rsid w:val="009B15B8"/>
    <w:rsid w:val="009B1633"/>
    <w:rsid w:val="009B1A48"/>
    <w:rsid w:val="009B1A8B"/>
    <w:rsid w:val="009B1B06"/>
    <w:rsid w:val="009B1E28"/>
    <w:rsid w:val="009B208A"/>
    <w:rsid w:val="009B20BC"/>
    <w:rsid w:val="009B2152"/>
    <w:rsid w:val="009B21A8"/>
    <w:rsid w:val="009B2231"/>
    <w:rsid w:val="009B22A1"/>
    <w:rsid w:val="009B2375"/>
    <w:rsid w:val="009B2563"/>
    <w:rsid w:val="009B2648"/>
    <w:rsid w:val="009B28D9"/>
    <w:rsid w:val="009B2A27"/>
    <w:rsid w:val="009B2AB3"/>
    <w:rsid w:val="009B2AE2"/>
    <w:rsid w:val="009B2B9C"/>
    <w:rsid w:val="009B2BB7"/>
    <w:rsid w:val="009B2CE3"/>
    <w:rsid w:val="009B2DC0"/>
    <w:rsid w:val="009B2DD0"/>
    <w:rsid w:val="009B2FDB"/>
    <w:rsid w:val="009B3113"/>
    <w:rsid w:val="009B314F"/>
    <w:rsid w:val="009B31E4"/>
    <w:rsid w:val="009B3296"/>
    <w:rsid w:val="009B3575"/>
    <w:rsid w:val="009B35D5"/>
    <w:rsid w:val="009B36B4"/>
    <w:rsid w:val="009B37F4"/>
    <w:rsid w:val="009B3853"/>
    <w:rsid w:val="009B3893"/>
    <w:rsid w:val="009B38EA"/>
    <w:rsid w:val="009B3A0D"/>
    <w:rsid w:val="009B3A5B"/>
    <w:rsid w:val="009B3C64"/>
    <w:rsid w:val="009B3F0D"/>
    <w:rsid w:val="009B3FD0"/>
    <w:rsid w:val="009B412B"/>
    <w:rsid w:val="009B4130"/>
    <w:rsid w:val="009B41F3"/>
    <w:rsid w:val="009B4273"/>
    <w:rsid w:val="009B430A"/>
    <w:rsid w:val="009B43FF"/>
    <w:rsid w:val="009B4761"/>
    <w:rsid w:val="009B4837"/>
    <w:rsid w:val="009B497F"/>
    <w:rsid w:val="009B49B4"/>
    <w:rsid w:val="009B4AFC"/>
    <w:rsid w:val="009B4BE3"/>
    <w:rsid w:val="009B4C09"/>
    <w:rsid w:val="009B4E79"/>
    <w:rsid w:val="009B50C1"/>
    <w:rsid w:val="009B52AB"/>
    <w:rsid w:val="009B5440"/>
    <w:rsid w:val="009B5443"/>
    <w:rsid w:val="009B5649"/>
    <w:rsid w:val="009B576B"/>
    <w:rsid w:val="009B5806"/>
    <w:rsid w:val="009B581A"/>
    <w:rsid w:val="009B586D"/>
    <w:rsid w:val="009B5C82"/>
    <w:rsid w:val="009B5D0F"/>
    <w:rsid w:val="009B5D57"/>
    <w:rsid w:val="009B5D99"/>
    <w:rsid w:val="009B5E38"/>
    <w:rsid w:val="009B5F8E"/>
    <w:rsid w:val="009B5FD1"/>
    <w:rsid w:val="009B6031"/>
    <w:rsid w:val="009B614A"/>
    <w:rsid w:val="009B61B1"/>
    <w:rsid w:val="009B6504"/>
    <w:rsid w:val="009B68E8"/>
    <w:rsid w:val="009B69D1"/>
    <w:rsid w:val="009B6ABA"/>
    <w:rsid w:val="009B6CB9"/>
    <w:rsid w:val="009B7057"/>
    <w:rsid w:val="009B73C3"/>
    <w:rsid w:val="009B741D"/>
    <w:rsid w:val="009B75D2"/>
    <w:rsid w:val="009B760F"/>
    <w:rsid w:val="009B7723"/>
    <w:rsid w:val="009B7797"/>
    <w:rsid w:val="009B7AD9"/>
    <w:rsid w:val="009B7B28"/>
    <w:rsid w:val="009B7C5C"/>
    <w:rsid w:val="009B7D3C"/>
    <w:rsid w:val="009B7E35"/>
    <w:rsid w:val="009B7F0A"/>
    <w:rsid w:val="009B7FD2"/>
    <w:rsid w:val="009B7FF7"/>
    <w:rsid w:val="009C0204"/>
    <w:rsid w:val="009C033D"/>
    <w:rsid w:val="009C03AB"/>
    <w:rsid w:val="009C0576"/>
    <w:rsid w:val="009C05E8"/>
    <w:rsid w:val="009C05EE"/>
    <w:rsid w:val="009C0605"/>
    <w:rsid w:val="009C0728"/>
    <w:rsid w:val="009C0743"/>
    <w:rsid w:val="009C085A"/>
    <w:rsid w:val="009C0AA6"/>
    <w:rsid w:val="009C0B32"/>
    <w:rsid w:val="009C0C2C"/>
    <w:rsid w:val="009C0DDB"/>
    <w:rsid w:val="009C0EEE"/>
    <w:rsid w:val="009C0F1A"/>
    <w:rsid w:val="009C0FBA"/>
    <w:rsid w:val="009C1060"/>
    <w:rsid w:val="009C1190"/>
    <w:rsid w:val="009C1545"/>
    <w:rsid w:val="009C16C9"/>
    <w:rsid w:val="009C1AEE"/>
    <w:rsid w:val="009C1CEE"/>
    <w:rsid w:val="009C1D79"/>
    <w:rsid w:val="009C1D7F"/>
    <w:rsid w:val="009C1F40"/>
    <w:rsid w:val="009C219F"/>
    <w:rsid w:val="009C22B8"/>
    <w:rsid w:val="009C2491"/>
    <w:rsid w:val="009C25CF"/>
    <w:rsid w:val="009C260E"/>
    <w:rsid w:val="009C26BC"/>
    <w:rsid w:val="009C2774"/>
    <w:rsid w:val="009C27FC"/>
    <w:rsid w:val="009C2800"/>
    <w:rsid w:val="009C287A"/>
    <w:rsid w:val="009C29C8"/>
    <w:rsid w:val="009C2AD5"/>
    <w:rsid w:val="009C2B3A"/>
    <w:rsid w:val="009C2C33"/>
    <w:rsid w:val="009C2F30"/>
    <w:rsid w:val="009C2F97"/>
    <w:rsid w:val="009C3092"/>
    <w:rsid w:val="009C3584"/>
    <w:rsid w:val="009C35EA"/>
    <w:rsid w:val="009C361F"/>
    <w:rsid w:val="009C3620"/>
    <w:rsid w:val="009C3642"/>
    <w:rsid w:val="009C36F0"/>
    <w:rsid w:val="009C38C6"/>
    <w:rsid w:val="009C3933"/>
    <w:rsid w:val="009C3A42"/>
    <w:rsid w:val="009C3BCF"/>
    <w:rsid w:val="009C3C03"/>
    <w:rsid w:val="009C3CD1"/>
    <w:rsid w:val="009C3DC8"/>
    <w:rsid w:val="009C3DE9"/>
    <w:rsid w:val="009C3F1F"/>
    <w:rsid w:val="009C3FE8"/>
    <w:rsid w:val="009C40DA"/>
    <w:rsid w:val="009C4100"/>
    <w:rsid w:val="009C4233"/>
    <w:rsid w:val="009C43E2"/>
    <w:rsid w:val="009C443F"/>
    <w:rsid w:val="009C45A9"/>
    <w:rsid w:val="009C4670"/>
    <w:rsid w:val="009C4810"/>
    <w:rsid w:val="009C49C9"/>
    <w:rsid w:val="009C4A48"/>
    <w:rsid w:val="009C4C14"/>
    <w:rsid w:val="009C4C38"/>
    <w:rsid w:val="009C4CD4"/>
    <w:rsid w:val="009C4DB3"/>
    <w:rsid w:val="009C50D8"/>
    <w:rsid w:val="009C516B"/>
    <w:rsid w:val="009C527B"/>
    <w:rsid w:val="009C5281"/>
    <w:rsid w:val="009C5426"/>
    <w:rsid w:val="009C5495"/>
    <w:rsid w:val="009C5530"/>
    <w:rsid w:val="009C55A0"/>
    <w:rsid w:val="009C5765"/>
    <w:rsid w:val="009C5839"/>
    <w:rsid w:val="009C59C4"/>
    <w:rsid w:val="009C5D25"/>
    <w:rsid w:val="009C5D85"/>
    <w:rsid w:val="009C5E98"/>
    <w:rsid w:val="009C602E"/>
    <w:rsid w:val="009C627F"/>
    <w:rsid w:val="009C62DD"/>
    <w:rsid w:val="009C64A9"/>
    <w:rsid w:val="009C656A"/>
    <w:rsid w:val="009C66A4"/>
    <w:rsid w:val="009C678D"/>
    <w:rsid w:val="009C680A"/>
    <w:rsid w:val="009C6853"/>
    <w:rsid w:val="009C687C"/>
    <w:rsid w:val="009C68D7"/>
    <w:rsid w:val="009C694E"/>
    <w:rsid w:val="009C698B"/>
    <w:rsid w:val="009C6B9E"/>
    <w:rsid w:val="009C6D59"/>
    <w:rsid w:val="009C6D9D"/>
    <w:rsid w:val="009C6E13"/>
    <w:rsid w:val="009C6E29"/>
    <w:rsid w:val="009C6FF8"/>
    <w:rsid w:val="009C6FFC"/>
    <w:rsid w:val="009C733F"/>
    <w:rsid w:val="009C758A"/>
    <w:rsid w:val="009C75B8"/>
    <w:rsid w:val="009C7703"/>
    <w:rsid w:val="009C7745"/>
    <w:rsid w:val="009C7873"/>
    <w:rsid w:val="009C78A5"/>
    <w:rsid w:val="009C790C"/>
    <w:rsid w:val="009C7962"/>
    <w:rsid w:val="009C7980"/>
    <w:rsid w:val="009C7A0B"/>
    <w:rsid w:val="009C7AF6"/>
    <w:rsid w:val="009C7CF2"/>
    <w:rsid w:val="009C7DF5"/>
    <w:rsid w:val="009C7F5A"/>
    <w:rsid w:val="009D0079"/>
    <w:rsid w:val="009D00FE"/>
    <w:rsid w:val="009D0373"/>
    <w:rsid w:val="009D0487"/>
    <w:rsid w:val="009D04B7"/>
    <w:rsid w:val="009D07A2"/>
    <w:rsid w:val="009D096B"/>
    <w:rsid w:val="009D0AD8"/>
    <w:rsid w:val="009D0BFF"/>
    <w:rsid w:val="009D0CF1"/>
    <w:rsid w:val="009D0D34"/>
    <w:rsid w:val="009D10F2"/>
    <w:rsid w:val="009D10F4"/>
    <w:rsid w:val="009D12D2"/>
    <w:rsid w:val="009D1370"/>
    <w:rsid w:val="009D13C8"/>
    <w:rsid w:val="009D14F2"/>
    <w:rsid w:val="009D1923"/>
    <w:rsid w:val="009D1968"/>
    <w:rsid w:val="009D196D"/>
    <w:rsid w:val="009D19AD"/>
    <w:rsid w:val="009D1A5A"/>
    <w:rsid w:val="009D1B50"/>
    <w:rsid w:val="009D1E5C"/>
    <w:rsid w:val="009D1EA5"/>
    <w:rsid w:val="009D1F2B"/>
    <w:rsid w:val="009D208E"/>
    <w:rsid w:val="009D2110"/>
    <w:rsid w:val="009D233D"/>
    <w:rsid w:val="009D2379"/>
    <w:rsid w:val="009D2590"/>
    <w:rsid w:val="009D26DD"/>
    <w:rsid w:val="009D271D"/>
    <w:rsid w:val="009D281A"/>
    <w:rsid w:val="009D29A4"/>
    <w:rsid w:val="009D2B96"/>
    <w:rsid w:val="009D2C05"/>
    <w:rsid w:val="009D2CDF"/>
    <w:rsid w:val="009D2DE0"/>
    <w:rsid w:val="009D2F8F"/>
    <w:rsid w:val="009D3002"/>
    <w:rsid w:val="009D3215"/>
    <w:rsid w:val="009D326C"/>
    <w:rsid w:val="009D3421"/>
    <w:rsid w:val="009D35A9"/>
    <w:rsid w:val="009D3664"/>
    <w:rsid w:val="009D36B6"/>
    <w:rsid w:val="009D39C1"/>
    <w:rsid w:val="009D3AD4"/>
    <w:rsid w:val="009D3D17"/>
    <w:rsid w:val="009D3E68"/>
    <w:rsid w:val="009D3F66"/>
    <w:rsid w:val="009D4057"/>
    <w:rsid w:val="009D40D1"/>
    <w:rsid w:val="009D40F4"/>
    <w:rsid w:val="009D4171"/>
    <w:rsid w:val="009D423A"/>
    <w:rsid w:val="009D43B5"/>
    <w:rsid w:val="009D4412"/>
    <w:rsid w:val="009D4477"/>
    <w:rsid w:val="009D44E3"/>
    <w:rsid w:val="009D47FC"/>
    <w:rsid w:val="009D4840"/>
    <w:rsid w:val="009D486E"/>
    <w:rsid w:val="009D4AD7"/>
    <w:rsid w:val="009D4BBF"/>
    <w:rsid w:val="009D5052"/>
    <w:rsid w:val="009D5126"/>
    <w:rsid w:val="009D5133"/>
    <w:rsid w:val="009D5269"/>
    <w:rsid w:val="009D5281"/>
    <w:rsid w:val="009D53C6"/>
    <w:rsid w:val="009D558C"/>
    <w:rsid w:val="009D55C6"/>
    <w:rsid w:val="009D57E2"/>
    <w:rsid w:val="009D581F"/>
    <w:rsid w:val="009D5AD7"/>
    <w:rsid w:val="009D5E2E"/>
    <w:rsid w:val="009D5FDB"/>
    <w:rsid w:val="009D60DC"/>
    <w:rsid w:val="009D629A"/>
    <w:rsid w:val="009D63B6"/>
    <w:rsid w:val="009D6583"/>
    <w:rsid w:val="009D6649"/>
    <w:rsid w:val="009D66B0"/>
    <w:rsid w:val="009D66DF"/>
    <w:rsid w:val="009D66FB"/>
    <w:rsid w:val="009D67D9"/>
    <w:rsid w:val="009D680C"/>
    <w:rsid w:val="009D6814"/>
    <w:rsid w:val="009D68B7"/>
    <w:rsid w:val="009D6C49"/>
    <w:rsid w:val="009D6D19"/>
    <w:rsid w:val="009D6DFF"/>
    <w:rsid w:val="009D6EE8"/>
    <w:rsid w:val="009D6F67"/>
    <w:rsid w:val="009D6FB6"/>
    <w:rsid w:val="009D77A5"/>
    <w:rsid w:val="009D796B"/>
    <w:rsid w:val="009D7A86"/>
    <w:rsid w:val="009D7CDB"/>
    <w:rsid w:val="009D7D6C"/>
    <w:rsid w:val="009D7E48"/>
    <w:rsid w:val="009E0116"/>
    <w:rsid w:val="009E0204"/>
    <w:rsid w:val="009E03E8"/>
    <w:rsid w:val="009E0542"/>
    <w:rsid w:val="009E054B"/>
    <w:rsid w:val="009E05A5"/>
    <w:rsid w:val="009E0638"/>
    <w:rsid w:val="009E0794"/>
    <w:rsid w:val="009E084E"/>
    <w:rsid w:val="009E0C70"/>
    <w:rsid w:val="009E0EA3"/>
    <w:rsid w:val="009E0ED6"/>
    <w:rsid w:val="009E0EE0"/>
    <w:rsid w:val="009E1194"/>
    <w:rsid w:val="009E11DB"/>
    <w:rsid w:val="009E12C2"/>
    <w:rsid w:val="009E137F"/>
    <w:rsid w:val="009E139B"/>
    <w:rsid w:val="009E1702"/>
    <w:rsid w:val="009E1833"/>
    <w:rsid w:val="009E1B52"/>
    <w:rsid w:val="009E1C83"/>
    <w:rsid w:val="009E1DCA"/>
    <w:rsid w:val="009E1E89"/>
    <w:rsid w:val="009E1F23"/>
    <w:rsid w:val="009E210E"/>
    <w:rsid w:val="009E2167"/>
    <w:rsid w:val="009E217B"/>
    <w:rsid w:val="009E24FB"/>
    <w:rsid w:val="009E2582"/>
    <w:rsid w:val="009E259E"/>
    <w:rsid w:val="009E25A9"/>
    <w:rsid w:val="009E25C1"/>
    <w:rsid w:val="009E272F"/>
    <w:rsid w:val="009E275B"/>
    <w:rsid w:val="009E275E"/>
    <w:rsid w:val="009E2A80"/>
    <w:rsid w:val="009E2B60"/>
    <w:rsid w:val="009E2E77"/>
    <w:rsid w:val="009E2ED8"/>
    <w:rsid w:val="009E2FB3"/>
    <w:rsid w:val="009E3049"/>
    <w:rsid w:val="009E3300"/>
    <w:rsid w:val="009E346E"/>
    <w:rsid w:val="009E3483"/>
    <w:rsid w:val="009E34CD"/>
    <w:rsid w:val="009E376A"/>
    <w:rsid w:val="009E380B"/>
    <w:rsid w:val="009E397F"/>
    <w:rsid w:val="009E3CC4"/>
    <w:rsid w:val="009E3DA3"/>
    <w:rsid w:val="009E3DF7"/>
    <w:rsid w:val="009E3EF3"/>
    <w:rsid w:val="009E3EF9"/>
    <w:rsid w:val="009E42BB"/>
    <w:rsid w:val="009E4406"/>
    <w:rsid w:val="009E4447"/>
    <w:rsid w:val="009E455F"/>
    <w:rsid w:val="009E45CD"/>
    <w:rsid w:val="009E461B"/>
    <w:rsid w:val="009E4709"/>
    <w:rsid w:val="009E473F"/>
    <w:rsid w:val="009E483A"/>
    <w:rsid w:val="009E48B8"/>
    <w:rsid w:val="009E48D6"/>
    <w:rsid w:val="009E49AF"/>
    <w:rsid w:val="009E4AED"/>
    <w:rsid w:val="009E4B10"/>
    <w:rsid w:val="009E4B13"/>
    <w:rsid w:val="009E4D10"/>
    <w:rsid w:val="009E4E90"/>
    <w:rsid w:val="009E5490"/>
    <w:rsid w:val="009E54E8"/>
    <w:rsid w:val="009E56A8"/>
    <w:rsid w:val="009E58BB"/>
    <w:rsid w:val="009E59CC"/>
    <w:rsid w:val="009E5A3D"/>
    <w:rsid w:val="009E5B00"/>
    <w:rsid w:val="009E5DB9"/>
    <w:rsid w:val="009E5E5B"/>
    <w:rsid w:val="009E6064"/>
    <w:rsid w:val="009E60A6"/>
    <w:rsid w:val="009E60CF"/>
    <w:rsid w:val="009E60EE"/>
    <w:rsid w:val="009E6226"/>
    <w:rsid w:val="009E6545"/>
    <w:rsid w:val="009E6627"/>
    <w:rsid w:val="009E6898"/>
    <w:rsid w:val="009E6A15"/>
    <w:rsid w:val="009E6AE0"/>
    <w:rsid w:val="009E6DB1"/>
    <w:rsid w:val="009E6E1F"/>
    <w:rsid w:val="009E6E39"/>
    <w:rsid w:val="009E7015"/>
    <w:rsid w:val="009E70ED"/>
    <w:rsid w:val="009E7116"/>
    <w:rsid w:val="009E740C"/>
    <w:rsid w:val="009E78A3"/>
    <w:rsid w:val="009E7943"/>
    <w:rsid w:val="009E7A13"/>
    <w:rsid w:val="009E7D09"/>
    <w:rsid w:val="009E7E5A"/>
    <w:rsid w:val="009F0045"/>
    <w:rsid w:val="009F0163"/>
    <w:rsid w:val="009F016C"/>
    <w:rsid w:val="009F01AE"/>
    <w:rsid w:val="009F025D"/>
    <w:rsid w:val="009F02A5"/>
    <w:rsid w:val="009F03F9"/>
    <w:rsid w:val="009F058F"/>
    <w:rsid w:val="009F0636"/>
    <w:rsid w:val="009F081C"/>
    <w:rsid w:val="009F0A2F"/>
    <w:rsid w:val="009F0CA0"/>
    <w:rsid w:val="009F0E72"/>
    <w:rsid w:val="009F0E9C"/>
    <w:rsid w:val="009F0F83"/>
    <w:rsid w:val="009F119A"/>
    <w:rsid w:val="009F1520"/>
    <w:rsid w:val="009F154A"/>
    <w:rsid w:val="009F1636"/>
    <w:rsid w:val="009F1BA5"/>
    <w:rsid w:val="009F1BA7"/>
    <w:rsid w:val="009F1BCD"/>
    <w:rsid w:val="009F1C51"/>
    <w:rsid w:val="009F1C98"/>
    <w:rsid w:val="009F1CB7"/>
    <w:rsid w:val="009F1CBF"/>
    <w:rsid w:val="009F1DBE"/>
    <w:rsid w:val="009F1E8E"/>
    <w:rsid w:val="009F1F4A"/>
    <w:rsid w:val="009F1F62"/>
    <w:rsid w:val="009F218A"/>
    <w:rsid w:val="009F2283"/>
    <w:rsid w:val="009F2307"/>
    <w:rsid w:val="009F2426"/>
    <w:rsid w:val="009F2676"/>
    <w:rsid w:val="009F2726"/>
    <w:rsid w:val="009F28D9"/>
    <w:rsid w:val="009F2A88"/>
    <w:rsid w:val="009F2B6B"/>
    <w:rsid w:val="009F2BC0"/>
    <w:rsid w:val="009F2C03"/>
    <w:rsid w:val="009F2C16"/>
    <w:rsid w:val="009F2C4B"/>
    <w:rsid w:val="009F2C53"/>
    <w:rsid w:val="009F2C8A"/>
    <w:rsid w:val="009F2D53"/>
    <w:rsid w:val="009F2DEC"/>
    <w:rsid w:val="009F2F86"/>
    <w:rsid w:val="009F3321"/>
    <w:rsid w:val="009F35C2"/>
    <w:rsid w:val="009F3640"/>
    <w:rsid w:val="009F3658"/>
    <w:rsid w:val="009F374A"/>
    <w:rsid w:val="009F3814"/>
    <w:rsid w:val="009F3C4F"/>
    <w:rsid w:val="009F3D38"/>
    <w:rsid w:val="009F3F68"/>
    <w:rsid w:val="009F4130"/>
    <w:rsid w:val="009F421A"/>
    <w:rsid w:val="009F4298"/>
    <w:rsid w:val="009F4323"/>
    <w:rsid w:val="009F4374"/>
    <w:rsid w:val="009F44A5"/>
    <w:rsid w:val="009F466F"/>
    <w:rsid w:val="009F468A"/>
    <w:rsid w:val="009F46D9"/>
    <w:rsid w:val="009F4755"/>
    <w:rsid w:val="009F4769"/>
    <w:rsid w:val="009F4959"/>
    <w:rsid w:val="009F4E69"/>
    <w:rsid w:val="009F4E8A"/>
    <w:rsid w:val="009F50AF"/>
    <w:rsid w:val="009F51EC"/>
    <w:rsid w:val="009F52AE"/>
    <w:rsid w:val="009F53D8"/>
    <w:rsid w:val="009F548F"/>
    <w:rsid w:val="009F57B4"/>
    <w:rsid w:val="009F58E8"/>
    <w:rsid w:val="009F5985"/>
    <w:rsid w:val="009F5AB1"/>
    <w:rsid w:val="009F5B05"/>
    <w:rsid w:val="009F5B2E"/>
    <w:rsid w:val="009F5C54"/>
    <w:rsid w:val="009F5CA3"/>
    <w:rsid w:val="009F5CFD"/>
    <w:rsid w:val="009F5D33"/>
    <w:rsid w:val="009F5D5D"/>
    <w:rsid w:val="009F5F60"/>
    <w:rsid w:val="009F5F9C"/>
    <w:rsid w:val="009F60A6"/>
    <w:rsid w:val="009F60E5"/>
    <w:rsid w:val="009F67DC"/>
    <w:rsid w:val="009F6850"/>
    <w:rsid w:val="009F68FD"/>
    <w:rsid w:val="009F6AB8"/>
    <w:rsid w:val="009F6C4F"/>
    <w:rsid w:val="009F6F12"/>
    <w:rsid w:val="009F6FD9"/>
    <w:rsid w:val="009F7043"/>
    <w:rsid w:val="009F705F"/>
    <w:rsid w:val="009F7159"/>
    <w:rsid w:val="009F7341"/>
    <w:rsid w:val="009F7387"/>
    <w:rsid w:val="009F7448"/>
    <w:rsid w:val="009F7500"/>
    <w:rsid w:val="009F7536"/>
    <w:rsid w:val="009F7569"/>
    <w:rsid w:val="009F75BD"/>
    <w:rsid w:val="009F764A"/>
    <w:rsid w:val="009F789F"/>
    <w:rsid w:val="009F79B4"/>
    <w:rsid w:val="009F7B9E"/>
    <w:rsid w:val="009F7C27"/>
    <w:rsid w:val="009F7D6F"/>
    <w:rsid w:val="009F7D9C"/>
    <w:rsid w:val="009F7DFC"/>
    <w:rsid w:val="009F7DFD"/>
    <w:rsid w:val="009F7F12"/>
    <w:rsid w:val="00A00211"/>
    <w:rsid w:val="00A00230"/>
    <w:rsid w:val="00A006AE"/>
    <w:rsid w:val="00A0086F"/>
    <w:rsid w:val="00A00927"/>
    <w:rsid w:val="00A0093F"/>
    <w:rsid w:val="00A00958"/>
    <w:rsid w:val="00A00ADE"/>
    <w:rsid w:val="00A00B0D"/>
    <w:rsid w:val="00A00BA4"/>
    <w:rsid w:val="00A00F0C"/>
    <w:rsid w:val="00A0148E"/>
    <w:rsid w:val="00A017B3"/>
    <w:rsid w:val="00A01863"/>
    <w:rsid w:val="00A01887"/>
    <w:rsid w:val="00A01A79"/>
    <w:rsid w:val="00A01C2C"/>
    <w:rsid w:val="00A01CAD"/>
    <w:rsid w:val="00A01E86"/>
    <w:rsid w:val="00A02277"/>
    <w:rsid w:val="00A02320"/>
    <w:rsid w:val="00A023E9"/>
    <w:rsid w:val="00A02513"/>
    <w:rsid w:val="00A02612"/>
    <w:rsid w:val="00A026E1"/>
    <w:rsid w:val="00A02A15"/>
    <w:rsid w:val="00A02BAA"/>
    <w:rsid w:val="00A02C01"/>
    <w:rsid w:val="00A02DBE"/>
    <w:rsid w:val="00A02E6F"/>
    <w:rsid w:val="00A02FB6"/>
    <w:rsid w:val="00A032B5"/>
    <w:rsid w:val="00A033F3"/>
    <w:rsid w:val="00A036C1"/>
    <w:rsid w:val="00A03829"/>
    <w:rsid w:val="00A038E3"/>
    <w:rsid w:val="00A038E9"/>
    <w:rsid w:val="00A03B27"/>
    <w:rsid w:val="00A03BA8"/>
    <w:rsid w:val="00A03C0A"/>
    <w:rsid w:val="00A03C30"/>
    <w:rsid w:val="00A03C38"/>
    <w:rsid w:val="00A03E4A"/>
    <w:rsid w:val="00A03F98"/>
    <w:rsid w:val="00A0400D"/>
    <w:rsid w:val="00A04053"/>
    <w:rsid w:val="00A04078"/>
    <w:rsid w:val="00A040AA"/>
    <w:rsid w:val="00A0425C"/>
    <w:rsid w:val="00A042FC"/>
    <w:rsid w:val="00A04668"/>
    <w:rsid w:val="00A046A1"/>
    <w:rsid w:val="00A04EEA"/>
    <w:rsid w:val="00A04F54"/>
    <w:rsid w:val="00A051C2"/>
    <w:rsid w:val="00A05218"/>
    <w:rsid w:val="00A0524C"/>
    <w:rsid w:val="00A05251"/>
    <w:rsid w:val="00A0527F"/>
    <w:rsid w:val="00A05317"/>
    <w:rsid w:val="00A05347"/>
    <w:rsid w:val="00A05377"/>
    <w:rsid w:val="00A053B1"/>
    <w:rsid w:val="00A054D6"/>
    <w:rsid w:val="00A05525"/>
    <w:rsid w:val="00A05534"/>
    <w:rsid w:val="00A055B4"/>
    <w:rsid w:val="00A0580A"/>
    <w:rsid w:val="00A05F6D"/>
    <w:rsid w:val="00A0607A"/>
    <w:rsid w:val="00A0621B"/>
    <w:rsid w:val="00A06228"/>
    <w:rsid w:val="00A06323"/>
    <w:rsid w:val="00A06367"/>
    <w:rsid w:val="00A066AE"/>
    <w:rsid w:val="00A0678A"/>
    <w:rsid w:val="00A06A2F"/>
    <w:rsid w:val="00A06A48"/>
    <w:rsid w:val="00A06AB1"/>
    <w:rsid w:val="00A06B4C"/>
    <w:rsid w:val="00A06B8F"/>
    <w:rsid w:val="00A06D74"/>
    <w:rsid w:val="00A06DDE"/>
    <w:rsid w:val="00A07193"/>
    <w:rsid w:val="00A07258"/>
    <w:rsid w:val="00A07398"/>
    <w:rsid w:val="00A07409"/>
    <w:rsid w:val="00A0742C"/>
    <w:rsid w:val="00A07526"/>
    <w:rsid w:val="00A07809"/>
    <w:rsid w:val="00A07941"/>
    <w:rsid w:val="00A07B51"/>
    <w:rsid w:val="00A07D8C"/>
    <w:rsid w:val="00A07DCC"/>
    <w:rsid w:val="00A07E55"/>
    <w:rsid w:val="00A07FB9"/>
    <w:rsid w:val="00A07FE4"/>
    <w:rsid w:val="00A10027"/>
    <w:rsid w:val="00A1023C"/>
    <w:rsid w:val="00A1032D"/>
    <w:rsid w:val="00A10497"/>
    <w:rsid w:val="00A106D1"/>
    <w:rsid w:val="00A10877"/>
    <w:rsid w:val="00A10BD1"/>
    <w:rsid w:val="00A10BEF"/>
    <w:rsid w:val="00A10D1B"/>
    <w:rsid w:val="00A10DA1"/>
    <w:rsid w:val="00A10EBA"/>
    <w:rsid w:val="00A10F5F"/>
    <w:rsid w:val="00A11047"/>
    <w:rsid w:val="00A110DC"/>
    <w:rsid w:val="00A1116F"/>
    <w:rsid w:val="00A111ED"/>
    <w:rsid w:val="00A112CD"/>
    <w:rsid w:val="00A112D4"/>
    <w:rsid w:val="00A112E2"/>
    <w:rsid w:val="00A11359"/>
    <w:rsid w:val="00A114C1"/>
    <w:rsid w:val="00A115A6"/>
    <w:rsid w:val="00A117A4"/>
    <w:rsid w:val="00A11B17"/>
    <w:rsid w:val="00A11C1F"/>
    <w:rsid w:val="00A11CDF"/>
    <w:rsid w:val="00A11E00"/>
    <w:rsid w:val="00A120B4"/>
    <w:rsid w:val="00A121C4"/>
    <w:rsid w:val="00A1223E"/>
    <w:rsid w:val="00A12271"/>
    <w:rsid w:val="00A12432"/>
    <w:rsid w:val="00A12670"/>
    <w:rsid w:val="00A127A0"/>
    <w:rsid w:val="00A127E2"/>
    <w:rsid w:val="00A1285F"/>
    <w:rsid w:val="00A1289F"/>
    <w:rsid w:val="00A129B6"/>
    <w:rsid w:val="00A12AE6"/>
    <w:rsid w:val="00A12ED9"/>
    <w:rsid w:val="00A13049"/>
    <w:rsid w:val="00A1305D"/>
    <w:rsid w:val="00A130F7"/>
    <w:rsid w:val="00A13532"/>
    <w:rsid w:val="00A13541"/>
    <w:rsid w:val="00A137BF"/>
    <w:rsid w:val="00A137F6"/>
    <w:rsid w:val="00A13876"/>
    <w:rsid w:val="00A13F9B"/>
    <w:rsid w:val="00A14010"/>
    <w:rsid w:val="00A1425F"/>
    <w:rsid w:val="00A144C0"/>
    <w:rsid w:val="00A14634"/>
    <w:rsid w:val="00A1463E"/>
    <w:rsid w:val="00A14641"/>
    <w:rsid w:val="00A1475A"/>
    <w:rsid w:val="00A14950"/>
    <w:rsid w:val="00A1496F"/>
    <w:rsid w:val="00A14B99"/>
    <w:rsid w:val="00A14E7F"/>
    <w:rsid w:val="00A14EFF"/>
    <w:rsid w:val="00A14F94"/>
    <w:rsid w:val="00A14FF7"/>
    <w:rsid w:val="00A1500C"/>
    <w:rsid w:val="00A150CF"/>
    <w:rsid w:val="00A151BA"/>
    <w:rsid w:val="00A1522D"/>
    <w:rsid w:val="00A152A8"/>
    <w:rsid w:val="00A153AD"/>
    <w:rsid w:val="00A15547"/>
    <w:rsid w:val="00A156EB"/>
    <w:rsid w:val="00A15728"/>
    <w:rsid w:val="00A158F5"/>
    <w:rsid w:val="00A15B6B"/>
    <w:rsid w:val="00A15BD2"/>
    <w:rsid w:val="00A15D69"/>
    <w:rsid w:val="00A161A4"/>
    <w:rsid w:val="00A161A7"/>
    <w:rsid w:val="00A162C4"/>
    <w:rsid w:val="00A16565"/>
    <w:rsid w:val="00A16729"/>
    <w:rsid w:val="00A1675B"/>
    <w:rsid w:val="00A16774"/>
    <w:rsid w:val="00A167FC"/>
    <w:rsid w:val="00A16817"/>
    <w:rsid w:val="00A169CF"/>
    <w:rsid w:val="00A16A23"/>
    <w:rsid w:val="00A16BBD"/>
    <w:rsid w:val="00A16D1D"/>
    <w:rsid w:val="00A16D54"/>
    <w:rsid w:val="00A16E06"/>
    <w:rsid w:val="00A16E1D"/>
    <w:rsid w:val="00A16ED2"/>
    <w:rsid w:val="00A1702D"/>
    <w:rsid w:val="00A171C6"/>
    <w:rsid w:val="00A1723E"/>
    <w:rsid w:val="00A172F7"/>
    <w:rsid w:val="00A1734E"/>
    <w:rsid w:val="00A17378"/>
    <w:rsid w:val="00A17425"/>
    <w:rsid w:val="00A17471"/>
    <w:rsid w:val="00A1775F"/>
    <w:rsid w:val="00A1791A"/>
    <w:rsid w:val="00A179B7"/>
    <w:rsid w:val="00A17A8C"/>
    <w:rsid w:val="00A17E30"/>
    <w:rsid w:val="00A17EC2"/>
    <w:rsid w:val="00A20186"/>
    <w:rsid w:val="00A20189"/>
    <w:rsid w:val="00A20270"/>
    <w:rsid w:val="00A2029E"/>
    <w:rsid w:val="00A202A0"/>
    <w:rsid w:val="00A2045F"/>
    <w:rsid w:val="00A2086A"/>
    <w:rsid w:val="00A20A1E"/>
    <w:rsid w:val="00A20ACA"/>
    <w:rsid w:val="00A20BBA"/>
    <w:rsid w:val="00A20C05"/>
    <w:rsid w:val="00A20CAE"/>
    <w:rsid w:val="00A2112E"/>
    <w:rsid w:val="00A21174"/>
    <w:rsid w:val="00A2125E"/>
    <w:rsid w:val="00A212D5"/>
    <w:rsid w:val="00A21363"/>
    <w:rsid w:val="00A2169A"/>
    <w:rsid w:val="00A218BF"/>
    <w:rsid w:val="00A218FA"/>
    <w:rsid w:val="00A219E3"/>
    <w:rsid w:val="00A21A1A"/>
    <w:rsid w:val="00A21A85"/>
    <w:rsid w:val="00A21ADA"/>
    <w:rsid w:val="00A21B12"/>
    <w:rsid w:val="00A21B83"/>
    <w:rsid w:val="00A21CEE"/>
    <w:rsid w:val="00A21DDD"/>
    <w:rsid w:val="00A220F4"/>
    <w:rsid w:val="00A221C3"/>
    <w:rsid w:val="00A2220F"/>
    <w:rsid w:val="00A2228F"/>
    <w:rsid w:val="00A2235D"/>
    <w:rsid w:val="00A223C6"/>
    <w:rsid w:val="00A224EB"/>
    <w:rsid w:val="00A225BC"/>
    <w:rsid w:val="00A225DD"/>
    <w:rsid w:val="00A2260A"/>
    <w:rsid w:val="00A22825"/>
    <w:rsid w:val="00A2296E"/>
    <w:rsid w:val="00A22B6F"/>
    <w:rsid w:val="00A22B88"/>
    <w:rsid w:val="00A22CE3"/>
    <w:rsid w:val="00A22CE4"/>
    <w:rsid w:val="00A22E67"/>
    <w:rsid w:val="00A22E6C"/>
    <w:rsid w:val="00A22F68"/>
    <w:rsid w:val="00A2310D"/>
    <w:rsid w:val="00A232DF"/>
    <w:rsid w:val="00A23305"/>
    <w:rsid w:val="00A23582"/>
    <w:rsid w:val="00A235EA"/>
    <w:rsid w:val="00A236D2"/>
    <w:rsid w:val="00A2377F"/>
    <w:rsid w:val="00A237AE"/>
    <w:rsid w:val="00A23805"/>
    <w:rsid w:val="00A23909"/>
    <w:rsid w:val="00A23DAF"/>
    <w:rsid w:val="00A2401C"/>
    <w:rsid w:val="00A240F8"/>
    <w:rsid w:val="00A2411E"/>
    <w:rsid w:val="00A241C1"/>
    <w:rsid w:val="00A2423C"/>
    <w:rsid w:val="00A24243"/>
    <w:rsid w:val="00A245EB"/>
    <w:rsid w:val="00A2462E"/>
    <w:rsid w:val="00A2487C"/>
    <w:rsid w:val="00A248EF"/>
    <w:rsid w:val="00A24AA4"/>
    <w:rsid w:val="00A24B99"/>
    <w:rsid w:val="00A24BDC"/>
    <w:rsid w:val="00A24CE4"/>
    <w:rsid w:val="00A24DB6"/>
    <w:rsid w:val="00A24E4E"/>
    <w:rsid w:val="00A24F47"/>
    <w:rsid w:val="00A24FF3"/>
    <w:rsid w:val="00A2520C"/>
    <w:rsid w:val="00A254B8"/>
    <w:rsid w:val="00A254EF"/>
    <w:rsid w:val="00A256E3"/>
    <w:rsid w:val="00A2572C"/>
    <w:rsid w:val="00A25799"/>
    <w:rsid w:val="00A25931"/>
    <w:rsid w:val="00A259D7"/>
    <w:rsid w:val="00A25B9A"/>
    <w:rsid w:val="00A25D2A"/>
    <w:rsid w:val="00A261EF"/>
    <w:rsid w:val="00A262B5"/>
    <w:rsid w:val="00A262CC"/>
    <w:rsid w:val="00A26423"/>
    <w:rsid w:val="00A2652D"/>
    <w:rsid w:val="00A26551"/>
    <w:rsid w:val="00A265AF"/>
    <w:rsid w:val="00A2665B"/>
    <w:rsid w:val="00A266C8"/>
    <w:rsid w:val="00A267DE"/>
    <w:rsid w:val="00A26905"/>
    <w:rsid w:val="00A26AEB"/>
    <w:rsid w:val="00A26BAA"/>
    <w:rsid w:val="00A26BCD"/>
    <w:rsid w:val="00A26C09"/>
    <w:rsid w:val="00A26D2C"/>
    <w:rsid w:val="00A26DC5"/>
    <w:rsid w:val="00A26EBC"/>
    <w:rsid w:val="00A26F76"/>
    <w:rsid w:val="00A27351"/>
    <w:rsid w:val="00A2736C"/>
    <w:rsid w:val="00A27532"/>
    <w:rsid w:val="00A2759D"/>
    <w:rsid w:val="00A27863"/>
    <w:rsid w:val="00A27867"/>
    <w:rsid w:val="00A27952"/>
    <w:rsid w:val="00A279E1"/>
    <w:rsid w:val="00A27A1C"/>
    <w:rsid w:val="00A27DFC"/>
    <w:rsid w:val="00A3016D"/>
    <w:rsid w:val="00A3018B"/>
    <w:rsid w:val="00A30233"/>
    <w:rsid w:val="00A30254"/>
    <w:rsid w:val="00A30689"/>
    <w:rsid w:val="00A308A5"/>
    <w:rsid w:val="00A30A9E"/>
    <w:rsid w:val="00A30BA2"/>
    <w:rsid w:val="00A30C94"/>
    <w:rsid w:val="00A30CE1"/>
    <w:rsid w:val="00A30D4C"/>
    <w:rsid w:val="00A30EB0"/>
    <w:rsid w:val="00A3114A"/>
    <w:rsid w:val="00A311FA"/>
    <w:rsid w:val="00A31236"/>
    <w:rsid w:val="00A3127D"/>
    <w:rsid w:val="00A313F6"/>
    <w:rsid w:val="00A3158C"/>
    <w:rsid w:val="00A316C6"/>
    <w:rsid w:val="00A318F4"/>
    <w:rsid w:val="00A31B34"/>
    <w:rsid w:val="00A31CBF"/>
    <w:rsid w:val="00A31E09"/>
    <w:rsid w:val="00A31EDB"/>
    <w:rsid w:val="00A32373"/>
    <w:rsid w:val="00A325A1"/>
    <w:rsid w:val="00A325C4"/>
    <w:rsid w:val="00A325FA"/>
    <w:rsid w:val="00A32766"/>
    <w:rsid w:val="00A329C5"/>
    <w:rsid w:val="00A32BCC"/>
    <w:rsid w:val="00A32D92"/>
    <w:rsid w:val="00A32E1A"/>
    <w:rsid w:val="00A32E3D"/>
    <w:rsid w:val="00A32F03"/>
    <w:rsid w:val="00A32F07"/>
    <w:rsid w:val="00A32F18"/>
    <w:rsid w:val="00A32F67"/>
    <w:rsid w:val="00A32F78"/>
    <w:rsid w:val="00A32FB8"/>
    <w:rsid w:val="00A33053"/>
    <w:rsid w:val="00A33206"/>
    <w:rsid w:val="00A3325E"/>
    <w:rsid w:val="00A33287"/>
    <w:rsid w:val="00A3329F"/>
    <w:rsid w:val="00A33367"/>
    <w:rsid w:val="00A334E8"/>
    <w:rsid w:val="00A33517"/>
    <w:rsid w:val="00A335DC"/>
    <w:rsid w:val="00A33672"/>
    <w:rsid w:val="00A3377E"/>
    <w:rsid w:val="00A337AA"/>
    <w:rsid w:val="00A338A2"/>
    <w:rsid w:val="00A339A1"/>
    <w:rsid w:val="00A33C77"/>
    <w:rsid w:val="00A33E32"/>
    <w:rsid w:val="00A343DF"/>
    <w:rsid w:val="00A34422"/>
    <w:rsid w:val="00A344A0"/>
    <w:rsid w:val="00A345AA"/>
    <w:rsid w:val="00A3481D"/>
    <w:rsid w:val="00A34822"/>
    <w:rsid w:val="00A3488B"/>
    <w:rsid w:val="00A348E1"/>
    <w:rsid w:val="00A348FE"/>
    <w:rsid w:val="00A349FD"/>
    <w:rsid w:val="00A34AF4"/>
    <w:rsid w:val="00A34D3E"/>
    <w:rsid w:val="00A35216"/>
    <w:rsid w:val="00A35324"/>
    <w:rsid w:val="00A35383"/>
    <w:rsid w:val="00A35A3D"/>
    <w:rsid w:val="00A35B81"/>
    <w:rsid w:val="00A35CA2"/>
    <w:rsid w:val="00A35D9F"/>
    <w:rsid w:val="00A35F80"/>
    <w:rsid w:val="00A3608F"/>
    <w:rsid w:val="00A3609E"/>
    <w:rsid w:val="00A360C9"/>
    <w:rsid w:val="00A36285"/>
    <w:rsid w:val="00A363B8"/>
    <w:rsid w:val="00A364CC"/>
    <w:rsid w:val="00A36773"/>
    <w:rsid w:val="00A3683B"/>
    <w:rsid w:val="00A36884"/>
    <w:rsid w:val="00A36C97"/>
    <w:rsid w:val="00A36CDA"/>
    <w:rsid w:val="00A36D4E"/>
    <w:rsid w:val="00A36E57"/>
    <w:rsid w:val="00A36FB5"/>
    <w:rsid w:val="00A36FD6"/>
    <w:rsid w:val="00A3708C"/>
    <w:rsid w:val="00A370C5"/>
    <w:rsid w:val="00A37218"/>
    <w:rsid w:val="00A37541"/>
    <w:rsid w:val="00A37607"/>
    <w:rsid w:val="00A37837"/>
    <w:rsid w:val="00A378F8"/>
    <w:rsid w:val="00A37A92"/>
    <w:rsid w:val="00A37B1D"/>
    <w:rsid w:val="00A37B42"/>
    <w:rsid w:val="00A37C7C"/>
    <w:rsid w:val="00A37FB3"/>
    <w:rsid w:val="00A40003"/>
    <w:rsid w:val="00A40107"/>
    <w:rsid w:val="00A401A7"/>
    <w:rsid w:val="00A40338"/>
    <w:rsid w:val="00A404A5"/>
    <w:rsid w:val="00A404F5"/>
    <w:rsid w:val="00A40501"/>
    <w:rsid w:val="00A40691"/>
    <w:rsid w:val="00A406A7"/>
    <w:rsid w:val="00A407F2"/>
    <w:rsid w:val="00A40822"/>
    <w:rsid w:val="00A408AA"/>
    <w:rsid w:val="00A40A5E"/>
    <w:rsid w:val="00A40C97"/>
    <w:rsid w:val="00A40D9C"/>
    <w:rsid w:val="00A40F15"/>
    <w:rsid w:val="00A4112C"/>
    <w:rsid w:val="00A4112D"/>
    <w:rsid w:val="00A411CC"/>
    <w:rsid w:val="00A411CE"/>
    <w:rsid w:val="00A4137D"/>
    <w:rsid w:val="00A41405"/>
    <w:rsid w:val="00A414FC"/>
    <w:rsid w:val="00A415EA"/>
    <w:rsid w:val="00A41681"/>
    <w:rsid w:val="00A4177E"/>
    <w:rsid w:val="00A417E9"/>
    <w:rsid w:val="00A417F1"/>
    <w:rsid w:val="00A41829"/>
    <w:rsid w:val="00A419AC"/>
    <w:rsid w:val="00A41A06"/>
    <w:rsid w:val="00A41B67"/>
    <w:rsid w:val="00A41BAD"/>
    <w:rsid w:val="00A41D07"/>
    <w:rsid w:val="00A41D69"/>
    <w:rsid w:val="00A41E14"/>
    <w:rsid w:val="00A41F4C"/>
    <w:rsid w:val="00A42010"/>
    <w:rsid w:val="00A42012"/>
    <w:rsid w:val="00A42204"/>
    <w:rsid w:val="00A42303"/>
    <w:rsid w:val="00A42329"/>
    <w:rsid w:val="00A42535"/>
    <w:rsid w:val="00A42717"/>
    <w:rsid w:val="00A42841"/>
    <w:rsid w:val="00A42944"/>
    <w:rsid w:val="00A4296F"/>
    <w:rsid w:val="00A429F4"/>
    <w:rsid w:val="00A42DA0"/>
    <w:rsid w:val="00A43059"/>
    <w:rsid w:val="00A4312F"/>
    <w:rsid w:val="00A431D2"/>
    <w:rsid w:val="00A431D8"/>
    <w:rsid w:val="00A431FF"/>
    <w:rsid w:val="00A43208"/>
    <w:rsid w:val="00A43241"/>
    <w:rsid w:val="00A43291"/>
    <w:rsid w:val="00A432DD"/>
    <w:rsid w:val="00A43534"/>
    <w:rsid w:val="00A43606"/>
    <w:rsid w:val="00A4360B"/>
    <w:rsid w:val="00A43678"/>
    <w:rsid w:val="00A436F5"/>
    <w:rsid w:val="00A43732"/>
    <w:rsid w:val="00A43988"/>
    <w:rsid w:val="00A43A7F"/>
    <w:rsid w:val="00A43B47"/>
    <w:rsid w:val="00A43B69"/>
    <w:rsid w:val="00A43B77"/>
    <w:rsid w:val="00A43BEA"/>
    <w:rsid w:val="00A43BEB"/>
    <w:rsid w:val="00A43C41"/>
    <w:rsid w:val="00A43DCE"/>
    <w:rsid w:val="00A43E1E"/>
    <w:rsid w:val="00A43E99"/>
    <w:rsid w:val="00A43FCC"/>
    <w:rsid w:val="00A440AE"/>
    <w:rsid w:val="00A441EF"/>
    <w:rsid w:val="00A442F3"/>
    <w:rsid w:val="00A44467"/>
    <w:rsid w:val="00A444C3"/>
    <w:rsid w:val="00A44664"/>
    <w:rsid w:val="00A44769"/>
    <w:rsid w:val="00A44861"/>
    <w:rsid w:val="00A4488B"/>
    <w:rsid w:val="00A44928"/>
    <w:rsid w:val="00A44A31"/>
    <w:rsid w:val="00A44A7B"/>
    <w:rsid w:val="00A44B78"/>
    <w:rsid w:val="00A44DE6"/>
    <w:rsid w:val="00A44E5F"/>
    <w:rsid w:val="00A45062"/>
    <w:rsid w:val="00A4512B"/>
    <w:rsid w:val="00A45359"/>
    <w:rsid w:val="00A457A6"/>
    <w:rsid w:val="00A45A32"/>
    <w:rsid w:val="00A45DE5"/>
    <w:rsid w:val="00A45EE3"/>
    <w:rsid w:val="00A4639B"/>
    <w:rsid w:val="00A46463"/>
    <w:rsid w:val="00A464D2"/>
    <w:rsid w:val="00A464D6"/>
    <w:rsid w:val="00A46606"/>
    <w:rsid w:val="00A467A7"/>
    <w:rsid w:val="00A4684D"/>
    <w:rsid w:val="00A468FC"/>
    <w:rsid w:val="00A46936"/>
    <w:rsid w:val="00A4694B"/>
    <w:rsid w:val="00A469B9"/>
    <w:rsid w:val="00A46A11"/>
    <w:rsid w:val="00A46B20"/>
    <w:rsid w:val="00A46CB9"/>
    <w:rsid w:val="00A46D8D"/>
    <w:rsid w:val="00A46DE1"/>
    <w:rsid w:val="00A46EC6"/>
    <w:rsid w:val="00A46F6C"/>
    <w:rsid w:val="00A47021"/>
    <w:rsid w:val="00A47045"/>
    <w:rsid w:val="00A47193"/>
    <w:rsid w:val="00A4734C"/>
    <w:rsid w:val="00A473AA"/>
    <w:rsid w:val="00A47507"/>
    <w:rsid w:val="00A4764A"/>
    <w:rsid w:val="00A476F2"/>
    <w:rsid w:val="00A47877"/>
    <w:rsid w:val="00A47878"/>
    <w:rsid w:val="00A4787A"/>
    <w:rsid w:val="00A47DA1"/>
    <w:rsid w:val="00A47DC0"/>
    <w:rsid w:val="00A47EDA"/>
    <w:rsid w:val="00A50049"/>
    <w:rsid w:val="00A50050"/>
    <w:rsid w:val="00A500BE"/>
    <w:rsid w:val="00A502E4"/>
    <w:rsid w:val="00A5048B"/>
    <w:rsid w:val="00A5050A"/>
    <w:rsid w:val="00A505BC"/>
    <w:rsid w:val="00A505D9"/>
    <w:rsid w:val="00A50633"/>
    <w:rsid w:val="00A506FA"/>
    <w:rsid w:val="00A507B4"/>
    <w:rsid w:val="00A50800"/>
    <w:rsid w:val="00A50906"/>
    <w:rsid w:val="00A5098A"/>
    <w:rsid w:val="00A50C14"/>
    <w:rsid w:val="00A50C35"/>
    <w:rsid w:val="00A50C41"/>
    <w:rsid w:val="00A50C5D"/>
    <w:rsid w:val="00A50C8D"/>
    <w:rsid w:val="00A50D38"/>
    <w:rsid w:val="00A50D6D"/>
    <w:rsid w:val="00A50D8D"/>
    <w:rsid w:val="00A50EA4"/>
    <w:rsid w:val="00A50F2B"/>
    <w:rsid w:val="00A51351"/>
    <w:rsid w:val="00A51405"/>
    <w:rsid w:val="00A51443"/>
    <w:rsid w:val="00A514B7"/>
    <w:rsid w:val="00A514F9"/>
    <w:rsid w:val="00A517C2"/>
    <w:rsid w:val="00A51901"/>
    <w:rsid w:val="00A51A15"/>
    <w:rsid w:val="00A51EF2"/>
    <w:rsid w:val="00A51F12"/>
    <w:rsid w:val="00A5231D"/>
    <w:rsid w:val="00A52458"/>
    <w:rsid w:val="00A52460"/>
    <w:rsid w:val="00A5254E"/>
    <w:rsid w:val="00A527CF"/>
    <w:rsid w:val="00A5288F"/>
    <w:rsid w:val="00A52AF2"/>
    <w:rsid w:val="00A52CB7"/>
    <w:rsid w:val="00A52DE1"/>
    <w:rsid w:val="00A52EA7"/>
    <w:rsid w:val="00A52ED8"/>
    <w:rsid w:val="00A52FC3"/>
    <w:rsid w:val="00A530B7"/>
    <w:rsid w:val="00A535C1"/>
    <w:rsid w:val="00A5378F"/>
    <w:rsid w:val="00A538A2"/>
    <w:rsid w:val="00A539D5"/>
    <w:rsid w:val="00A53A21"/>
    <w:rsid w:val="00A53AA3"/>
    <w:rsid w:val="00A53C18"/>
    <w:rsid w:val="00A53CA3"/>
    <w:rsid w:val="00A53EC8"/>
    <w:rsid w:val="00A53FE0"/>
    <w:rsid w:val="00A54151"/>
    <w:rsid w:val="00A5418D"/>
    <w:rsid w:val="00A542DF"/>
    <w:rsid w:val="00A542F7"/>
    <w:rsid w:val="00A54307"/>
    <w:rsid w:val="00A544B6"/>
    <w:rsid w:val="00A544DE"/>
    <w:rsid w:val="00A5458E"/>
    <w:rsid w:val="00A54721"/>
    <w:rsid w:val="00A54741"/>
    <w:rsid w:val="00A547FD"/>
    <w:rsid w:val="00A54824"/>
    <w:rsid w:val="00A54838"/>
    <w:rsid w:val="00A548D1"/>
    <w:rsid w:val="00A54A97"/>
    <w:rsid w:val="00A54C15"/>
    <w:rsid w:val="00A54C53"/>
    <w:rsid w:val="00A54F57"/>
    <w:rsid w:val="00A5507A"/>
    <w:rsid w:val="00A55246"/>
    <w:rsid w:val="00A55305"/>
    <w:rsid w:val="00A5543A"/>
    <w:rsid w:val="00A5544E"/>
    <w:rsid w:val="00A55696"/>
    <w:rsid w:val="00A5589A"/>
    <w:rsid w:val="00A55944"/>
    <w:rsid w:val="00A55ADC"/>
    <w:rsid w:val="00A55BA2"/>
    <w:rsid w:val="00A55C21"/>
    <w:rsid w:val="00A55CD8"/>
    <w:rsid w:val="00A55D3D"/>
    <w:rsid w:val="00A55D89"/>
    <w:rsid w:val="00A56205"/>
    <w:rsid w:val="00A56270"/>
    <w:rsid w:val="00A56286"/>
    <w:rsid w:val="00A5651B"/>
    <w:rsid w:val="00A567DC"/>
    <w:rsid w:val="00A56824"/>
    <w:rsid w:val="00A568AE"/>
    <w:rsid w:val="00A5692E"/>
    <w:rsid w:val="00A56A36"/>
    <w:rsid w:val="00A56B4A"/>
    <w:rsid w:val="00A56CB6"/>
    <w:rsid w:val="00A56F4F"/>
    <w:rsid w:val="00A5708E"/>
    <w:rsid w:val="00A5718A"/>
    <w:rsid w:val="00A57631"/>
    <w:rsid w:val="00A5764C"/>
    <w:rsid w:val="00A578C3"/>
    <w:rsid w:val="00A578EB"/>
    <w:rsid w:val="00A57AA3"/>
    <w:rsid w:val="00A57B4F"/>
    <w:rsid w:val="00A57BF8"/>
    <w:rsid w:val="00A57C8B"/>
    <w:rsid w:val="00A57CA4"/>
    <w:rsid w:val="00A57D92"/>
    <w:rsid w:val="00A57E35"/>
    <w:rsid w:val="00A57EAD"/>
    <w:rsid w:val="00A57EFA"/>
    <w:rsid w:val="00A57F25"/>
    <w:rsid w:val="00A57F26"/>
    <w:rsid w:val="00A6006A"/>
    <w:rsid w:val="00A60191"/>
    <w:rsid w:val="00A604B8"/>
    <w:rsid w:val="00A604B9"/>
    <w:rsid w:val="00A60798"/>
    <w:rsid w:val="00A60806"/>
    <w:rsid w:val="00A608DE"/>
    <w:rsid w:val="00A6098A"/>
    <w:rsid w:val="00A60AC0"/>
    <w:rsid w:val="00A60BA3"/>
    <w:rsid w:val="00A60C2E"/>
    <w:rsid w:val="00A60CD2"/>
    <w:rsid w:val="00A60E4F"/>
    <w:rsid w:val="00A61049"/>
    <w:rsid w:val="00A6109F"/>
    <w:rsid w:val="00A611C9"/>
    <w:rsid w:val="00A61514"/>
    <w:rsid w:val="00A616FD"/>
    <w:rsid w:val="00A61758"/>
    <w:rsid w:val="00A61832"/>
    <w:rsid w:val="00A6187F"/>
    <w:rsid w:val="00A6191E"/>
    <w:rsid w:val="00A61B05"/>
    <w:rsid w:val="00A61E95"/>
    <w:rsid w:val="00A61F25"/>
    <w:rsid w:val="00A61FF2"/>
    <w:rsid w:val="00A61FF9"/>
    <w:rsid w:val="00A62070"/>
    <w:rsid w:val="00A62092"/>
    <w:rsid w:val="00A620FF"/>
    <w:rsid w:val="00A623EA"/>
    <w:rsid w:val="00A626FF"/>
    <w:rsid w:val="00A62703"/>
    <w:rsid w:val="00A62711"/>
    <w:rsid w:val="00A6272A"/>
    <w:rsid w:val="00A627D1"/>
    <w:rsid w:val="00A6284A"/>
    <w:rsid w:val="00A6291F"/>
    <w:rsid w:val="00A629FF"/>
    <w:rsid w:val="00A62A8E"/>
    <w:rsid w:val="00A62B96"/>
    <w:rsid w:val="00A62CA2"/>
    <w:rsid w:val="00A62CF6"/>
    <w:rsid w:val="00A62D63"/>
    <w:rsid w:val="00A62E8F"/>
    <w:rsid w:val="00A62FE4"/>
    <w:rsid w:val="00A6309D"/>
    <w:rsid w:val="00A630BD"/>
    <w:rsid w:val="00A631AE"/>
    <w:rsid w:val="00A631F3"/>
    <w:rsid w:val="00A63406"/>
    <w:rsid w:val="00A63609"/>
    <w:rsid w:val="00A6367A"/>
    <w:rsid w:val="00A63728"/>
    <w:rsid w:val="00A637D8"/>
    <w:rsid w:val="00A63801"/>
    <w:rsid w:val="00A63A9E"/>
    <w:rsid w:val="00A63B42"/>
    <w:rsid w:val="00A63B76"/>
    <w:rsid w:val="00A63C35"/>
    <w:rsid w:val="00A63C38"/>
    <w:rsid w:val="00A63C44"/>
    <w:rsid w:val="00A63DE0"/>
    <w:rsid w:val="00A63F0F"/>
    <w:rsid w:val="00A64020"/>
    <w:rsid w:val="00A64220"/>
    <w:rsid w:val="00A6426B"/>
    <w:rsid w:val="00A642C7"/>
    <w:rsid w:val="00A64335"/>
    <w:rsid w:val="00A64373"/>
    <w:rsid w:val="00A643C6"/>
    <w:rsid w:val="00A643D5"/>
    <w:rsid w:val="00A643DA"/>
    <w:rsid w:val="00A64485"/>
    <w:rsid w:val="00A644CF"/>
    <w:rsid w:val="00A6458A"/>
    <w:rsid w:val="00A64590"/>
    <w:rsid w:val="00A64595"/>
    <w:rsid w:val="00A646F0"/>
    <w:rsid w:val="00A648BE"/>
    <w:rsid w:val="00A6498D"/>
    <w:rsid w:val="00A64A72"/>
    <w:rsid w:val="00A64B99"/>
    <w:rsid w:val="00A64C5B"/>
    <w:rsid w:val="00A64E4C"/>
    <w:rsid w:val="00A64E97"/>
    <w:rsid w:val="00A64EC1"/>
    <w:rsid w:val="00A64FC8"/>
    <w:rsid w:val="00A6500D"/>
    <w:rsid w:val="00A65028"/>
    <w:rsid w:val="00A654B2"/>
    <w:rsid w:val="00A6550F"/>
    <w:rsid w:val="00A657CD"/>
    <w:rsid w:val="00A6587F"/>
    <w:rsid w:val="00A658B5"/>
    <w:rsid w:val="00A65B13"/>
    <w:rsid w:val="00A65B33"/>
    <w:rsid w:val="00A65CA0"/>
    <w:rsid w:val="00A65DD4"/>
    <w:rsid w:val="00A65E53"/>
    <w:rsid w:val="00A65EF9"/>
    <w:rsid w:val="00A65F52"/>
    <w:rsid w:val="00A65F85"/>
    <w:rsid w:val="00A6600C"/>
    <w:rsid w:val="00A660CD"/>
    <w:rsid w:val="00A660ED"/>
    <w:rsid w:val="00A66131"/>
    <w:rsid w:val="00A661DC"/>
    <w:rsid w:val="00A661F9"/>
    <w:rsid w:val="00A66211"/>
    <w:rsid w:val="00A66226"/>
    <w:rsid w:val="00A663D1"/>
    <w:rsid w:val="00A6640A"/>
    <w:rsid w:val="00A66583"/>
    <w:rsid w:val="00A6661F"/>
    <w:rsid w:val="00A666CA"/>
    <w:rsid w:val="00A669DE"/>
    <w:rsid w:val="00A66A8B"/>
    <w:rsid w:val="00A66AD8"/>
    <w:rsid w:val="00A66D3C"/>
    <w:rsid w:val="00A66D51"/>
    <w:rsid w:val="00A66E32"/>
    <w:rsid w:val="00A674E2"/>
    <w:rsid w:val="00A675A1"/>
    <w:rsid w:val="00A676DC"/>
    <w:rsid w:val="00A677ED"/>
    <w:rsid w:val="00A67823"/>
    <w:rsid w:val="00A67BA6"/>
    <w:rsid w:val="00A67BC5"/>
    <w:rsid w:val="00A67D07"/>
    <w:rsid w:val="00A67FF0"/>
    <w:rsid w:val="00A7007C"/>
    <w:rsid w:val="00A70114"/>
    <w:rsid w:val="00A701EC"/>
    <w:rsid w:val="00A7029F"/>
    <w:rsid w:val="00A70337"/>
    <w:rsid w:val="00A7034E"/>
    <w:rsid w:val="00A703FE"/>
    <w:rsid w:val="00A704CD"/>
    <w:rsid w:val="00A70607"/>
    <w:rsid w:val="00A7076E"/>
    <w:rsid w:val="00A70807"/>
    <w:rsid w:val="00A709AB"/>
    <w:rsid w:val="00A70A5C"/>
    <w:rsid w:val="00A70B8E"/>
    <w:rsid w:val="00A70C8D"/>
    <w:rsid w:val="00A70CA2"/>
    <w:rsid w:val="00A70D5D"/>
    <w:rsid w:val="00A70FCF"/>
    <w:rsid w:val="00A70FEF"/>
    <w:rsid w:val="00A7100E"/>
    <w:rsid w:val="00A71080"/>
    <w:rsid w:val="00A714BA"/>
    <w:rsid w:val="00A71679"/>
    <w:rsid w:val="00A716A4"/>
    <w:rsid w:val="00A7176C"/>
    <w:rsid w:val="00A71D1F"/>
    <w:rsid w:val="00A71E1B"/>
    <w:rsid w:val="00A71E7F"/>
    <w:rsid w:val="00A71F5B"/>
    <w:rsid w:val="00A72014"/>
    <w:rsid w:val="00A72033"/>
    <w:rsid w:val="00A7207A"/>
    <w:rsid w:val="00A7237F"/>
    <w:rsid w:val="00A72436"/>
    <w:rsid w:val="00A72480"/>
    <w:rsid w:val="00A7252A"/>
    <w:rsid w:val="00A72608"/>
    <w:rsid w:val="00A7268D"/>
    <w:rsid w:val="00A726DD"/>
    <w:rsid w:val="00A72806"/>
    <w:rsid w:val="00A72AD0"/>
    <w:rsid w:val="00A72C17"/>
    <w:rsid w:val="00A72ED3"/>
    <w:rsid w:val="00A72F95"/>
    <w:rsid w:val="00A72F9E"/>
    <w:rsid w:val="00A72FA0"/>
    <w:rsid w:val="00A72FDD"/>
    <w:rsid w:val="00A72FEE"/>
    <w:rsid w:val="00A73066"/>
    <w:rsid w:val="00A7309C"/>
    <w:rsid w:val="00A732BF"/>
    <w:rsid w:val="00A733B7"/>
    <w:rsid w:val="00A73506"/>
    <w:rsid w:val="00A73734"/>
    <w:rsid w:val="00A73812"/>
    <w:rsid w:val="00A7390E"/>
    <w:rsid w:val="00A73943"/>
    <w:rsid w:val="00A73AD1"/>
    <w:rsid w:val="00A73AFD"/>
    <w:rsid w:val="00A73BAC"/>
    <w:rsid w:val="00A73C59"/>
    <w:rsid w:val="00A73CCB"/>
    <w:rsid w:val="00A73D0F"/>
    <w:rsid w:val="00A73EF2"/>
    <w:rsid w:val="00A7415D"/>
    <w:rsid w:val="00A74165"/>
    <w:rsid w:val="00A7416E"/>
    <w:rsid w:val="00A741CE"/>
    <w:rsid w:val="00A741F3"/>
    <w:rsid w:val="00A74385"/>
    <w:rsid w:val="00A743C7"/>
    <w:rsid w:val="00A7453D"/>
    <w:rsid w:val="00A7463E"/>
    <w:rsid w:val="00A746BE"/>
    <w:rsid w:val="00A7482E"/>
    <w:rsid w:val="00A748F9"/>
    <w:rsid w:val="00A7495A"/>
    <w:rsid w:val="00A74AAA"/>
    <w:rsid w:val="00A74B53"/>
    <w:rsid w:val="00A74B7C"/>
    <w:rsid w:val="00A74C82"/>
    <w:rsid w:val="00A74C85"/>
    <w:rsid w:val="00A74D6D"/>
    <w:rsid w:val="00A750A6"/>
    <w:rsid w:val="00A75367"/>
    <w:rsid w:val="00A753CF"/>
    <w:rsid w:val="00A753F2"/>
    <w:rsid w:val="00A756F3"/>
    <w:rsid w:val="00A75914"/>
    <w:rsid w:val="00A7594C"/>
    <w:rsid w:val="00A75957"/>
    <w:rsid w:val="00A75C51"/>
    <w:rsid w:val="00A75CCE"/>
    <w:rsid w:val="00A75DD3"/>
    <w:rsid w:val="00A75EAF"/>
    <w:rsid w:val="00A75EF5"/>
    <w:rsid w:val="00A7603F"/>
    <w:rsid w:val="00A761E0"/>
    <w:rsid w:val="00A76378"/>
    <w:rsid w:val="00A7676A"/>
    <w:rsid w:val="00A76904"/>
    <w:rsid w:val="00A76B92"/>
    <w:rsid w:val="00A76C7A"/>
    <w:rsid w:val="00A76C9D"/>
    <w:rsid w:val="00A76D6B"/>
    <w:rsid w:val="00A76D9A"/>
    <w:rsid w:val="00A76FF8"/>
    <w:rsid w:val="00A77098"/>
    <w:rsid w:val="00A770AB"/>
    <w:rsid w:val="00A77532"/>
    <w:rsid w:val="00A77597"/>
    <w:rsid w:val="00A7767A"/>
    <w:rsid w:val="00A776B9"/>
    <w:rsid w:val="00A776DD"/>
    <w:rsid w:val="00A777AB"/>
    <w:rsid w:val="00A77808"/>
    <w:rsid w:val="00A77898"/>
    <w:rsid w:val="00A778CD"/>
    <w:rsid w:val="00A77A55"/>
    <w:rsid w:val="00A77B65"/>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3A"/>
    <w:rsid w:val="00A8087E"/>
    <w:rsid w:val="00A80C6D"/>
    <w:rsid w:val="00A80D3F"/>
    <w:rsid w:val="00A80E07"/>
    <w:rsid w:val="00A80E7F"/>
    <w:rsid w:val="00A80F20"/>
    <w:rsid w:val="00A8125B"/>
    <w:rsid w:val="00A812D0"/>
    <w:rsid w:val="00A81333"/>
    <w:rsid w:val="00A81408"/>
    <w:rsid w:val="00A81740"/>
    <w:rsid w:val="00A817AA"/>
    <w:rsid w:val="00A817C1"/>
    <w:rsid w:val="00A8196E"/>
    <w:rsid w:val="00A819BF"/>
    <w:rsid w:val="00A81A3D"/>
    <w:rsid w:val="00A81ACE"/>
    <w:rsid w:val="00A81CE9"/>
    <w:rsid w:val="00A81DCF"/>
    <w:rsid w:val="00A81DE3"/>
    <w:rsid w:val="00A81EFE"/>
    <w:rsid w:val="00A82001"/>
    <w:rsid w:val="00A82174"/>
    <w:rsid w:val="00A8224D"/>
    <w:rsid w:val="00A82409"/>
    <w:rsid w:val="00A82862"/>
    <w:rsid w:val="00A82870"/>
    <w:rsid w:val="00A828D9"/>
    <w:rsid w:val="00A82982"/>
    <w:rsid w:val="00A82A32"/>
    <w:rsid w:val="00A82C75"/>
    <w:rsid w:val="00A82D79"/>
    <w:rsid w:val="00A82EAA"/>
    <w:rsid w:val="00A82F5A"/>
    <w:rsid w:val="00A82F75"/>
    <w:rsid w:val="00A82F90"/>
    <w:rsid w:val="00A830AF"/>
    <w:rsid w:val="00A8314A"/>
    <w:rsid w:val="00A831F4"/>
    <w:rsid w:val="00A83214"/>
    <w:rsid w:val="00A8321C"/>
    <w:rsid w:val="00A8324D"/>
    <w:rsid w:val="00A834BC"/>
    <w:rsid w:val="00A834F1"/>
    <w:rsid w:val="00A83588"/>
    <w:rsid w:val="00A83707"/>
    <w:rsid w:val="00A83761"/>
    <w:rsid w:val="00A83C9B"/>
    <w:rsid w:val="00A83CE6"/>
    <w:rsid w:val="00A84086"/>
    <w:rsid w:val="00A841DC"/>
    <w:rsid w:val="00A842D3"/>
    <w:rsid w:val="00A843D6"/>
    <w:rsid w:val="00A845FB"/>
    <w:rsid w:val="00A846FC"/>
    <w:rsid w:val="00A847A4"/>
    <w:rsid w:val="00A84869"/>
    <w:rsid w:val="00A848AF"/>
    <w:rsid w:val="00A84A20"/>
    <w:rsid w:val="00A84B4B"/>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3D6"/>
    <w:rsid w:val="00A8656F"/>
    <w:rsid w:val="00A865AF"/>
    <w:rsid w:val="00A86675"/>
    <w:rsid w:val="00A86698"/>
    <w:rsid w:val="00A8670B"/>
    <w:rsid w:val="00A86813"/>
    <w:rsid w:val="00A8683F"/>
    <w:rsid w:val="00A86847"/>
    <w:rsid w:val="00A86B91"/>
    <w:rsid w:val="00A86CB9"/>
    <w:rsid w:val="00A86D92"/>
    <w:rsid w:val="00A86E16"/>
    <w:rsid w:val="00A86F26"/>
    <w:rsid w:val="00A86FE5"/>
    <w:rsid w:val="00A87059"/>
    <w:rsid w:val="00A872A2"/>
    <w:rsid w:val="00A8735A"/>
    <w:rsid w:val="00A87494"/>
    <w:rsid w:val="00A87509"/>
    <w:rsid w:val="00A8751C"/>
    <w:rsid w:val="00A8754C"/>
    <w:rsid w:val="00A8768E"/>
    <w:rsid w:val="00A87885"/>
    <w:rsid w:val="00A87A33"/>
    <w:rsid w:val="00A87BAD"/>
    <w:rsid w:val="00A87DB2"/>
    <w:rsid w:val="00A87FCB"/>
    <w:rsid w:val="00A87FEA"/>
    <w:rsid w:val="00A90093"/>
    <w:rsid w:val="00A900B0"/>
    <w:rsid w:val="00A90455"/>
    <w:rsid w:val="00A90466"/>
    <w:rsid w:val="00A90489"/>
    <w:rsid w:val="00A904B2"/>
    <w:rsid w:val="00A905C5"/>
    <w:rsid w:val="00A90755"/>
    <w:rsid w:val="00A90972"/>
    <w:rsid w:val="00A90C97"/>
    <w:rsid w:val="00A90CB0"/>
    <w:rsid w:val="00A9106E"/>
    <w:rsid w:val="00A91163"/>
    <w:rsid w:val="00A91208"/>
    <w:rsid w:val="00A91251"/>
    <w:rsid w:val="00A912AA"/>
    <w:rsid w:val="00A9158E"/>
    <w:rsid w:val="00A916D2"/>
    <w:rsid w:val="00A91DE2"/>
    <w:rsid w:val="00A91DEE"/>
    <w:rsid w:val="00A91F9E"/>
    <w:rsid w:val="00A9202D"/>
    <w:rsid w:val="00A920FC"/>
    <w:rsid w:val="00A922C2"/>
    <w:rsid w:val="00A9244B"/>
    <w:rsid w:val="00A924A0"/>
    <w:rsid w:val="00A92539"/>
    <w:rsid w:val="00A9253F"/>
    <w:rsid w:val="00A9257A"/>
    <w:rsid w:val="00A925F0"/>
    <w:rsid w:val="00A925F6"/>
    <w:rsid w:val="00A928FE"/>
    <w:rsid w:val="00A92AB6"/>
    <w:rsid w:val="00A92B4B"/>
    <w:rsid w:val="00A92D05"/>
    <w:rsid w:val="00A92D67"/>
    <w:rsid w:val="00A92EE5"/>
    <w:rsid w:val="00A93054"/>
    <w:rsid w:val="00A9306D"/>
    <w:rsid w:val="00A93134"/>
    <w:rsid w:val="00A93160"/>
    <w:rsid w:val="00A93315"/>
    <w:rsid w:val="00A935C2"/>
    <w:rsid w:val="00A93648"/>
    <w:rsid w:val="00A936B8"/>
    <w:rsid w:val="00A93833"/>
    <w:rsid w:val="00A93966"/>
    <w:rsid w:val="00A93996"/>
    <w:rsid w:val="00A93DD6"/>
    <w:rsid w:val="00A93ECA"/>
    <w:rsid w:val="00A93FA0"/>
    <w:rsid w:val="00A94121"/>
    <w:rsid w:val="00A94157"/>
    <w:rsid w:val="00A942AA"/>
    <w:rsid w:val="00A9431C"/>
    <w:rsid w:val="00A94366"/>
    <w:rsid w:val="00A9438E"/>
    <w:rsid w:val="00A94441"/>
    <w:rsid w:val="00A944C0"/>
    <w:rsid w:val="00A94B33"/>
    <w:rsid w:val="00A94BF0"/>
    <w:rsid w:val="00A94C61"/>
    <w:rsid w:val="00A94D3E"/>
    <w:rsid w:val="00A94E28"/>
    <w:rsid w:val="00A94FFB"/>
    <w:rsid w:val="00A95090"/>
    <w:rsid w:val="00A9511B"/>
    <w:rsid w:val="00A951FC"/>
    <w:rsid w:val="00A952DF"/>
    <w:rsid w:val="00A95370"/>
    <w:rsid w:val="00A95467"/>
    <w:rsid w:val="00A954F7"/>
    <w:rsid w:val="00A95599"/>
    <w:rsid w:val="00A95948"/>
    <w:rsid w:val="00A95996"/>
    <w:rsid w:val="00A95AD0"/>
    <w:rsid w:val="00A95AFF"/>
    <w:rsid w:val="00A95CBF"/>
    <w:rsid w:val="00A95EB0"/>
    <w:rsid w:val="00A95FD6"/>
    <w:rsid w:val="00A95FDA"/>
    <w:rsid w:val="00A96237"/>
    <w:rsid w:val="00A96425"/>
    <w:rsid w:val="00A96475"/>
    <w:rsid w:val="00A964BE"/>
    <w:rsid w:val="00A96550"/>
    <w:rsid w:val="00A965B1"/>
    <w:rsid w:val="00A9666E"/>
    <w:rsid w:val="00A96691"/>
    <w:rsid w:val="00A96829"/>
    <w:rsid w:val="00A969BF"/>
    <w:rsid w:val="00A96A06"/>
    <w:rsid w:val="00A96A12"/>
    <w:rsid w:val="00A96AF9"/>
    <w:rsid w:val="00A96D77"/>
    <w:rsid w:val="00A96D93"/>
    <w:rsid w:val="00A96E04"/>
    <w:rsid w:val="00A96E05"/>
    <w:rsid w:val="00A96E81"/>
    <w:rsid w:val="00A971E0"/>
    <w:rsid w:val="00A97396"/>
    <w:rsid w:val="00A97601"/>
    <w:rsid w:val="00A976B5"/>
    <w:rsid w:val="00A978CD"/>
    <w:rsid w:val="00A97910"/>
    <w:rsid w:val="00A97945"/>
    <w:rsid w:val="00A97B5E"/>
    <w:rsid w:val="00A97BB1"/>
    <w:rsid w:val="00A97C78"/>
    <w:rsid w:val="00A97EE9"/>
    <w:rsid w:val="00A97F85"/>
    <w:rsid w:val="00AA004E"/>
    <w:rsid w:val="00AA01BA"/>
    <w:rsid w:val="00AA020A"/>
    <w:rsid w:val="00AA03A7"/>
    <w:rsid w:val="00AA08CF"/>
    <w:rsid w:val="00AA0945"/>
    <w:rsid w:val="00AA0BB3"/>
    <w:rsid w:val="00AA0C1C"/>
    <w:rsid w:val="00AA0C2C"/>
    <w:rsid w:val="00AA0E49"/>
    <w:rsid w:val="00AA0E8F"/>
    <w:rsid w:val="00AA0E99"/>
    <w:rsid w:val="00AA0FDE"/>
    <w:rsid w:val="00AA1154"/>
    <w:rsid w:val="00AA1185"/>
    <w:rsid w:val="00AA12FC"/>
    <w:rsid w:val="00AA139D"/>
    <w:rsid w:val="00AA140E"/>
    <w:rsid w:val="00AA142C"/>
    <w:rsid w:val="00AA1527"/>
    <w:rsid w:val="00AA1666"/>
    <w:rsid w:val="00AA1A02"/>
    <w:rsid w:val="00AA1B76"/>
    <w:rsid w:val="00AA1CFB"/>
    <w:rsid w:val="00AA1D69"/>
    <w:rsid w:val="00AA1DBE"/>
    <w:rsid w:val="00AA2612"/>
    <w:rsid w:val="00AA2A54"/>
    <w:rsid w:val="00AA2B5B"/>
    <w:rsid w:val="00AA2B7F"/>
    <w:rsid w:val="00AA2B8B"/>
    <w:rsid w:val="00AA2BC7"/>
    <w:rsid w:val="00AA2BCC"/>
    <w:rsid w:val="00AA2C9D"/>
    <w:rsid w:val="00AA2DC0"/>
    <w:rsid w:val="00AA3084"/>
    <w:rsid w:val="00AA340E"/>
    <w:rsid w:val="00AA356A"/>
    <w:rsid w:val="00AA360C"/>
    <w:rsid w:val="00AA3740"/>
    <w:rsid w:val="00AA3783"/>
    <w:rsid w:val="00AA3928"/>
    <w:rsid w:val="00AA39FF"/>
    <w:rsid w:val="00AA3A7D"/>
    <w:rsid w:val="00AA3ACC"/>
    <w:rsid w:val="00AA3B0B"/>
    <w:rsid w:val="00AA3B93"/>
    <w:rsid w:val="00AA3C94"/>
    <w:rsid w:val="00AA3CB4"/>
    <w:rsid w:val="00AA3E22"/>
    <w:rsid w:val="00AA3E9C"/>
    <w:rsid w:val="00AA3EA7"/>
    <w:rsid w:val="00AA42DF"/>
    <w:rsid w:val="00AA449C"/>
    <w:rsid w:val="00AA4643"/>
    <w:rsid w:val="00AA4745"/>
    <w:rsid w:val="00AA4848"/>
    <w:rsid w:val="00AA4AA4"/>
    <w:rsid w:val="00AA4AD6"/>
    <w:rsid w:val="00AA4C55"/>
    <w:rsid w:val="00AA4CDF"/>
    <w:rsid w:val="00AA4EB0"/>
    <w:rsid w:val="00AA4ECC"/>
    <w:rsid w:val="00AA5000"/>
    <w:rsid w:val="00AA52FA"/>
    <w:rsid w:val="00AA534D"/>
    <w:rsid w:val="00AA541D"/>
    <w:rsid w:val="00AA562A"/>
    <w:rsid w:val="00AA56E8"/>
    <w:rsid w:val="00AA58D0"/>
    <w:rsid w:val="00AA5AB9"/>
    <w:rsid w:val="00AA5C06"/>
    <w:rsid w:val="00AA5C46"/>
    <w:rsid w:val="00AA5C84"/>
    <w:rsid w:val="00AA5DE6"/>
    <w:rsid w:val="00AA5E05"/>
    <w:rsid w:val="00AA5E50"/>
    <w:rsid w:val="00AA5F0D"/>
    <w:rsid w:val="00AA6180"/>
    <w:rsid w:val="00AA6383"/>
    <w:rsid w:val="00AA63B5"/>
    <w:rsid w:val="00AA6468"/>
    <w:rsid w:val="00AA6581"/>
    <w:rsid w:val="00AA665E"/>
    <w:rsid w:val="00AA6686"/>
    <w:rsid w:val="00AA66BD"/>
    <w:rsid w:val="00AA6700"/>
    <w:rsid w:val="00AA6D34"/>
    <w:rsid w:val="00AA70FA"/>
    <w:rsid w:val="00AA724B"/>
    <w:rsid w:val="00AA73D3"/>
    <w:rsid w:val="00AA74AF"/>
    <w:rsid w:val="00AA7526"/>
    <w:rsid w:val="00AA7B1E"/>
    <w:rsid w:val="00AA7B29"/>
    <w:rsid w:val="00AA7C14"/>
    <w:rsid w:val="00AA7C39"/>
    <w:rsid w:val="00AA7DD4"/>
    <w:rsid w:val="00AA7E9D"/>
    <w:rsid w:val="00AA7F18"/>
    <w:rsid w:val="00AA7FEB"/>
    <w:rsid w:val="00AB0045"/>
    <w:rsid w:val="00AB00D7"/>
    <w:rsid w:val="00AB019D"/>
    <w:rsid w:val="00AB0307"/>
    <w:rsid w:val="00AB0309"/>
    <w:rsid w:val="00AB048E"/>
    <w:rsid w:val="00AB0566"/>
    <w:rsid w:val="00AB0613"/>
    <w:rsid w:val="00AB0726"/>
    <w:rsid w:val="00AB0783"/>
    <w:rsid w:val="00AB0864"/>
    <w:rsid w:val="00AB08A0"/>
    <w:rsid w:val="00AB091C"/>
    <w:rsid w:val="00AB0A67"/>
    <w:rsid w:val="00AB0AA7"/>
    <w:rsid w:val="00AB0B4E"/>
    <w:rsid w:val="00AB0BC9"/>
    <w:rsid w:val="00AB0C1C"/>
    <w:rsid w:val="00AB0CCE"/>
    <w:rsid w:val="00AB0D1D"/>
    <w:rsid w:val="00AB0E26"/>
    <w:rsid w:val="00AB0ECC"/>
    <w:rsid w:val="00AB1099"/>
    <w:rsid w:val="00AB10A6"/>
    <w:rsid w:val="00AB137D"/>
    <w:rsid w:val="00AB138C"/>
    <w:rsid w:val="00AB14F8"/>
    <w:rsid w:val="00AB1505"/>
    <w:rsid w:val="00AB168D"/>
    <w:rsid w:val="00AB16A6"/>
    <w:rsid w:val="00AB17DD"/>
    <w:rsid w:val="00AB1997"/>
    <w:rsid w:val="00AB1A97"/>
    <w:rsid w:val="00AB1BCF"/>
    <w:rsid w:val="00AB1D84"/>
    <w:rsid w:val="00AB1F22"/>
    <w:rsid w:val="00AB2036"/>
    <w:rsid w:val="00AB2137"/>
    <w:rsid w:val="00AB21F8"/>
    <w:rsid w:val="00AB2297"/>
    <w:rsid w:val="00AB26F4"/>
    <w:rsid w:val="00AB2706"/>
    <w:rsid w:val="00AB276D"/>
    <w:rsid w:val="00AB284D"/>
    <w:rsid w:val="00AB2920"/>
    <w:rsid w:val="00AB2982"/>
    <w:rsid w:val="00AB2A23"/>
    <w:rsid w:val="00AB2A33"/>
    <w:rsid w:val="00AB2A6A"/>
    <w:rsid w:val="00AB305B"/>
    <w:rsid w:val="00AB31B7"/>
    <w:rsid w:val="00AB31E9"/>
    <w:rsid w:val="00AB3212"/>
    <w:rsid w:val="00AB35FA"/>
    <w:rsid w:val="00AB38DC"/>
    <w:rsid w:val="00AB3928"/>
    <w:rsid w:val="00AB398F"/>
    <w:rsid w:val="00AB3AE5"/>
    <w:rsid w:val="00AB3C59"/>
    <w:rsid w:val="00AB3D3D"/>
    <w:rsid w:val="00AB3E4E"/>
    <w:rsid w:val="00AB3FE0"/>
    <w:rsid w:val="00AB412F"/>
    <w:rsid w:val="00AB42C8"/>
    <w:rsid w:val="00AB443C"/>
    <w:rsid w:val="00AB46A5"/>
    <w:rsid w:val="00AB49DD"/>
    <w:rsid w:val="00AB4A39"/>
    <w:rsid w:val="00AB4B1E"/>
    <w:rsid w:val="00AB4B5B"/>
    <w:rsid w:val="00AB4C4F"/>
    <w:rsid w:val="00AB4EDD"/>
    <w:rsid w:val="00AB5169"/>
    <w:rsid w:val="00AB53A8"/>
    <w:rsid w:val="00AB5417"/>
    <w:rsid w:val="00AB5658"/>
    <w:rsid w:val="00AB56C3"/>
    <w:rsid w:val="00AB5805"/>
    <w:rsid w:val="00AB581B"/>
    <w:rsid w:val="00AB58E3"/>
    <w:rsid w:val="00AB5923"/>
    <w:rsid w:val="00AB5A99"/>
    <w:rsid w:val="00AB5AC0"/>
    <w:rsid w:val="00AB5BA4"/>
    <w:rsid w:val="00AB5C14"/>
    <w:rsid w:val="00AB5DED"/>
    <w:rsid w:val="00AB5DFF"/>
    <w:rsid w:val="00AB5E6A"/>
    <w:rsid w:val="00AB5ED2"/>
    <w:rsid w:val="00AB5F7B"/>
    <w:rsid w:val="00AB5FEF"/>
    <w:rsid w:val="00AB6099"/>
    <w:rsid w:val="00AB6322"/>
    <w:rsid w:val="00AB650E"/>
    <w:rsid w:val="00AB6623"/>
    <w:rsid w:val="00AB6683"/>
    <w:rsid w:val="00AB696F"/>
    <w:rsid w:val="00AB69A2"/>
    <w:rsid w:val="00AB69AC"/>
    <w:rsid w:val="00AB6A0C"/>
    <w:rsid w:val="00AB6AC6"/>
    <w:rsid w:val="00AB6ACB"/>
    <w:rsid w:val="00AB6AD3"/>
    <w:rsid w:val="00AB6BFD"/>
    <w:rsid w:val="00AB6D46"/>
    <w:rsid w:val="00AB6DEE"/>
    <w:rsid w:val="00AB6F22"/>
    <w:rsid w:val="00AB6FD4"/>
    <w:rsid w:val="00AB71D6"/>
    <w:rsid w:val="00AB726B"/>
    <w:rsid w:val="00AB74A5"/>
    <w:rsid w:val="00AB753A"/>
    <w:rsid w:val="00AB758D"/>
    <w:rsid w:val="00AB79E4"/>
    <w:rsid w:val="00AB79F5"/>
    <w:rsid w:val="00AB7A8D"/>
    <w:rsid w:val="00AB7BEA"/>
    <w:rsid w:val="00AB7C2E"/>
    <w:rsid w:val="00AB7D24"/>
    <w:rsid w:val="00AB7DE3"/>
    <w:rsid w:val="00AC0048"/>
    <w:rsid w:val="00AC0051"/>
    <w:rsid w:val="00AC00AA"/>
    <w:rsid w:val="00AC019E"/>
    <w:rsid w:val="00AC0292"/>
    <w:rsid w:val="00AC05B7"/>
    <w:rsid w:val="00AC0B30"/>
    <w:rsid w:val="00AC0C70"/>
    <w:rsid w:val="00AC0C95"/>
    <w:rsid w:val="00AC0D0C"/>
    <w:rsid w:val="00AC0D0D"/>
    <w:rsid w:val="00AC0E6D"/>
    <w:rsid w:val="00AC0EBA"/>
    <w:rsid w:val="00AC0FDA"/>
    <w:rsid w:val="00AC0FF3"/>
    <w:rsid w:val="00AC10BC"/>
    <w:rsid w:val="00AC11FD"/>
    <w:rsid w:val="00AC147A"/>
    <w:rsid w:val="00AC1553"/>
    <w:rsid w:val="00AC15E1"/>
    <w:rsid w:val="00AC1609"/>
    <w:rsid w:val="00AC1666"/>
    <w:rsid w:val="00AC1825"/>
    <w:rsid w:val="00AC187D"/>
    <w:rsid w:val="00AC19B5"/>
    <w:rsid w:val="00AC1A54"/>
    <w:rsid w:val="00AC1BAE"/>
    <w:rsid w:val="00AC1D2F"/>
    <w:rsid w:val="00AC1DBA"/>
    <w:rsid w:val="00AC1E11"/>
    <w:rsid w:val="00AC1EBC"/>
    <w:rsid w:val="00AC2129"/>
    <w:rsid w:val="00AC23F9"/>
    <w:rsid w:val="00AC245E"/>
    <w:rsid w:val="00AC252E"/>
    <w:rsid w:val="00AC2963"/>
    <w:rsid w:val="00AC2B0A"/>
    <w:rsid w:val="00AC2B61"/>
    <w:rsid w:val="00AC2C8A"/>
    <w:rsid w:val="00AC2E90"/>
    <w:rsid w:val="00AC2F42"/>
    <w:rsid w:val="00AC2F4E"/>
    <w:rsid w:val="00AC2F5C"/>
    <w:rsid w:val="00AC2F77"/>
    <w:rsid w:val="00AC3315"/>
    <w:rsid w:val="00AC334E"/>
    <w:rsid w:val="00AC342E"/>
    <w:rsid w:val="00AC3436"/>
    <w:rsid w:val="00AC34CC"/>
    <w:rsid w:val="00AC35CF"/>
    <w:rsid w:val="00AC35FC"/>
    <w:rsid w:val="00AC38C8"/>
    <w:rsid w:val="00AC3910"/>
    <w:rsid w:val="00AC3932"/>
    <w:rsid w:val="00AC39FC"/>
    <w:rsid w:val="00AC3AE1"/>
    <w:rsid w:val="00AC3B1F"/>
    <w:rsid w:val="00AC3CD5"/>
    <w:rsid w:val="00AC3D4F"/>
    <w:rsid w:val="00AC3E7A"/>
    <w:rsid w:val="00AC3FE6"/>
    <w:rsid w:val="00AC4086"/>
    <w:rsid w:val="00AC4105"/>
    <w:rsid w:val="00AC41FF"/>
    <w:rsid w:val="00AC433F"/>
    <w:rsid w:val="00AC4354"/>
    <w:rsid w:val="00AC4421"/>
    <w:rsid w:val="00AC46A4"/>
    <w:rsid w:val="00AC46F9"/>
    <w:rsid w:val="00AC48E6"/>
    <w:rsid w:val="00AC4AFE"/>
    <w:rsid w:val="00AC4FD2"/>
    <w:rsid w:val="00AC5387"/>
    <w:rsid w:val="00AC550A"/>
    <w:rsid w:val="00AC563B"/>
    <w:rsid w:val="00AC565D"/>
    <w:rsid w:val="00AC56AA"/>
    <w:rsid w:val="00AC5704"/>
    <w:rsid w:val="00AC57DF"/>
    <w:rsid w:val="00AC58A9"/>
    <w:rsid w:val="00AC5A12"/>
    <w:rsid w:val="00AC5AD6"/>
    <w:rsid w:val="00AC5B49"/>
    <w:rsid w:val="00AC5CD6"/>
    <w:rsid w:val="00AC5DEE"/>
    <w:rsid w:val="00AC5E15"/>
    <w:rsid w:val="00AC5EA2"/>
    <w:rsid w:val="00AC62E0"/>
    <w:rsid w:val="00AC6400"/>
    <w:rsid w:val="00AC6682"/>
    <w:rsid w:val="00AC677E"/>
    <w:rsid w:val="00AC6788"/>
    <w:rsid w:val="00AC6895"/>
    <w:rsid w:val="00AC6906"/>
    <w:rsid w:val="00AC6B97"/>
    <w:rsid w:val="00AC6C1D"/>
    <w:rsid w:val="00AC6D27"/>
    <w:rsid w:val="00AC6E07"/>
    <w:rsid w:val="00AC6E10"/>
    <w:rsid w:val="00AC6EEF"/>
    <w:rsid w:val="00AC6F3F"/>
    <w:rsid w:val="00AC7254"/>
    <w:rsid w:val="00AC725D"/>
    <w:rsid w:val="00AC7501"/>
    <w:rsid w:val="00AC7542"/>
    <w:rsid w:val="00AC75D6"/>
    <w:rsid w:val="00AC7655"/>
    <w:rsid w:val="00AC7740"/>
    <w:rsid w:val="00AC777A"/>
    <w:rsid w:val="00AC7782"/>
    <w:rsid w:val="00AC778E"/>
    <w:rsid w:val="00AC7835"/>
    <w:rsid w:val="00AC7851"/>
    <w:rsid w:val="00AC78E0"/>
    <w:rsid w:val="00AC79B6"/>
    <w:rsid w:val="00AC7B55"/>
    <w:rsid w:val="00AC7D62"/>
    <w:rsid w:val="00AC7EBC"/>
    <w:rsid w:val="00AC7F16"/>
    <w:rsid w:val="00AC7F36"/>
    <w:rsid w:val="00AC7FCD"/>
    <w:rsid w:val="00AD010D"/>
    <w:rsid w:val="00AD027C"/>
    <w:rsid w:val="00AD02F8"/>
    <w:rsid w:val="00AD044C"/>
    <w:rsid w:val="00AD04EC"/>
    <w:rsid w:val="00AD05C1"/>
    <w:rsid w:val="00AD0623"/>
    <w:rsid w:val="00AD07F7"/>
    <w:rsid w:val="00AD0AEE"/>
    <w:rsid w:val="00AD0C1D"/>
    <w:rsid w:val="00AD1204"/>
    <w:rsid w:val="00AD1294"/>
    <w:rsid w:val="00AD13CD"/>
    <w:rsid w:val="00AD1767"/>
    <w:rsid w:val="00AD1778"/>
    <w:rsid w:val="00AD1898"/>
    <w:rsid w:val="00AD1A72"/>
    <w:rsid w:val="00AD1B92"/>
    <w:rsid w:val="00AD1C46"/>
    <w:rsid w:val="00AD1DA0"/>
    <w:rsid w:val="00AD1DBB"/>
    <w:rsid w:val="00AD1DBD"/>
    <w:rsid w:val="00AD1DC1"/>
    <w:rsid w:val="00AD1DC6"/>
    <w:rsid w:val="00AD21AB"/>
    <w:rsid w:val="00AD22AE"/>
    <w:rsid w:val="00AD23FF"/>
    <w:rsid w:val="00AD2471"/>
    <w:rsid w:val="00AD24A2"/>
    <w:rsid w:val="00AD2593"/>
    <w:rsid w:val="00AD278D"/>
    <w:rsid w:val="00AD2980"/>
    <w:rsid w:val="00AD29ED"/>
    <w:rsid w:val="00AD2ADB"/>
    <w:rsid w:val="00AD2E2B"/>
    <w:rsid w:val="00AD2F3B"/>
    <w:rsid w:val="00AD2F70"/>
    <w:rsid w:val="00AD3032"/>
    <w:rsid w:val="00AD30A2"/>
    <w:rsid w:val="00AD30EB"/>
    <w:rsid w:val="00AD3128"/>
    <w:rsid w:val="00AD32E2"/>
    <w:rsid w:val="00AD3328"/>
    <w:rsid w:val="00AD38B1"/>
    <w:rsid w:val="00AD38BF"/>
    <w:rsid w:val="00AD3908"/>
    <w:rsid w:val="00AD3A4C"/>
    <w:rsid w:val="00AD3AF6"/>
    <w:rsid w:val="00AD3D97"/>
    <w:rsid w:val="00AD3DF1"/>
    <w:rsid w:val="00AD3E87"/>
    <w:rsid w:val="00AD4027"/>
    <w:rsid w:val="00AD40CB"/>
    <w:rsid w:val="00AD4207"/>
    <w:rsid w:val="00AD424B"/>
    <w:rsid w:val="00AD43D5"/>
    <w:rsid w:val="00AD446C"/>
    <w:rsid w:val="00AD45BA"/>
    <w:rsid w:val="00AD466F"/>
    <w:rsid w:val="00AD472A"/>
    <w:rsid w:val="00AD47FB"/>
    <w:rsid w:val="00AD48F6"/>
    <w:rsid w:val="00AD4ADA"/>
    <w:rsid w:val="00AD4CAC"/>
    <w:rsid w:val="00AD4CD0"/>
    <w:rsid w:val="00AD4D27"/>
    <w:rsid w:val="00AD4DBB"/>
    <w:rsid w:val="00AD5048"/>
    <w:rsid w:val="00AD50EF"/>
    <w:rsid w:val="00AD5136"/>
    <w:rsid w:val="00AD524A"/>
    <w:rsid w:val="00AD53F5"/>
    <w:rsid w:val="00AD53F8"/>
    <w:rsid w:val="00AD5561"/>
    <w:rsid w:val="00AD5576"/>
    <w:rsid w:val="00AD569F"/>
    <w:rsid w:val="00AD5865"/>
    <w:rsid w:val="00AD598E"/>
    <w:rsid w:val="00AD5999"/>
    <w:rsid w:val="00AD59A3"/>
    <w:rsid w:val="00AD5A16"/>
    <w:rsid w:val="00AD5C58"/>
    <w:rsid w:val="00AD5C5F"/>
    <w:rsid w:val="00AD5F4C"/>
    <w:rsid w:val="00AD5F98"/>
    <w:rsid w:val="00AD5FF9"/>
    <w:rsid w:val="00AD61AD"/>
    <w:rsid w:val="00AD625F"/>
    <w:rsid w:val="00AD646B"/>
    <w:rsid w:val="00AD64F5"/>
    <w:rsid w:val="00AD6621"/>
    <w:rsid w:val="00AD6646"/>
    <w:rsid w:val="00AD66EC"/>
    <w:rsid w:val="00AD6715"/>
    <w:rsid w:val="00AD675C"/>
    <w:rsid w:val="00AD680F"/>
    <w:rsid w:val="00AD683B"/>
    <w:rsid w:val="00AD6915"/>
    <w:rsid w:val="00AD69F6"/>
    <w:rsid w:val="00AD6B4E"/>
    <w:rsid w:val="00AD6C1F"/>
    <w:rsid w:val="00AD6D00"/>
    <w:rsid w:val="00AD6DD6"/>
    <w:rsid w:val="00AD6DFC"/>
    <w:rsid w:val="00AD6E96"/>
    <w:rsid w:val="00AD6F64"/>
    <w:rsid w:val="00AD6F7C"/>
    <w:rsid w:val="00AD6FB6"/>
    <w:rsid w:val="00AD7179"/>
    <w:rsid w:val="00AD720E"/>
    <w:rsid w:val="00AD75BE"/>
    <w:rsid w:val="00AD75D4"/>
    <w:rsid w:val="00AD7635"/>
    <w:rsid w:val="00AD7815"/>
    <w:rsid w:val="00AD78A9"/>
    <w:rsid w:val="00AD78E9"/>
    <w:rsid w:val="00AD79F3"/>
    <w:rsid w:val="00AD7A79"/>
    <w:rsid w:val="00AD7AB2"/>
    <w:rsid w:val="00AD7B80"/>
    <w:rsid w:val="00AD7E3C"/>
    <w:rsid w:val="00AD7EC4"/>
    <w:rsid w:val="00AE00AB"/>
    <w:rsid w:val="00AE0148"/>
    <w:rsid w:val="00AE0704"/>
    <w:rsid w:val="00AE097E"/>
    <w:rsid w:val="00AE0B1D"/>
    <w:rsid w:val="00AE0B74"/>
    <w:rsid w:val="00AE0E27"/>
    <w:rsid w:val="00AE0E47"/>
    <w:rsid w:val="00AE0EF0"/>
    <w:rsid w:val="00AE0FBC"/>
    <w:rsid w:val="00AE0FC4"/>
    <w:rsid w:val="00AE10FC"/>
    <w:rsid w:val="00AE111F"/>
    <w:rsid w:val="00AE11B6"/>
    <w:rsid w:val="00AE1251"/>
    <w:rsid w:val="00AE1297"/>
    <w:rsid w:val="00AE12EF"/>
    <w:rsid w:val="00AE1437"/>
    <w:rsid w:val="00AE175E"/>
    <w:rsid w:val="00AE193C"/>
    <w:rsid w:val="00AE196D"/>
    <w:rsid w:val="00AE1AB3"/>
    <w:rsid w:val="00AE1BEF"/>
    <w:rsid w:val="00AE1CCF"/>
    <w:rsid w:val="00AE1CE2"/>
    <w:rsid w:val="00AE1E12"/>
    <w:rsid w:val="00AE1E52"/>
    <w:rsid w:val="00AE2174"/>
    <w:rsid w:val="00AE217E"/>
    <w:rsid w:val="00AE2195"/>
    <w:rsid w:val="00AE2207"/>
    <w:rsid w:val="00AE239F"/>
    <w:rsid w:val="00AE23A2"/>
    <w:rsid w:val="00AE256E"/>
    <w:rsid w:val="00AE25C0"/>
    <w:rsid w:val="00AE2697"/>
    <w:rsid w:val="00AE26AB"/>
    <w:rsid w:val="00AE277D"/>
    <w:rsid w:val="00AE2910"/>
    <w:rsid w:val="00AE2925"/>
    <w:rsid w:val="00AE2ACE"/>
    <w:rsid w:val="00AE2C1B"/>
    <w:rsid w:val="00AE2C20"/>
    <w:rsid w:val="00AE2C9F"/>
    <w:rsid w:val="00AE2CB2"/>
    <w:rsid w:val="00AE2E08"/>
    <w:rsid w:val="00AE2F9D"/>
    <w:rsid w:val="00AE31FA"/>
    <w:rsid w:val="00AE335C"/>
    <w:rsid w:val="00AE346D"/>
    <w:rsid w:val="00AE34C4"/>
    <w:rsid w:val="00AE34FD"/>
    <w:rsid w:val="00AE3619"/>
    <w:rsid w:val="00AE375C"/>
    <w:rsid w:val="00AE384C"/>
    <w:rsid w:val="00AE38F2"/>
    <w:rsid w:val="00AE39D6"/>
    <w:rsid w:val="00AE3C07"/>
    <w:rsid w:val="00AE3C7F"/>
    <w:rsid w:val="00AE3D53"/>
    <w:rsid w:val="00AE3D8C"/>
    <w:rsid w:val="00AE3E43"/>
    <w:rsid w:val="00AE3E61"/>
    <w:rsid w:val="00AE3EDC"/>
    <w:rsid w:val="00AE3F33"/>
    <w:rsid w:val="00AE3F38"/>
    <w:rsid w:val="00AE3FCB"/>
    <w:rsid w:val="00AE3FF2"/>
    <w:rsid w:val="00AE40CF"/>
    <w:rsid w:val="00AE4186"/>
    <w:rsid w:val="00AE4367"/>
    <w:rsid w:val="00AE4464"/>
    <w:rsid w:val="00AE479B"/>
    <w:rsid w:val="00AE48A2"/>
    <w:rsid w:val="00AE48EF"/>
    <w:rsid w:val="00AE49D8"/>
    <w:rsid w:val="00AE4A35"/>
    <w:rsid w:val="00AE4BAF"/>
    <w:rsid w:val="00AE4D2B"/>
    <w:rsid w:val="00AE4E4C"/>
    <w:rsid w:val="00AE4F6F"/>
    <w:rsid w:val="00AE4F76"/>
    <w:rsid w:val="00AE535C"/>
    <w:rsid w:val="00AE5459"/>
    <w:rsid w:val="00AE546F"/>
    <w:rsid w:val="00AE58ED"/>
    <w:rsid w:val="00AE591E"/>
    <w:rsid w:val="00AE5938"/>
    <w:rsid w:val="00AE59C6"/>
    <w:rsid w:val="00AE5A4C"/>
    <w:rsid w:val="00AE5B66"/>
    <w:rsid w:val="00AE5D85"/>
    <w:rsid w:val="00AE5DF8"/>
    <w:rsid w:val="00AE5E25"/>
    <w:rsid w:val="00AE5E6E"/>
    <w:rsid w:val="00AE6009"/>
    <w:rsid w:val="00AE607D"/>
    <w:rsid w:val="00AE61D9"/>
    <w:rsid w:val="00AE626D"/>
    <w:rsid w:val="00AE6429"/>
    <w:rsid w:val="00AE6440"/>
    <w:rsid w:val="00AE65BD"/>
    <w:rsid w:val="00AE6646"/>
    <w:rsid w:val="00AE66A6"/>
    <w:rsid w:val="00AE66E5"/>
    <w:rsid w:val="00AE6739"/>
    <w:rsid w:val="00AE6891"/>
    <w:rsid w:val="00AE68D9"/>
    <w:rsid w:val="00AE6962"/>
    <w:rsid w:val="00AE6A1E"/>
    <w:rsid w:val="00AE6ADA"/>
    <w:rsid w:val="00AE6C42"/>
    <w:rsid w:val="00AE6C9C"/>
    <w:rsid w:val="00AE6CE1"/>
    <w:rsid w:val="00AE7162"/>
    <w:rsid w:val="00AE741C"/>
    <w:rsid w:val="00AE7545"/>
    <w:rsid w:val="00AE7547"/>
    <w:rsid w:val="00AE76D0"/>
    <w:rsid w:val="00AE7729"/>
    <w:rsid w:val="00AE7782"/>
    <w:rsid w:val="00AE78A1"/>
    <w:rsid w:val="00AE7A54"/>
    <w:rsid w:val="00AE7CCD"/>
    <w:rsid w:val="00AE7E8D"/>
    <w:rsid w:val="00AF0076"/>
    <w:rsid w:val="00AF0144"/>
    <w:rsid w:val="00AF0574"/>
    <w:rsid w:val="00AF0616"/>
    <w:rsid w:val="00AF09D6"/>
    <w:rsid w:val="00AF0CBA"/>
    <w:rsid w:val="00AF11D2"/>
    <w:rsid w:val="00AF1273"/>
    <w:rsid w:val="00AF1291"/>
    <w:rsid w:val="00AF14C6"/>
    <w:rsid w:val="00AF151D"/>
    <w:rsid w:val="00AF153A"/>
    <w:rsid w:val="00AF15AB"/>
    <w:rsid w:val="00AF17B1"/>
    <w:rsid w:val="00AF1883"/>
    <w:rsid w:val="00AF18AD"/>
    <w:rsid w:val="00AF1A89"/>
    <w:rsid w:val="00AF1C69"/>
    <w:rsid w:val="00AF1D77"/>
    <w:rsid w:val="00AF1E29"/>
    <w:rsid w:val="00AF1E6C"/>
    <w:rsid w:val="00AF1EC7"/>
    <w:rsid w:val="00AF1FD3"/>
    <w:rsid w:val="00AF2167"/>
    <w:rsid w:val="00AF228E"/>
    <w:rsid w:val="00AF2534"/>
    <w:rsid w:val="00AF269E"/>
    <w:rsid w:val="00AF2808"/>
    <w:rsid w:val="00AF2881"/>
    <w:rsid w:val="00AF28B5"/>
    <w:rsid w:val="00AF297D"/>
    <w:rsid w:val="00AF2A5E"/>
    <w:rsid w:val="00AF2B46"/>
    <w:rsid w:val="00AF2B4B"/>
    <w:rsid w:val="00AF2CD7"/>
    <w:rsid w:val="00AF2D4D"/>
    <w:rsid w:val="00AF2EF0"/>
    <w:rsid w:val="00AF2F1B"/>
    <w:rsid w:val="00AF2FB3"/>
    <w:rsid w:val="00AF2FBD"/>
    <w:rsid w:val="00AF301B"/>
    <w:rsid w:val="00AF30B1"/>
    <w:rsid w:val="00AF30DA"/>
    <w:rsid w:val="00AF3331"/>
    <w:rsid w:val="00AF3345"/>
    <w:rsid w:val="00AF336A"/>
    <w:rsid w:val="00AF35E3"/>
    <w:rsid w:val="00AF365C"/>
    <w:rsid w:val="00AF3766"/>
    <w:rsid w:val="00AF37CB"/>
    <w:rsid w:val="00AF380D"/>
    <w:rsid w:val="00AF386A"/>
    <w:rsid w:val="00AF38EF"/>
    <w:rsid w:val="00AF3972"/>
    <w:rsid w:val="00AF39AF"/>
    <w:rsid w:val="00AF3AD1"/>
    <w:rsid w:val="00AF3AE3"/>
    <w:rsid w:val="00AF3D9F"/>
    <w:rsid w:val="00AF3DF1"/>
    <w:rsid w:val="00AF4050"/>
    <w:rsid w:val="00AF4086"/>
    <w:rsid w:val="00AF41ED"/>
    <w:rsid w:val="00AF43C2"/>
    <w:rsid w:val="00AF4426"/>
    <w:rsid w:val="00AF4456"/>
    <w:rsid w:val="00AF4562"/>
    <w:rsid w:val="00AF45CE"/>
    <w:rsid w:val="00AF4613"/>
    <w:rsid w:val="00AF473B"/>
    <w:rsid w:val="00AF4890"/>
    <w:rsid w:val="00AF48B3"/>
    <w:rsid w:val="00AF499C"/>
    <w:rsid w:val="00AF4AB1"/>
    <w:rsid w:val="00AF4D28"/>
    <w:rsid w:val="00AF4D9D"/>
    <w:rsid w:val="00AF4DD9"/>
    <w:rsid w:val="00AF4F01"/>
    <w:rsid w:val="00AF50F1"/>
    <w:rsid w:val="00AF52B1"/>
    <w:rsid w:val="00AF5337"/>
    <w:rsid w:val="00AF5350"/>
    <w:rsid w:val="00AF5399"/>
    <w:rsid w:val="00AF53AC"/>
    <w:rsid w:val="00AF5506"/>
    <w:rsid w:val="00AF556A"/>
    <w:rsid w:val="00AF55B9"/>
    <w:rsid w:val="00AF56BA"/>
    <w:rsid w:val="00AF589C"/>
    <w:rsid w:val="00AF590D"/>
    <w:rsid w:val="00AF596C"/>
    <w:rsid w:val="00AF59F3"/>
    <w:rsid w:val="00AF5A43"/>
    <w:rsid w:val="00AF5BAF"/>
    <w:rsid w:val="00AF5BC0"/>
    <w:rsid w:val="00AF5C97"/>
    <w:rsid w:val="00AF5E23"/>
    <w:rsid w:val="00AF5F16"/>
    <w:rsid w:val="00AF6148"/>
    <w:rsid w:val="00AF62EF"/>
    <w:rsid w:val="00AF632C"/>
    <w:rsid w:val="00AF6543"/>
    <w:rsid w:val="00AF676E"/>
    <w:rsid w:val="00AF67F0"/>
    <w:rsid w:val="00AF6826"/>
    <w:rsid w:val="00AF6A19"/>
    <w:rsid w:val="00AF6B61"/>
    <w:rsid w:val="00AF6C5A"/>
    <w:rsid w:val="00AF6CD8"/>
    <w:rsid w:val="00AF6E9E"/>
    <w:rsid w:val="00AF6EF7"/>
    <w:rsid w:val="00AF705B"/>
    <w:rsid w:val="00AF7112"/>
    <w:rsid w:val="00AF740E"/>
    <w:rsid w:val="00AF744A"/>
    <w:rsid w:val="00AF76E2"/>
    <w:rsid w:val="00AF77D3"/>
    <w:rsid w:val="00AF7967"/>
    <w:rsid w:val="00AF799F"/>
    <w:rsid w:val="00AF7A2C"/>
    <w:rsid w:val="00AF7A6F"/>
    <w:rsid w:val="00AF7B69"/>
    <w:rsid w:val="00AF7B7E"/>
    <w:rsid w:val="00AF7D7A"/>
    <w:rsid w:val="00AF7E62"/>
    <w:rsid w:val="00AF7FB3"/>
    <w:rsid w:val="00AF7FEA"/>
    <w:rsid w:val="00B00049"/>
    <w:rsid w:val="00B00113"/>
    <w:rsid w:val="00B0015D"/>
    <w:rsid w:val="00B00169"/>
    <w:rsid w:val="00B0025E"/>
    <w:rsid w:val="00B002AD"/>
    <w:rsid w:val="00B00391"/>
    <w:rsid w:val="00B00665"/>
    <w:rsid w:val="00B00862"/>
    <w:rsid w:val="00B00C57"/>
    <w:rsid w:val="00B00D31"/>
    <w:rsid w:val="00B01021"/>
    <w:rsid w:val="00B0119B"/>
    <w:rsid w:val="00B011B9"/>
    <w:rsid w:val="00B011C3"/>
    <w:rsid w:val="00B0137E"/>
    <w:rsid w:val="00B015E6"/>
    <w:rsid w:val="00B01660"/>
    <w:rsid w:val="00B0168B"/>
    <w:rsid w:val="00B01812"/>
    <w:rsid w:val="00B0189E"/>
    <w:rsid w:val="00B018ED"/>
    <w:rsid w:val="00B0197B"/>
    <w:rsid w:val="00B01A05"/>
    <w:rsid w:val="00B01A4B"/>
    <w:rsid w:val="00B01B32"/>
    <w:rsid w:val="00B01BB5"/>
    <w:rsid w:val="00B01CDC"/>
    <w:rsid w:val="00B01D73"/>
    <w:rsid w:val="00B02169"/>
    <w:rsid w:val="00B02267"/>
    <w:rsid w:val="00B02346"/>
    <w:rsid w:val="00B02799"/>
    <w:rsid w:val="00B0293B"/>
    <w:rsid w:val="00B0294C"/>
    <w:rsid w:val="00B02953"/>
    <w:rsid w:val="00B02AF7"/>
    <w:rsid w:val="00B02C75"/>
    <w:rsid w:val="00B02D3A"/>
    <w:rsid w:val="00B02D8D"/>
    <w:rsid w:val="00B02E07"/>
    <w:rsid w:val="00B02E85"/>
    <w:rsid w:val="00B02EEE"/>
    <w:rsid w:val="00B0305B"/>
    <w:rsid w:val="00B0309F"/>
    <w:rsid w:val="00B0315F"/>
    <w:rsid w:val="00B03198"/>
    <w:rsid w:val="00B03377"/>
    <w:rsid w:val="00B03383"/>
    <w:rsid w:val="00B033A4"/>
    <w:rsid w:val="00B033A5"/>
    <w:rsid w:val="00B03544"/>
    <w:rsid w:val="00B03646"/>
    <w:rsid w:val="00B03714"/>
    <w:rsid w:val="00B0371E"/>
    <w:rsid w:val="00B03890"/>
    <w:rsid w:val="00B03A63"/>
    <w:rsid w:val="00B03A69"/>
    <w:rsid w:val="00B03B89"/>
    <w:rsid w:val="00B03BAF"/>
    <w:rsid w:val="00B03C34"/>
    <w:rsid w:val="00B03C7A"/>
    <w:rsid w:val="00B03CB5"/>
    <w:rsid w:val="00B03CD6"/>
    <w:rsid w:val="00B03D1F"/>
    <w:rsid w:val="00B03D72"/>
    <w:rsid w:val="00B03E9D"/>
    <w:rsid w:val="00B03EBE"/>
    <w:rsid w:val="00B03F0A"/>
    <w:rsid w:val="00B04014"/>
    <w:rsid w:val="00B04173"/>
    <w:rsid w:val="00B0424F"/>
    <w:rsid w:val="00B04386"/>
    <w:rsid w:val="00B043F5"/>
    <w:rsid w:val="00B04A8A"/>
    <w:rsid w:val="00B04AFC"/>
    <w:rsid w:val="00B04C06"/>
    <w:rsid w:val="00B04D01"/>
    <w:rsid w:val="00B04D95"/>
    <w:rsid w:val="00B04EC5"/>
    <w:rsid w:val="00B04EFD"/>
    <w:rsid w:val="00B04F87"/>
    <w:rsid w:val="00B05059"/>
    <w:rsid w:val="00B0509E"/>
    <w:rsid w:val="00B050D6"/>
    <w:rsid w:val="00B05133"/>
    <w:rsid w:val="00B05259"/>
    <w:rsid w:val="00B052AE"/>
    <w:rsid w:val="00B052EB"/>
    <w:rsid w:val="00B0552E"/>
    <w:rsid w:val="00B05628"/>
    <w:rsid w:val="00B05894"/>
    <w:rsid w:val="00B05947"/>
    <w:rsid w:val="00B05982"/>
    <w:rsid w:val="00B059FE"/>
    <w:rsid w:val="00B05B53"/>
    <w:rsid w:val="00B05BF0"/>
    <w:rsid w:val="00B05D82"/>
    <w:rsid w:val="00B05D9A"/>
    <w:rsid w:val="00B05DA6"/>
    <w:rsid w:val="00B05EEE"/>
    <w:rsid w:val="00B05FD1"/>
    <w:rsid w:val="00B060F6"/>
    <w:rsid w:val="00B0617B"/>
    <w:rsid w:val="00B061E0"/>
    <w:rsid w:val="00B06260"/>
    <w:rsid w:val="00B0628D"/>
    <w:rsid w:val="00B063C0"/>
    <w:rsid w:val="00B067F3"/>
    <w:rsid w:val="00B068F9"/>
    <w:rsid w:val="00B06A16"/>
    <w:rsid w:val="00B06B32"/>
    <w:rsid w:val="00B06B45"/>
    <w:rsid w:val="00B06CBE"/>
    <w:rsid w:val="00B06D4B"/>
    <w:rsid w:val="00B06E8D"/>
    <w:rsid w:val="00B06F1F"/>
    <w:rsid w:val="00B06F6C"/>
    <w:rsid w:val="00B070AE"/>
    <w:rsid w:val="00B07136"/>
    <w:rsid w:val="00B0726A"/>
    <w:rsid w:val="00B072CB"/>
    <w:rsid w:val="00B07558"/>
    <w:rsid w:val="00B075E3"/>
    <w:rsid w:val="00B075EB"/>
    <w:rsid w:val="00B076B4"/>
    <w:rsid w:val="00B07776"/>
    <w:rsid w:val="00B0778C"/>
    <w:rsid w:val="00B0787B"/>
    <w:rsid w:val="00B0793A"/>
    <w:rsid w:val="00B079D0"/>
    <w:rsid w:val="00B07A31"/>
    <w:rsid w:val="00B07B70"/>
    <w:rsid w:val="00B07C63"/>
    <w:rsid w:val="00B07C98"/>
    <w:rsid w:val="00B07C9C"/>
    <w:rsid w:val="00B07C9D"/>
    <w:rsid w:val="00B07F2B"/>
    <w:rsid w:val="00B10078"/>
    <w:rsid w:val="00B1042B"/>
    <w:rsid w:val="00B10653"/>
    <w:rsid w:val="00B10709"/>
    <w:rsid w:val="00B10852"/>
    <w:rsid w:val="00B10B2D"/>
    <w:rsid w:val="00B10EDD"/>
    <w:rsid w:val="00B11018"/>
    <w:rsid w:val="00B11143"/>
    <w:rsid w:val="00B11186"/>
    <w:rsid w:val="00B1118D"/>
    <w:rsid w:val="00B11296"/>
    <w:rsid w:val="00B112F9"/>
    <w:rsid w:val="00B11678"/>
    <w:rsid w:val="00B1186C"/>
    <w:rsid w:val="00B11AB5"/>
    <w:rsid w:val="00B11B0E"/>
    <w:rsid w:val="00B11CAC"/>
    <w:rsid w:val="00B11DA4"/>
    <w:rsid w:val="00B11DB9"/>
    <w:rsid w:val="00B11E31"/>
    <w:rsid w:val="00B12002"/>
    <w:rsid w:val="00B12302"/>
    <w:rsid w:val="00B123AB"/>
    <w:rsid w:val="00B123FF"/>
    <w:rsid w:val="00B12481"/>
    <w:rsid w:val="00B12552"/>
    <w:rsid w:val="00B127D4"/>
    <w:rsid w:val="00B1285C"/>
    <w:rsid w:val="00B128A8"/>
    <w:rsid w:val="00B128FA"/>
    <w:rsid w:val="00B12913"/>
    <w:rsid w:val="00B1299D"/>
    <w:rsid w:val="00B129CC"/>
    <w:rsid w:val="00B12BD9"/>
    <w:rsid w:val="00B12BF5"/>
    <w:rsid w:val="00B12DD9"/>
    <w:rsid w:val="00B12E22"/>
    <w:rsid w:val="00B12F00"/>
    <w:rsid w:val="00B12F0D"/>
    <w:rsid w:val="00B13000"/>
    <w:rsid w:val="00B130CC"/>
    <w:rsid w:val="00B131AF"/>
    <w:rsid w:val="00B13234"/>
    <w:rsid w:val="00B13440"/>
    <w:rsid w:val="00B1351F"/>
    <w:rsid w:val="00B1356D"/>
    <w:rsid w:val="00B13596"/>
    <w:rsid w:val="00B1372C"/>
    <w:rsid w:val="00B13882"/>
    <w:rsid w:val="00B138F1"/>
    <w:rsid w:val="00B13B93"/>
    <w:rsid w:val="00B13C1F"/>
    <w:rsid w:val="00B13C58"/>
    <w:rsid w:val="00B13C8B"/>
    <w:rsid w:val="00B13CEE"/>
    <w:rsid w:val="00B13CFD"/>
    <w:rsid w:val="00B13D12"/>
    <w:rsid w:val="00B13D35"/>
    <w:rsid w:val="00B13D38"/>
    <w:rsid w:val="00B13D55"/>
    <w:rsid w:val="00B13D57"/>
    <w:rsid w:val="00B140E2"/>
    <w:rsid w:val="00B1417E"/>
    <w:rsid w:val="00B141FD"/>
    <w:rsid w:val="00B1428F"/>
    <w:rsid w:val="00B14516"/>
    <w:rsid w:val="00B14678"/>
    <w:rsid w:val="00B14711"/>
    <w:rsid w:val="00B1474A"/>
    <w:rsid w:val="00B14947"/>
    <w:rsid w:val="00B14A18"/>
    <w:rsid w:val="00B14B98"/>
    <w:rsid w:val="00B14B99"/>
    <w:rsid w:val="00B14C06"/>
    <w:rsid w:val="00B14D55"/>
    <w:rsid w:val="00B14D59"/>
    <w:rsid w:val="00B14D6D"/>
    <w:rsid w:val="00B14D8B"/>
    <w:rsid w:val="00B1521F"/>
    <w:rsid w:val="00B15241"/>
    <w:rsid w:val="00B152A8"/>
    <w:rsid w:val="00B152FD"/>
    <w:rsid w:val="00B1531E"/>
    <w:rsid w:val="00B15638"/>
    <w:rsid w:val="00B15773"/>
    <w:rsid w:val="00B15A6E"/>
    <w:rsid w:val="00B15A93"/>
    <w:rsid w:val="00B15A9D"/>
    <w:rsid w:val="00B15B27"/>
    <w:rsid w:val="00B15BAA"/>
    <w:rsid w:val="00B15C0F"/>
    <w:rsid w:val="00B15C21"/>
    <w:rsid w:val="00B15F15"/>
    <w:rsid w:val="00B160D9"/>
    <w:rsid w:val="00B16311"/>
    <w:rsid w:val="00B163AB"/>
    <w:rsid w:val="00B16477"/>
    <w:rsid w:val="00B16482"/>
    <w:rsid w:val="00B16509"/>
    <w:rsid w:val="00B16607"/>
    <w:rsid w:val="00B16639"/>
    <w:rsid w:val="00B16731"/>
    <w:rsid w:val="00B1692C"/>
    <w:rsid w:val="00B16991"/>
    <w:rsid w:val="00B169D0"/>
    <w:rsid w:val="00B16D7E"/>
    <w:rsid w:val="00B16DDD"/>
    <w:rsid w:val="00B170D8"/>
    <w:rsid w:val="00B17132"/>
    <w:rsid w:val="00B173A1"/>
    <w:rsid w:val="00B173A3"/>
    <w:rsid w:val="00B1741B"/>
    <w:rsid w:val="00B1748D"/>
    <w:rsid w:val="00B17606"/>
    <w:rsid w:val="00B177E3"/>
    <w:rsid w:val="00B17857"/>
    <w:rsid w:val="00B179F9"/>
    <w:rsid w:val="00B17A80"/>
    <w:rsid w:val="00B17B6F"/>
    <w:rsid w:val="00B17C83"/>
    <w:rsid w:val="00B17E69"/>
    <w:rsid w:val="00B201ED"/>
    <w:rsid w:val="00B2021C"/>
    <w:rsid w:val="00B20374"/>
    <w:rsid w:val="00B20427"/>
    <w:rsid w:val="00B20951"/>
    <w:rsid w:val="00B20ACB"/>
    <w:rsid w:val="00B20CEE"/>
    <w:rsid w:val="00B20FB4"/>
    <w:rsid w:val="00B211EF"/>
    <w:rsid w:val="00B212A9"/>
    <w:rsid w:val="00B2132B"/>
    <w:rsid w:val="00B213E8"/>
    <w:rsid w:val="00B214CD"/>
    <w:rsid w:val="00B21500"/>
    <w:rsid w:val="00B21590"/>
    <w:rsid w:val="00B215E3"/>
    <w:rsid w:val="00B216CF"/>
    <w:rsid w:val="00B21767"/>
    <w:rsid w:val="00B21793"/>
    <w:rsid w:val="00B21818"/>
    <w:rsid w:val="00B21873"/>
    <w:rsid w:val="00B21AA1"/>
    <w:rsid w:val="00B21BE5"/>
    <w:rsid w:val="00B21CBD"/>
    <w:rsid w:val="00B21E11"/>
    <w:rsid w:val="00B21F95"/>
    <w:rsid w:val="00B21FE4"/>
    <w:rsid w:val="00B21FF6"/>
    <w:rsid w:val="00B22101"/>
    <w:rsid w:val="00B2210B"/>
    <w:rsid w:val="00B22208"/>
    <w:rsid w:val="00B2221D"/>
    <w:rsid w:val="00B222DC"/>
    <w:rsid w:val="00B222E3"/>
    <w:rsid w:val="00B2230F"/>
    <w:rsid w:val="00B2233E"/>
    <w:rsid w:val="00B2259A"/>
    <w:rsid w:val="00B2260D"/>
    <w:rsid w:val="00B2283B"/>
    <w:rsid w:val="00B229B0"/>
    <w:rsid w:val="00B22A9D"/>
    <w:rsid w:val="00B22AA9"/>
    <w:rsid w:val="00B22AD0"/>
    <w:rsid w:val="00B22C0E"/>
    <w:rsid w:val="00B22CA9"/>
    <w:rsid w:val="00B22DD6"/>
    <w:rsid w:val="00B22E02"/>
    <w:rsid w:val="00B22ECC"/>
    <w:rsid w:val="00B22F7A"/>
    <w:rsid w:val="00B23098"/>
    <w:rsid w:val="00B231E6"/>
    <w:rsid w:val="00B23203"/>
    <w:rsid w:val="00B2325F"/>
    <w:rsid w:val="00B2334B"/>
    <w:rsid w:val="00B237DF"/>
    <w:rsid w:val="00B23924"/>
    <w:rsid w:val="00B2393D"/>
    <w:rsid w:val="00B23A8F"/>
    <w:rsid w:val="00B23CB6"/>
    <w:rsid w:val="00B23E14"/>
    <w:rsid w:val="00B23E4A"/>
    <w:rsid w:val="00B23F3D"/>
    <w:rsid w:val="00B23FC0"/>
    <w:rsid w:val="00B23FC1"/>
    <w:rsid w:val="00B24282"/>
    <w:rsid w:val="00B242EB"/>
    <w:rsid w:val="00B2430E"/>
    <w:rsid w:val="00B24331"/>
    <w:rsid w:val="00B2452D"/>
    <w:rsid w:val="00B2455A"/>
    <w:rsid w:val="00B24A4A"/>
    <w:rsid w:val="00B24A53"/>
    <w:rsid w:val="00B24A60"/>
    <w:rsid w:val="00B24DE0"/>
    <w:rsid w:val="00B24F75"/>
    <w:rsid w:val="00B25082"/>
    <w:rsid w:val="00B25133"/>
    <w:rsid w:val="00B2515E"/>
    <w:rsid w:val="00B25572"/>
    <w:rsid w:val="00B255CA"/>
    <w:rsid w:val="00B259C9"/>
    <w:rsid w:val="00B259DD"/>
    <w:rsid w:val="00B25A7A"/>
    <w:rsid w:val="00B25B70"/>
    <w:rsid w:val="00B25DD9"/>
    <w:rsid w:val="00B25E0A"/>
    <w:rsid w:val="00B262F0"/>
    <w:rsid w:val="00B264BB"/>
    <w:rsid w:val="00B2659C"/>
    <w:rsid w:val="00B265D3"/>
    <w:rsid w:val="00B26726"/>
    <w:rsid w:val="00B26829"/>
    <w:rsid w:val="00B26883"/>
    <w:rsid w:val="00B26A79"/>
    <w:rsid w:val="00B26AC0"/>
    <w:rsid w:val="00B26BA2"/>
    <w:rsid w:val="00B26C36"/>
    <w:rsid w:val="00B26CFB"/>
    <w:rsid w:val="00B26E27"/>
    <w:rsid w:val="00B26FD3"/>
    <w:rsid w:val="00B2710A"/>
    <w:rsid w:val="00B27193"/>
    <w:rsid w:val="00B27338"/>
    <w:rsid w:val="00B273FD"/>
    <w:rsid w:val="00B27454"/>
    <w:rsid w:val="00B2762C"/>
    <w:rsid w:val="00B27716"/>
    <w:rsid w:val="00B278E1"/>
    <w:rsid w:val="00B27901"/>
    <w:rsid w:val="00B27A1A"/>
    <w:rsid w:val="00B27A3B"/>
    <w:rsid w:val="00B27A6F"/>
    <w:rsid w:val="00B3001C"/>
    <w:rsid w:val="00B30029"/>
    <w:rsid w:val="00B30030"/>
    <w:rsid w:val="00B30047"/>
    <w:rsid w:val="00B30152"/>
    <w:rsid w:val="00B3022B"/>
    <w:rsid w:val="00B302E2"/>
    <w:rsid w:val="00B302F5"/>
    <w:rsid w:val="00B3049A"/>
    <w:rsid w:val="00B30569"/>
    <w:rsid w:val="00B3059C"/>
    <w:rsid w:val="00B305B7"/>
    <w:rsid w:val="00B305D8"/>
    <w:rsid w:val="00B3060B"/>
    <w:rsid w:val="00B30724"/>
    <w:rsid w:val="00B3083E"/>
    <w:rsid w:val="00B30A27"/>
    <w:rsid w:val="00B30B44"/>
    <w:rsid w:val="00B30C37"/>
    <w:rsid w:val="00B30E2F"/>
    <w:rsid w:val="00B30E65"/>
    <w:rsid w:val="00B30EAC"/>
    <w:rsid w:val="00B3115E"/>
    <w:rsid w:val="00B3132D"/>
    <w:rsid w:val="00B31335"/>
    <w:rsid w:val="00B313BC"/>
    <w:rsid w:val="00B31407"/>
    <w:rsid w:val="00B315A5"/>
    <w:rsid w:val="00B3168D"/>
    <w:rsid w:val="00B317D0"/>
    <w:rsid w:val="00B31944"/>
    <w:rsid w:val="00B319D7"/>
    <w:rsid w:val="00B31A52"/>
    <w:rsid w:val="00B31B87"/>
    <w:rsid w:val="00B31BFC"/>
    <w:rsid w:val="00B31F9F"/>
    <w:rsid w:val="00B3203D"/>
    <w:rsid w:val="00B3244F"/>
    <w:rsid w:val="00B32605"/>
    <w:rsid w:val="00B326F7"/>
    <w:rsid w:val="00B3282F"/>
    <w:rsid w:val="00B328CE"/>
    <w:rsid w:val="00B328D6"/>
    <w:rsid w:val="00B329EE"/>
    <w:rsid w:val="00B32AB4"/>
    <w:rsid w:val="00B32C2E"/>
    <w:rsid w:val="00B32E19"/>
    <w:rsid w:val="00B32EC9"/>
    <w:rsid w:val="00B32EFC"/>
    <w:rsid w:val="00B32F08"/>
    <w:rsid w:val="00B3307E"/>
    <w:rsid w:val="00B330B6"/>
    <w:rsid w:val="00B33463"/>
    <w:rsid w:val="00B33587"/>
    <w:rsid w:val="00B337A6"/>
    <w:rsid w:val="00B3380C"/>
    <w:rsid w:val="00B33853"/>
    <w:rsid w:val="00B3385D"/>
    <w:rsid w:val="00B33867"/>
    <w:rsid w:val="00B33B4B"/>
    <w:rsid w:val="00B33BAA"/>
    <w:rsid w:val="00B33E3B"/>
    <w:rsid w:val="00B33EAB"/>
    <w:rsid w:val="00B33FC2"/>
    <w:rsid w:val="00B340E1"/>
    <w:rsid w:val="00B34229"/>
    <w:rsid w:val="00B3423E"/>
    <w:rsid w:val="00B342E4"/>
    <w:rsid w:val="00B343E6"/>
    <w:rsid w:val="00B34407"/>
    <w:rsid w:val="00B34440"/>
    <w:rsid w:val="00B34529"/>
    <w:rsid w:val="00B34790"/>
    <w:rsid w:val="00B3484A"/>
    <w:rsid w:val="00B3487C"/>
    <w:rsid w:val="00B34909"/>
    <w:rsid w:val="00B34A13"/>
    <w:rsid w:val="00B34AE2"/>
    <w:rsid w:val="00B34C8B"/>
    <w:rsid w:val="00B34F5E"/>
    <w:rsid w:val="00B3506E"/>
    <w:rsid w:val="00B35072"/>
    <w:rsid w:val="00B350C3"/>
    <w:rsid w:val="00B350CC"/>
    <w:rsid w:val="00B3524A"/>
    <w:rsid w:val="00B3527C"/>
    <w:rsid w:val="00B352D3"/>
    <w:rsid w:val="00B353C3"/>
    <w:rsid w:val="00B35403"/>
    <w:rsid w:val="00B35592"/>
    <w:rsid w:val="00B35624"/>
    <w:rsid w:val="00B35669"/>
    <w:rsid w:val="00B35730"/>
    <w:rsid w:val="00B35838"/>
    <w:rsid w:val="00B35861"/>
    <w:rsid w:val="00B35912"/>
    <w:rsid w:val="00B35999"/>
    <w:rsid w:val="00B35B37"/>
    <w:rsid w:val="00B35BE1"/>
    <w:rsid w:val="00B35BEF"/>
    <w:rsid w:val="00B35E9E"/>
    <w:rsid w:val="00B36052"/>
    <w:rsid w:val="00B360F4"/>
    <w:rsid w:val="00B36405"/>
    <w:rsid w:val="00B364B2"/>
    <w:rsid w:val="00B366D1"/>
    <w:rsid w:val="00B367A9"/>
    <w:rsid w:val="00B3693F"/>
    <w:rsid w:val="00B369A4"/>
    <w:rsid w:val="00B36A02"/>
    <w:rsid w:val="00B36B10"/>
    <w:rsid w:val="00B36CF4"/>
    <w:rsid w:val="00B36D20"/>
    <w:rsid w:val="00B36D41"/>
    <w:rsid w:val="00B36D75"/>
    <w:rsid w:val="00B36E2E"/>
    <w:rsid w:val="00B36E35"/>
    <w:rsid w:val="00B36EFA"/>
    <w:rsid w:val="00B36FAB"/>
    <w:rsid w:val="00B371A0"/>
    <w:rsid w:val="00B371C4"/>
    <w:rsid w:val="00B37238"/>
    <w:rsid w:val="00B373D0"/>
    <w:rsid w:val="00B37494"/>
    <w:rsid w:val="00B374E9"/>
    <w:rsid w:val="00B3754F"/>
    <w:rsid w:val="00B376B8"/>
    <w:rsid w:val="00B37755"/>
    <w:rsid w:val="00B37919"/>
    <w:rsid w:val="00B37B11"/>
    <w:rsid w:val="00B37C0A"/>
    <w:rsid w:val="00B37D98"/>
    <w:rsid w:val="00B37E0C"/>
    <w:rsid w:val="00B37EC1"/>
    <w:rsid w:val="00B37F35"/>
    <w:rsid w:val="00B37FBA"/>
    <w:rsid w:val="00B37FFC"/>
    <w:rsid w:val="00B4014F"/>
    <w:rsid w:val="00B40244"/>
    <w:rsid w:val="00B40245"/>
    <w:rsid w:val="00B40326"/>
    <w:rsid w:val="00B404AF"/>
    <w:rsid w:val="00B405D5"/>
    <w:rsid w:val="00B406EA"/>
    <w:rsid w:val="00B4072C"/>
    <w:rsid w:val="00B4094D"/>
    <w:rsid w:val="00B40AA3"/>
    <w:rsid w:val="00B40CF5"/>
    <w:rsid w:val="00B40EBF"/>
    <w:rsid w:val="00B40F5F"/>
    <w:rsid w:val="00B4102B"/>
    <w:rsid w:val="00B41163"/>
    <w:rsid w:val="00B412EC"/>
    <w:rsid w:val="00B413E1"/>
    <w:rsid w:val="00B41402"/>
    <w:rsid w:val="00B4144A"/>
    <w:rsid w:val="00B414F0"/>
    <w:rsid w:val="00B4159D"/>
    <w:rsid w:val="00B41981"/>
    <w:rsid w:val="00B419CD"/>
    <w:rsid w:val="00B41CAC"/>
    <w:rsid w:val="00B41CB7"/>
    <w:rsid w:val="00B41D4F"/>
    <w:rsid w:val="00B41D88"/>
    <w:rsid w:val="00B41E66"/>
    <w:rsid w:val="00B4209E"/>
    <w:rsid w:val="00B422DA"/>
    <w:rsid w:val="00B4232D"/>
    <w:rsid w:val="00B4242A"/>
    <w:rsid w:val="00B42677"/>
    <w:rsid w:val="00B4273C"/>
    <w:rsid w:val="00B42A3D"/>
    <w:rsid w:val="00B42B80"/>
    <w:rsid w:val="00B42D9B"/>
    <w:rsid w:val="00B42FCE"/>
    <w:rsid w:val="00B43080"/>
    <w:rsid w:val="00B430DB"/>
    <w:rsid w:val="00B43160"/>
    <w:rsid w:val="00B434AF"/>
    <w:rsid w:val="00B43518"/>
    <w:rsid w:val="00B4366C"/>
    <w:rsid w:val="00B43A05"/>
    <w:rsid w:val="00B43A2B"/>
    <w:rsid w:val="00B43A38"/>
    <w:rsid w:val="00B43AC6"/>
    <w:rsid w:val="00B43BFF"/>
    <w:rsid w:val="00B43C93"/>
    <w:rsid w:val="00B43E9B"/>
    <w:rsid w:val="00B43F0B"/>
    <w:rsid w:val="00B44028"/>
    <w:rsid w:val="00B44039"/>
    <w:rsid w:val="00B441A8"/>
    <w:rsid w:val="00B44269"/>
    <w:rsid w:val="00B44322"/>
    <w:rsid w:val="00B44738"/>
    <w:rsid w:val="00B44757"/>
    <w:rsid w:val="00B44A1F"/>
    <w:rsid w:val="00B44AA1"/>
    <w:rsid w:val="00B44B0C"/>
    <w:rsid w:val="00B44BA7"/>
    <w:rsid w:val="00B44BC9"/>
    <w:rsid w:val="00B44DC6"/>
    <w:rsid w:val="00B44E80"/>
    <w:rsid w:val="00B44F8A"/>
    <w:rsid w:val="00B4565C"/>
    <w:rsid w:val="00B456A3"/>
    <w:rsid w:val="00B456F3"/>
    <w:rsid w:val="00B45778"/>
    <w:rsid w:val="00B457E6"/>
    <w:rsid w:val="00B45857"/>
    <w:rsid w:val="00B45931"/>
    <w:rsid w:val="00B45A23"/>
    <w:rsid w:val="00B45A99"/>
    <w:rsid w:val="00B45B79"/>
    <w:rsid w:val="00B45BFF"/>
    <w:rsid w:val="00B45D75"/>
    <w:rsid w:val="00B45E29"/>
    <w:rsid w:val="00B45E60"/>
    <w:rsid w:val="00B4617B"/>
    <w:rsid w:val="00B46538"/>
    <w:rsid w:val="00B46661"/>
    <w:rsid w:val="00B46837"/>
    <w:rsid w:val="00B46868"/>
    <w:rsid w:val="00B46A12"/>
    <w:rsid w:val="00B46C26"/>
    <w:rsid w:val="00B46CC5"/>
    <w:rsid w:val="00B46E1F"/>
    <w:rsid w:val="00B46E95"/>
    <w:rsid w:val="00B46FE3"/>
    <w:rsid w:val="00B470CA"/>
    <w:rsid w:val="00B47231"/>
    <w:rsid w:val="00B47534"/>
    <w:rsid w:val="00B4759B"/>
    <w:rsid w:val="00B47748"/>
    <w:rsid w:val="00B4774D"/>
    <w:rsid w:val="00B4796E"/>
    <w:rsid w:val="00B47B6A"/>
    <w:rsid w:val="00B47B75"/>
    <w:rsid w:val="00B47B9D"/>
    <w:rsid w:val="00B47DF1"/>
    <w:rsid w:val="00B47E36"/>
    <w:rsid w:val="00B5005B"/>
    <w:rsid w:val="00B5014B"/>
    <w:rsid w:val="00B5040D"/>
    <w:rsid w:val="00B50412"/>
    <w:rsid w:val="00B5049D"/>
    <w:rsid w:val="00B50505"/>
    <w:rsid w:val="00B50693"/>
    <w:rsid w:val="00B506EB"/>
    <w:rsid w:val="00B50707"/>
    <w:rsid w:val="00B50766"/>
    <w:rsid w:val="00B50B35"/>
    <w:rsid w:val="00B50D66"/>
    <w:rsid w:val="00B50DBF"/>
    <w:rsid w:val="00B50F5E"/>
    <w:rsid w:val="00B51086"/>
    <w:rsid w:val="00B51097"/>
    <w:rsid w:val="00B51132"/>
    <w:rsid w:val="00B51236"/>
    <w:rsid w:val="00B51907"/>
    <w:rsid w:val="00B51A56"/>
    <w:rsid w:val="00B51A8F"/>
    <w:rsid w:val="00B51B81"/>
    <w:rsid w:val="00B51BD4"/>
    <w:rsid w:val="00B51C7E"/>
    <w:rsid w:val="00B51FB5"/>
    <w:rsid w:val="00B521EE"/>
    <w:rsid w:val="00B5222D"/>
    <w:rsid w:val="00B52239"/>
    <w:rsid w:val="00B524AB"/>
    <w:rsid w:val="00B52795"/>
    <w:rsid w:val="00B5281D"/>
    <w:rsid w:val="00B529CC"/>
    <w:rsid w:val="00B52A00"/>
    <w:rsid w:val="00B52CBE"/>
    <w:rsid w:val="00B52DE2"/>
    <w:rsid w:val="00B52DF2"/>
    <w:rsid w:val="00B52EF4"/>
    <w:rsid w:val="00B52F1E"/>
    <w:rsid w:val="00B53137"/>
    <w:rsid w:val="00B531F6"/>
    <w:rsid w:val="00B532D3"/>
    <w:rsid w:val="00B532E9"/>
    <w:rsid w:val="00B53458"/>
    <w:rsid w:val="00B53535"/>
    <w:rsid w:val="00B53616"/>
    <w:rsid w:val="00B537AD"/>
    <w:rsid w:val="00B537BA"/>
    <w:rsid w:val="00B538DF"/>
    <w:rsid w:val="00B538E8"/>
    <w:rsid w:val="00B538EA"/>
    <w:rsid w:val="00B53E8E"/>
    <w:rsid w:val="00B5408D"/>
    <w:rsid w:val="00B5416B"/>
    <w:rsid w:val="00B54357"/>
    <w:rsid w:val="00B54398"/>
    <w:rsid w:val="00B54428"/>
    <w:rsid w:val="00B54515"/>
    <w:rsid w:val="00B545CE"/>
    <w:rsid w:val="00B546FF"/>
    <w:rsid w:val="00B5475B"/>
    <w:rsid w:val="00B54939"/>
    <w:rsid w:val="00B54996"/>
    <w:rsid w:val="00B54ADA"/>
    <w:rsid w:val="00B54BE8"/>
    <w:rsid w:val="00B54C3E"/>
    <w:rsid w:val="00B54DA0"/>
    <w:rsid w:val="00B54DDC"/>
    <w:rsid w:val="00B54F24"/>
    <w:rsid w:val="00B551CA"/>
    <w:rsid w:val="00B55251"/>
    <w:rsid w:val="00B55485"/>
    <w:rsid w:val="00B559BF"/>
    <w:rsid w:val="00B55A79"/>
    <w:rsid w:val="00B55A7F"/>
    <w:rsid w:val="00B55C65"/>
    <w:rsid w:val="00B5601D"/>
    <w:rsid w:val="00B560D0"/>
    <w:rsid w:val="00B56172"/>
    <w:rsid w:val="00B56223"/>
    <w:rsid w:val="00B5624E"/>
    <w:rsid w:val="00B56598"/>
    <w:rsid w:val="00B56AF5"/>
    <w:rsid w:val="00B56B03"/>
    <w:rsid w:val="00B56B07"/>
    <w:rsid w:val="00B56C88"/>
    <w:rsid w:val="00B56CD9"/>
    <w:rsid w:val="00B56E79"/>
    <w:rsid w:val="00B56E7D"/>
    <w:rsid w:val="00B56E82"/>
    <w:rsid w:val="00B57132"/>
    <w:rsid w:val="00B57145"/>
    <w:rsid w:val="00B57227"/>
    <w:rsid w:val="00B5722C"/>
    <w:rsid w:val="00B5730E"/>
    <w:rsid w:val="00B57476"/>
    <w:rsid w:val="00B574F7"/>
    <w:rsid w:val="00B575F2"/>
    <w:rsid w:val="00B576B4"/>
    <w:rsid w:val="00B576E5"/>
    <w:rsid w:val="00B57915"/>
    <w:rsid w:val="00B57938"/>
    <w:rsid w:val="00B5793C"/>
    <w:rsid w:val="00B5794D"/>
    <w:rsid w:val="00B57955"/>
    <w:rsid w:val="00B57B2E"/>
    <w:rsid w:val="00B57B9C"/>
    <w:rsid w:val="00B57BF9"/>
    <w:rsid w:val="00B57C02"/>
    <w:rsid w:val="00B57DAF"/>
    <w:rsid w:val="00B57DBB"/>
    <w:rsid w:val="00B57E62"/>
    <w:rsid w:val="00B60064"/>
    <w:rsid w:val="00B60107"/>
    <w:rsid w:val="00B602C1"/>
    <w:rsid w:val="00B602C9"/>
    <w:rsid w:val="00B602CD"/>
    <w:rsid w:val="00B6032E"/>
    <w:rsid w:val="00B6071D"/>
    <w:rsid w:val="00B6083E"/>
    <w:rsid w:val="00B6092F"/>
    <w:rsid w:val="00B609A6"/>
    <w:rsid w:val="00B609B8"/>
    <w:rsid w:val="00B60BEF"/>
    <w:rsid w:val="00B60CBD"/>
    <w:rsid w:val="00B60E1F"/>
    <w:rsid w:val="00B612E3"/>
    <w:rsid w:val="00B61354"/>
    <w:rsid w:val="00B613A1"/>
    <w:rsid w:val="00B61464"/>
    <w:rsid w:val="00B61523"/>
    <w:rsid w:val="00B61576"/>
    <w:rsid w:val="00B615C3"/>
    <w:rsid w:val="00B61870"/>
    <w:rsid w:val="00B61964"/>
    <w:rsid w:val="00B61B5A"/>
    <w:rsid w:val="00B61BEA"/>
    <w:rsid w:val="00B61C77"/>
    <w:rsid w:val="00B61EAA"/>
    <w:rsid w:val="00B61EAD"/>
    <w:rsid w:val="00B62002"/>
    <w:rsid w:val="00B620E7"/>
    <w:rsid w:val="00B621AE"/>
    <w:rsid w:val="00B621EB"/>
    <w:rsid w:val="00B62427"/>
    <w:rsid w:val="00B624EE"/>
    <w:rsid w:val="00B628A9"/>
    <w:rsid w:val="00B629D2"/>
    <w:rsid w:val="00B62A19"/>
    <w:rsid w:val="00B62C41"/>
    <w:rsid w:val="00B62D2F"/>
    <w:rsid w:val="00B62D84"/>
    <w:rsid w:val="00B63136"/>
    <w:rsid w:val="00B6316D"/>
    <w:rsid w:val="00B63686"/>
    <w:rsid w:val="00B636C1"/>
    <w:rsid w:val="00B63865"/>
    <w:rsid w:val="00B638EF"/>
    <w:rsid w:val="00B63AAD"/>
    <w:rsid w:val="00B63C17"/>
    <w:rsid w:val="00B63D6D"/>
    <w:rsid w:val="00B63EAB"/>
    <w:rsid w:val="00B63F81"/>
    <w:rsid w:val="00B64040"/>
    <w:rsid w:val="00B640AA"/>
    <w:rsid w:val="00B64164"/>
    <w:rsid w:val="00B64274"/>
    <w:rsid w:val="00B644A2"/>
    <w:rsid w:val="00B64526"/>
    <w:rsid w:val="00B645D5"/>
    <w:rsid w:val="00B646C8"/>
    <w:rsid w:val="00B647C8"/>
    <w:rsid w:val="00B647FF"/>
    <w:rsid w:val="00B649B0"/>
    <w:rsid w:val="00B64B2E"/>
    <w:rsid w:val="00B64D62"/>
    <w:rsid w:val="00B6501E"/>
    <w:rsid w:val="00B65091"/>
    <w:rsid w:val="00B650E3"/>
    <w:rsid w:val="00B65117"/>
    <w:rsid w:val="00B6525B"/>
    <w:rsid w:val="00B65359"/>
    <w:rsid w:val="00B65429"/>
    <w:rsid w:val="00B655B5"/>
    <w:rsid w:val="00B65752"/>
    <w:rsid w:val="00B6598F"/>
    <w:rsid w:val="00B65ACA"/>
    <w:rsid w:val="00B65B8E"/>
    <w:rsid w:val="00B65DD0"/>
    <w:rsid w:val="00B65DD9"/>
    <w:rsid w:val="00B660E4"/>
    <w:rsid w:val="00B6611C"/>
    <w:rsid w:val="00B66373"/>
    <w:rsid w:val="00B6638C"/>
    <w:rsid w:val="00B665D5"/>
    <w:rsid w:val="00B66608"/>
    <w:rsid w:val="00B666DA"/>
    <w:rsid w:val="00B668B7"/>
    <w:rsid w:val="00B6695E"/>
    <w:rsid w:val="00B669E9"/>
    <w:rsid w:val="00B66A0D"/>
    <w:rsid w:val="00B66AAC"/>
    <w:rsid w:val="00B66B00"/>
    <w:rsid w:val="00B66BEE"/>
    <w:rsid w:val="00B66BFA"/>
    <w:rsid w:val="00B66C0F"/>
    <w:rsid w:val="00B66CAE"/>
    <w:rsid w:val="00B66D1A"/>
    <w:rsid w:val="00B66F75"/>
    <w:rsid w:val="00B67096"/>
    <w:rsid w:val="00B67194"/>
    <w:rsid w:val="00B67266"/>
    <w:rsid w:val="00B672C3"/>
    <w:rsid w:val="00B6738C"/>
    <w:rsid w:val="00B674BE"/>
    <w:rsid w:val="00B674D7"/>
    <w:rsid w:val="00B677CF"/>
    <w:rsid w:val="00B67890"/>
    <w:rsid w:val="00B67932"/>
    <w:rsid w:val="00B679C2"/>
    <w:rsid w:val="00B67AAA"/>
    <w:rsid w:val="00B67B1B"/>
    <w:rsid w:val="00B67B4E"/>
    <w:rsid w:val="00B67CFF"/>
    <w:rsid w:val="00B67D62"/>
    <w:rsid w:val="00B67D88"/>
    <w:rsid w:val="00B70192"/>
    <w:rsid w:val="00B70365"/>
    <w:rsid w:val="00B70552"/>
    <w:rsid w:val="00B7055F"/>
    <w:rsid w:val="00B705BC"/>
    <w:rsid w:val="00B70606"/>
    <w:rsid w:val="00B70663"/>
    <w:rsid w:val="00B7080E"/>
    <w:rsid w:val="00B708FF"/>
    <w:rsid w:val="00B709C4"/>
    <w:rsid w:val="00B70CAD"/>
    <w:rsid w:val="00B70F2D"/>
    <w:rsid w:val="00B70F99"/>
    <w:rsid w:val="00B7104B"/>
    <w:rsid w:val="00B71244"/>
    <w:rsid w:val="00B7130D"/>
    <w:rsid w:val="00B71340"/>
    <w:rsid w:val="00B713F3"/>
    <w:rsid w:val="00B7143C"/>
    <w:rsid w:val="00B7155C"/>
    <w:rsid w:val="00B71742"/>
    <w:rsid w:val="00B717A2"/>
    <w:rsid w:val="00B7188D"/>
    <w:rsid w:val="00B718A7"/>
    <w:rsid w:val="00B71956"/>
    <w:rsid w:val="00B71996"/>
    <w:rsid w:val="00B71A40"/>
    <w:rsid w:val="00B71AEE"/>
    <w:rsid w:val="00B71B80"/>
    <w:rsid w:val="00B71C63"/>
    <w:rsid w:val="00B71D45"/>
    <w:rsid w:val="00B71D64"/>
    <w:rsid w:val="00B71DF0"/>
    <w:rsid w:val="00B71F93"/>
    <w:rsid w:val="00B72049"/>
    <w:rsid w:val="00B720A2"/>
    <w:rsid w:val="00B720F3"/>
    <w:rsid w:val="00B72109"/>
    <w:rsid w:val="00B7221E"/>
    <w:rsid w:val="00B72324"/>
    <w:rsid w:val="00B723AF"/>
    <w:rsid w:val="00B723C5"/>
    <w:rsid w:val="00B723E2"/>
    <w:rsid w:val="00B7244B"/>
    <w:rsid w:val="00B72831"/>
    <w:rsid w:val="00B7283C"/>
    <w:rsid w:val="00B72BED"/>
    <w:rsid w:val="00B72DDA"/>
    <w:rsid w:val="00B72DE1"/>
    <w:rsid w:val="00B72E1B"/>
    <w:rsid w:val="00B72E31"/>
    <w:rsid w:val="00B72F1F"/>
    <w:rsid w:val="00B72FA4"/>
    <w:rsid w:val="00B7304A"/>
    <w:rsid w:val="00B730BF"/>
    <w:rsid w:val="00B73435"/>
    <w:rsid w:val="00B734C2"/>
    <w:rsid w:val="00B735B7"/>
    <w:rsid w:val="00B735E1"/>
    <w:rsid w:val="00B736AB"/>
    <w:rsid w:val="00B738BA"/>
    <w:rsid w:val="00B738BF"/>
    <w:rsid w:val="00B73925"/>
    <w:rsid w:val="00B73994"/>
    <w:rsid w:val="00B73AEE"/>
    <w:rsid w:val="00B73B8B"/>
    <w:rsid w:val="00B73BA0"/>
    <w:rsid w:val="00B73C32"/>
    <w:rsid w:val="00B73C96"/>
    <w:rsid w:val="00B73CF3"/>
    <w:rsid w:val="00B73DEA"/>
    <w:rsid w:val="00B73E05"/>
    <w:rsid w:val="00B73F80"/>
    <w:rsid w:val="00B73F82"/>
    <w:rsid w:val="00B74045"/>
    <w:rsid w:val="00B741F0"/>
    <w:rsid w:val="00B7423E"/>
    <w:rsid w:val="00B744DF"/>
    <w:rsid w:val="00B74504"/>
    <w:rsid w:val="00B746A0"/>
    <w:rsid w:val="00B746E2"/>
    <w:rsid w:val="00B747D4"/>
    <w:rsid w:val="00B747EA"/>
    <w:rsid w:val="00B7481C"/>
    <w:rsid w:val="00B7490D"/>
    <w:rsid w:val="00B749B4"/>
    <w:rsid w:val="00B74A10"/>
    <w:rsid w:val="00B74B48"/>
    <w:rsid w:val="00B74B79"/>
    <w:rsid w:val="00B74B80"/>
    <w:rsid w:val="00B74BF4"/>
    <w:rsid w:val="00B74C43"/>
    <w:rsid w:val="00B74E13"/>
    <w:rsid w:val="00B74EB7"/>
    <w:rsid w:val="00B75255"/>
    <w:rsid w:val="00B75330"/>
    <w:rsid w:val="00B75348"/>
    <w:rsid w:val="00B754CE"/>
    <w:rsid w:val="00B75502"/>
    <w:rsid w:val="00B756E8"/>
    <w:rsid w:val="00B7573C"/>
    <w:rsid w:val="00B75821"/>
    <w:rsid w:val="00B7582C"/>
    <w:rsid w:val="00B7587B"/>
    <w:rsid w:val="00B7595B"/>
    <w:rsid w:val="00B759AD"/>
    <w:rsid w:val="00B759B5"/>
    <w:rsid w:val="00B75A4E"/>
    <w:rsid w:val="00B75A65"/>
    <w:rsid w:val="00B75F51"/>
    <w:rsid w:val="00B76030"/>
    <w:rsid w:val="00B76065"/>
    <w:rsid w:val="00B7606E"/>
    <w:rsid w:val="00B76235"/>
    <w:rsid w:val="00B76395"/>
    <w:rsid w:val="00B763BD"/>
    <w:rsid w:val="00B763C6"/>
    <w:rsid w:val="00B763F0"/>
    <w:rsid w:val="00B76429"/>
    <w:rsid w:val="00B76541"/>
    <w:rsid w:val="00B76621"/>
    <w:rsid w:val="00B76764"/>
    <w:rsid w:val="00B76839"/>
    <w:rsid w:val="00B768DB"/>
    <w:rsid w:val="00B7699F"/>
    <w:rsid w:val="00B76A9E"/>
    <w:rsid w:val="00B76C72"/>
    <w:rsid w:val="00B76C82"/>
    <w:rsid w:val="00B76CD6"/>
    <w:rsid w:val="00B76D4F"/>
    <w:rsid w:val="00B7702B"/>
    <w:rsid w:val="00B770A9"/>
    <w:rsid w:val="00B77179"/>
    <w:rsid w:val="00B77282"/>
    <w:rsid w:val="00B7736E"/>
    <w:rsid w:val="00B7764F"/>
    <w:rsid w:val="00B7765E"/>
    <w:rsid w:val="00B7778E"/>
    <w:rsid w:val="00B77845"/>
    <w:rsid w:val="00B77931"/>
    <w:rsid w:val="00B77AE2"/>
    <w:rsid w:val="00B77B8F"/>
    <w:rsid w:val="00B77EF4"/>
    <w:rsid w:val="00B77EF8"/>
    <w:rsid w:val="00B77F40"/>
    <w:rsid w:val="00B77FAE"/>
    <w:rsid w:val="00B77FDA"/>
    <w:rsid w:val="00B80036"/>
    <w:rsid w:val="00B803B8"/>
    <w:rsid w:val="00B80522"/>
    <w:rsid w:val="00B80539"/>
    <w:rsid w:val="00B80557"/>
    <w:rsid w:val="00B80685"/>
    <w:rsid w:val="00B80759"/>
    <w:rsid w:val="00B80785"/>
    <w:rsid w:val="00B807F7"/>
    <w:rsid w:val="00B8083B"/>
    <w:rsid w:val="00B80866"/>
    <w:rsid w:val="00B808C7"/>
    <w:rsid w:val="00B80AC2"/>
    <w:rsid w:val="00B80AD9"/>
    <w:rsid w:val="00B80C7F"/>
    <w:rsid w:val="00B80E39"/>
    <w:rsid w:val="00B80EDC"/>
    <w:rsid w:val="00B80FED"/>
    <w:rsid w:val="00B81123"/>
    <w:rsid w:val="00B812B1"/>
    <w:rsid w:val="00B81313"/>
    <w:rsid w:val="00B813F6"/>
    <w:rsid w:val="00B81723"/>
    <w:rsid w:val="00B8172E"/>
    <w:rsid w:val="00B81749"/>
    <w:rsid w:val="00B81775"/>
    <w:rsid w:val="00B8192C"/>
    <w:rsid w:val="00B819D1"/>
    <w:rsid w:val="00B81B0D"/>
    <w:rsid w:val="00B81B0F"/>
    <w:rsid w:val="00B81B45"/>
    <w:rsid w:val="00B81B9E"/>
    <w:rsid w:val="00B81EA2"/>
    <w:rsid w:val="00B81EBD"/>
    <w:rsid w:val="00B820D5"/>
    <w:rsid w:val="00B82267"/>
    <w:rsid w:val="00B82284"/>
    <w:rsid w:val="00B822AC"/>
    <w:rsid w:val="00B8233C"/>
    <w:rsid w:val="00B82348"/>
    <w:rsid w:val="00B824FE"/>
    <w:rsid w:val="00B8254C"/>
    <w:rsid w:val="00B82560"/>
    <w:rsid w:val="00B826B9"/>
    <w:rsid w:val="00B826E2"/>
    <w:rsid w:val="00B828CA"/>
    <w:rsid w:val="00B82DE7"/>
    <w:rsid w:val="00B82ED2"/>
    <w:rsid w:val="00B8326A"/>
    <w:rsid w:val="00B83397"/>
    <w:rsid w:val="00B8343B"/>
    <w:rsid w:val="00B83497"/>
    <w:rsid w:val="00B834AA"/>
    <w:rsid w:val="00B836D6"/>
    <w:rsid w:val="00B83826"/>
    <w:rsid w:val="00B83989"/>
    <w:rsid w:val="00B839F6"/>
    <w:rsid w:val="00B83A13"/>
    <w:rsid w:val="00B83A31"/>
    <w:rsid w:val="00B83A37"/>
    <w:rsid w:val="00B83B58"/>
    <w:rsid w:val="00B83BAC"/>
    <w:rsid w:val="00B83BC2"/>
    <w:rsid w:val="00B83CC9"/>
    <w:rsid w:val="00B83DA2"/>
    <w:rsid w:val="00B83E00"/>
    <w:rsid w:val="00B84275"/>
    <w:rsid w:val="00B843F8"/>
    <w:rsid w:val="00B847D2"/>
    <w:rsid w:val="00B84871"/>
    <w:rsid w:val="00B848F2"/>
    <w:rsid w:val="00B84ADD"/>
    <w:rsid w:val="00B84CA2"/>
    <w:rsid w:val="00B84CCA"/>
    <w:rsid w:val="00B84D1D"/>
    <w:rsid w:val="00B84F16"/>
    <w:rsid w:val="00B8505A"/>
    <w:rsid w:val="00B85082"/>
    <w:rsid w:val="00B85148"/>
    <w:rsid w:val="00B853E9"/>
    <w:rsid w:val="00B85463"/>
    <w:rsid w:val="00B8547B"/>
    <w:rsid w:val="00B85753"/>
    <w:rsid w:val="00B85A3F"/>
    <w:rsid w:val="00B85AB6"/>
    <w:rsid w:val="00B85C72"/>
    <w:rsid w:val="00B85DA5"/>
    <w:rsid w:val="00B85E6D"/>
    <w:rsid w:val="00B86032"/>
    <w:rsid w:val="00B86038"/>
    <w:rsid w:val="00B86049"/>
    <w:rsid w:val="00B8606A"/>
    <w:rsid w:val="00B86103"/>
    <w:rsid w:val="00B86109"/>
    <w:rsid w:val="00B8616D"/>
    <w:rsid w:val="00B86268"/>
    <w:rsid w:val="00B862E5"/>
    <w:rsid w:val="00B86763"/>
    <w:rsid w:val="00B86810"/>
    <w:rsid w:val="00B86825"/>
    <w:rsid w:val="00B869E0"/>
    <w:rsid w:val="00B86B6C"/>
    <w:rsid w:val="00B86BF4"/>
    <w:rsid w:val="00B86C53"/>
    <w:rsid w:val="00B871A0"/>
    <w:rsid w:val="00B872AE"/>
    <w:rsid w:val="00B87374"/>
    <w:rsid w:val="00B8737B"/>
    <w:rsid w:val="00B87454"/>
    <w:rsid w:val="00B87461"/>
    <w:rsid w:val="00B87A2D"/>
    <w:rsid w:val="00B87A98"/>
    <w:rsid w:val="00B87B2B"/>
    <w:rsid w:val="00B87C98"/>
    <w:rsid w:val="00B87CAE"/>
    <w:rsid w:val="00B87D57"/>
    <w:rsid w:val="00B87D60"/>
    <w:rsid w:val="00B87E16"/>
    <w:rsid w:val="00B87E39"/>
    <w:rsid w:val="00B900D2"/>
    <w:rsid w:val="00B9032E"/>
    <w:rsid w:val="00B90437"/>
    <w:rsid w:val="00B90451"/>
    <w:rsid w:val="00B904FB"/>
    <w:rsid w:val="00B90691"/>
    <w:rsid w:val="00B9087F"/>
    <w:rsid w:val="00B908FD"/>
    <w:rsid w:val="00B90913"/>
    <w:rsid w:val="00B90A0F"/>
    <w:rsid w:val="00B90FB1"/>
    <w:rsid w:val="00B911F6"/>
    <w:rsid w:val="00B9144A"/>
    <w:rsid w:val="00B915AD"/>
    <w:rsid w:val="00B915BB"/>
    <w:rsid w:val="00B91740"/>
    <w:rsid w:val="00B91758"/>
    <w:rsid w:val="00B91962"/>
    <w:rsid w:val="00B919D3"/>
    <w:rsid w:val="00B91C80"/>
    <w:rsid w:val="00B91D2D"/>
    <w:rsid w:val="00B91D92"/>
    <w:rsid w:val="00B91E1D"/>
    <w:rsid w:val="00B91FAA"/>
    <w:rsid w:val="00B92039"/>
    <w:rsid w:val="00B92161"/>
    <w:rsid w:val="00B9216B"/>
    <w:rsid w:val="00B921A7"/>
    <w:rsid w:val="00B92203"/>
    <w:rsid w:val="00B9220A"/>
    <w:rsid w:val="00B9230B"/>
    <w:rsid w:val="00B92325"/>
    <w:rsid w:val="00B9239C"/>
    <w:rsid w:val="00B92427"/>
    <w:rsid w:val="00B92495"/>
    <w:rsid w:val="00B925A5"/>
    <w:rsid w:val="00B925A8"/>
    <w:rsid w:val="00B926FE"/>
    <w:rsid w:val="00B928D0"/>
    <w:rsid w:val="00B92A1D"/>
    <w:rsid w:val="00B92B9A"/>
    <w:rsid w:val="00B92DE0"/>
    <w:rsid w:val="00B92F23"/>
    <w:rsid w:val="00B931D9"/>
    <w:rsid w:val="00B934E0"/>
    <w:rsid w:val="00B935CB"/>
    <w:rsid w:val="00B93641"/>
    <w:rsid w:val="00B9367D"/>
    <w:rsid w:val="00B9373B"/>
    <w:rsid w:val="00B93768"/>
    <w:rsid w:val="00B9382E"/>
    <w:rsid w:val="00B93881"/>
    <w:rsid w:val="00B9388F"/>
    <w:rsid w:val="00B93AF1"/>
    <w:rsid w:val="00B93CF9"/>
    <w:rsid w:val="00B93D2C"/>
    <w:rsid w:val="00B93D45"/>
    <w:rsid w:val="00B93D6A"/>
    <w:rsid w:val="00B93E5B"/>
    <w:rsid w:val="00B94110"/>
    <w:rsid w:val="00B94213"/>
    <w:rsid w:val="00B94301"/>
    <w:rsid w:val="00B94413"/>
    <w:rsid w:val="00B9441B"/>
    <w:rsid w:val="00B9442C"/>
    <w:rsid w:val="00B94711"/>
    <w:rsid w:val="00B94830"/>
    <w:rsid w:val="00B9494C"/>
    <w:rsid w:val="00B9495F"/>
    <w:rsid w:val="00B94A47"/>
    <w:rsid w:val="00B94B52"/>
    <w:rsid w:val="00B94C44"/>
    <w:rsid w:val="00B94D80"/>
    <w:rsid w:val="00B94EF9"/>
    <w:rsid w:val="00B950A2"/>
    <w:rsid w:val="00B954D4"/>
    <w:rsid w:val="00B9553F"/>
    <w:rsid w:val="00B95561"/>
    <w:rsid w:val="00B95722"/>
    <w:rsid w:val="00B95886"/>
    <w:rsid w:val="00B9589D"/>
    <w:rsid w:val="00B95997"/>
    <w:rsid w:val="00B95A37"/>
    <w:rsid w:val="00B95A7A"/>
    <w:rsid w:val="00B95BEC"/>
    <w:rsid w:val="00B95F3E"/>
    <w:rsid w:val="00B95F57"/>
    <w:rsid w:val="00B960B1"/>
    <w:rsid w:val="00B96128"/>
    <w:rsid w:val="00B96206"/>
    <w:rsid w:val="00B96281"/>
    <w:rsid w:val="00B96543"/>
    <w:rsid w:val="00B966FC"/>
    <w:rsid w:val="00B96755"/>
    <w:rsid w:val="00B9686D"/>
    <w:rsid w:val="00B96A25"/>
    <w:rsid w:val="00B96A94"/>
    <w:rsid w:val="00B96A9C"/>
    <w:rsid w:val="00B96ABC"/>
    <w:rsid w:val="00B96AC5"/>
    <w:rsid w:val="00B96C7F"/>
    <w:rsid w:val="00B96DE2"/>
    <w:rsid w:val="00B96E16"/>
    <w:rsid w:val="00B96E4D"/>
    <w:rsid w:val="00B9703A"/>
    <w:rsid w:val="00B970F1"/>
    <w:rsid w:val="00B9710C"/>
    <w:rsid w:val="00B9720D"/>
    <w:rsid w:val="00B972B8"/>
    <w:rsid w:val="00B972FA"/>
    <w:rsid w:val="00B97341"/>
    <w:rsid w:val="00B97359"/>
    <w:rsid w:val="00B973FE"/>
    <w:rsid w:val="00B97455"/>
    <w:rsid w:val="00B9748E"/>
    <w:rsid w:val="00B97537"/>
    <w:rsid w:val="00B9759B"/>
    <w:rsid w:val="00B97705"/>
    <w:rsid w:val="00B977DE"/>
    <w:rsid w:val="00B977F0"/>
    <w:rsid w:val="00B97874"/>
    <w:rsid w:val="00B978DC"/>
    <w:rsid w:val="00B979AA"/>
    <w:rsid w:val="00B979CF"/>
    <w:rsid w:val="00B97A5F"/>
    <w:rsid w:val="00B97B57"/>
    <w:rsid w:val="00B97D70"/>
    <w:rsid w:val="00B97E4F"/>
    <w:rsid w:val="00BA0168"/>
    <w:rsid w:val="00BA0299"/>
    <w:rsid w:val="00BA02B4"/>
    <w:rsid w:val="00BA05CB"/>
    <w:rsid w:val="00BA05DA"/>
    <w:rsid w:val="00BA07BA"/>
    <w:rsid w:val="00BA0881"/>
    <w:rsid w:val="00BA090E"/>
    <w:rsid w:val="00BA0A7F"/>
    <w:rsid w:val="00BA0B9E"/>
    <w:rsid w:val="00BA0DA3"/>
    <w:rsid w:val="00BA0E57"/>
    <w:rsid w:val="00BA0E64"/>
    <w:rsid w:val="00BA0E88"/>
    <w:rsid w:val="00BA0E9B"/>
    <w:rsid w:val="00BA10AD"/>
    <w:rsid w:val="00BA1302"/>
    <w:rsid w:val="00BA1690"/>
    <w:rsid w:val="00BA169B"/>
    <w:rsid w:val="00BA1774"/>
    <w:rsid w:val="00BA17B9"/>
    <w:rsid w:val="00BA1878"/>
    <w:rsid w:val="00BA1897"/>
    <w:rsid w:val="00BA1986"/>
    <w:rsid w:val="00BA19F8"/>
    <w:rsid w:val="00BA1A15"/>
    <w:rsid w:val="00BA1BEE"/>
    <w:rsid w:val="00BA1C92"/>
    <w:rsid w:val="00BA201F"/>
    <w:rsid w:val="00BA2147"/>
    <w:rsid w:val="00BA2398"/>
    <w:rsid w:val="00BA252D"/>
    <w:rsid w:val="00BA2636"/>
    <w:rsid w:val="00BA2674"/>
    <w:rsid w:val="00BA27A9"/>
    <w:rsid w:val="00BA2815"/>
    <w:rsid w:val="00BA2A17"/>
    <w:rsid w:val="00BA2A23"/>
    <w:rsid w:val="00BA2B70"/>
    <w:rsid w:val="00BA2C47"/>
    <w:rsid w:val="00BA2DAC"/>
    <w:rsid w:val="00BA2E07"/>
    <w:rsid w:val="00BA2E78"/>
    <w:rsid w:val="00BA2FA6"/>
    <w:rsid w:val="00BA3071"/>
    <w:rsid w:val="00BA30DF"/>
    <w:rsid w:val="00BA30FD"/>
    <w:rsid w:val="00BA3236"/>
    <w:rsid w:val="00BA341E"/>
    <w:rsid w:val="00BA3500"/>
    <w:rsid w:val="00BA3514"/>
    <w:rsid w:val="00BA379A"/>
    <w:rsid w:val="00BA38E6"/>
    <w:rsid w:val="00BA3A8B"/>
    <w:rsid w:val="00BA3CB9"/>
    <w:rsid w:val="00BA41AC"/>
    <w:rsid w:val="00BA426E"/>
    <w:rsid w:val="00BA42C7"/>
    <w:rsid w:val="00BA4376"/>
    <w:rsid w:val="00BA4422"/>
    <w:rsid w:val="00BA4442"/>
    <w:rsid w:val="00BA45DE"/>
    <w:rsid w:val="00BA464D"/>
    <w:rsid w:val="00BA488F"/>
    <w:rsid w:val="00BA48F8"/>
    <w:rsid w:val="00BA4932"/>
    <w:rsid w:val="00BA4A9D"/>
    <w:rsid w:val="00BA4ACF"/>
    <w:rsid w:val="00BA4B36"/>
    <w:rsid w:val="00BA4C61"/>
    <w:rsid w:val="00BA4F62"/>
    <w:rsid w:val="00BA4FE5"/>
    <w:rsid w:val="00BA503E"/>
    <w:rsid w:val="00BA5173"/>
    <w:rsid w:val="00BA5188"/>
    <w:rsid w:val="00BA5237"/>
    <w:rsid w:val="00BA53DD"/>
    <w:rsid w:val="00BA53E4"/>
    <w:rsid w:val="00BA5499"/>
    <w:rsid w:val="00BA551F"/>
    <w:rsid w:val="00BA5593"/>
    <w:rsid w:val="00BA55CA"/>
    <w:rsid w:val="00BA56DB"/>
    <w:rsid w:val="00BA56EF"/>
    <w:rsid w:val="00BA5746"/>
    <w:rsid w:val="00BA5883"/>
    <w:rsid w:val="00BA5A28"/>
    <w:rsid w:val="00BA5BC3"/>
    <w:rsid w:val="00BA5D06"/>
    <w:rsid w:val="00BA5D55"/>
    <w:rsid w:val="00BA5F2C"/>
    <w:rsid w:val="00BA6042"/>
    <w:rsid w:val="00BA6056"/>
    <w:rsid w:val="00BA6204"/>
    <w:rsid w:val="00BA6356"/>
    <w:rsid w:val="00BA637F"/>
    <w:rsid w:val="00BA63D9"/>
    <w:rsid w:val="00BA6500"/>
    <w:rsid w:val="00BA67E4"/>
    <w:rsid w:val="00BA68B0"/>
    <w:rsid w:val="00BA6990"/>
    <w:rsid w:val="00BA6AAC"/>
    <w:rsid w:val="00BA6AFC"/>
    <w:rsid w:val="00BA6B66"/>
    <w:rsid w:val="00BA6C4F"/>
    <w:rsid w:val="00BA6DB7"/>
    <w:rsid w:val="00BA6F2C"/>
    <w:rsid w:val="00BA6FC3"/>
    <w:rsid w:val="00BA6FDE"/>
    <w:rsid w:val="00BA7019"/>
    <w:rsid w:val="00BA72C5"/>
    <w:rsid w:val="00BA7378"/>
    <w:rsid w:val="00BA73BC"/>
    <w:rsid w:val="00BA73E5"/>
    <w:rsid w:val="00BA7500"/>
    <w:rsid w:val="00BA752F"/>
    <w:rsid w:val="00BA75E4"/>
    <w:rsid w:val="00BA7602"/>
    <w:rsid w:val="00BA7811"/>
    <w:rsid w:val="00BA78E3"/>
    <w:rsid w:val="00BA791A"/>
    <w:rsid w:val="00BA796C"/>
    <w:rsid w:val="00BA797F"/>
    <w:rsid w:val="00BA7996"/>
    <w:rsid w:val="00BA79BF"/>
    <w:rsid w:val="00BA7C52"/>
    <w:rsid w:val="00BA7D88"/>
    <w:rsid w:val="00BA7DC2"/>
    <w:rsid w:val="00BA7EF1"/>
    <w:rsid w:val="00BA7F0D"/>
    <w:rsid w:val="00BB01D6"/>
    <w:rsid w:val="00BB03CD"/>
    <w:rsid w:val="00BB04C3"/>
    <w:rsid w:val="00BB0528"/>
    <w:rsid w:val="00BB06B4"/>
    <w:rsid w:val="00BB095B"/>
    <w:rsid w:val="00BB0AC3"/>
    <w:rsid w:val="00BB0BA0"/>
    <w:rsid w:val="00BB0CA2"/>
    <w:rsid w:val="00BB0E53"/>
    <w:rsid w:val="00BB0E8A"/>
    <w:rsid w:val="00BB0ECB"/>
    <w:rsid w:val="00BB0F03"/>
    <w:rsid w:val="00BB0FEC"/>
    <w:rsid w:val="00BB0FFE"/>
    <w:rsid w:val="00BB11D4"/>
    <w:rsid w:val="00BB1408"/>
    <w:rsid w:val="00BB1653"/>
    <w:rsid w:val="00BB1769"/>
    <w:rsid w:val="00BB1858"/>
    <w:rsid w:val="00BB19A9"/>
    <w:rsid w:val="00BB1CC2"/>
    <w:rsid w:val="00BB1CC4"/>
    <w:rsid w:val="00BB1CF3"/>
    <w:rsid w:val="00BB2290"/>
    <w:rsid w:val="00BB231A"/>
    <w:rsid w:val="00BB2355"/>
    <w:rsid w:val="00BB23BF"/>
    <w:rsid w:val="00BB24BF"/>
    <w:rsid w:val="00BB2554"/>
    <w:rsid w:val="00BB2587"/>
    <w:rsid w:val="00BB25B8"/>
    <w:rsid w:val="00BB281B"/>
    <w:rsid w:val="00BB2854"/>
    <w:rsid w:val="00BB2900"/>
    <w:rsid w:val="00BB291B"/>
    <w:rsid w:val="00BB2B4E"/>
    <w:rsid w:val="00BB2BA3"/>
    <w:rsid w:val="00BB2E07"/>
    <w:rsid w:val="00BB2ED9"/>
    <w:rsid w:val="00BB2F78"/>
    <w:rsid w:val="00BB30CF"/>
    <w:rsid w:val="00BB3159"/>
    <w:rsid w:val="00BB3252"/>
    <w:rsid w:val="00BB32BD"/>
    <w:rsid w:val="00BB32D9"/>
    <w:rsid w:val="00BB32DF"/>
    <w:rsid w:val="00BB33BD"/>
    <w:rsid w:val="00BB350F"/>
    <w:rsid w:val="00BB36AA"/>
    <w:rsid w:val="00BB3928"/>
    <w:rsid w:val="00BB39B2"/>
    <w:rsid w:val="00BB3BB9"/>
    <w:rsid w:val="00BB3C14"/>
    <w:rsid w:val="00BB3CF3"/>
    <w:rsid w:val="00BB3D9C"/>
    <w:rsid w:val="00BB3E38"/>
    <w:rsid w:val="00BB45BB"/>
    <w:rsid w:val="00BB4602"/>
    <w:rsid w:val="00BB4622"/>
    <w:rsid w:val="00BB4678"/>
    <w:rsid w:val="00BB4867"/>
    <w:rsid w:val="00BB4877"/>
    <w:rsid w:val="00BB49BF"/>
    <w:rsid w:val="00BB4C54"/>
    <w:rsid w:val="00BB4CEF"/>
    <w:rsid w:val="00BB4E16"/>
    <w:rsid w:val="00BB4E36"/>
    <w:rsid w:val="00BB5048"/>
    <w:rsid w:val="00BB50F1"/>
    <w:rsid w:val="00BB5302"/>
    <w:rsid w:val="00BB532E"/>
    <w:rsid w:val="00BB5360"/>
    <w:rsid w:val="00BB5621"/>
    <w:rsid w:val="00BB56FD"/>
    <w:rsid w:val="00BB5711"/>
    <w:rsid w:val="00BB5777"/>
    <w:rsid w:val="00BB577A"/>
    <w:rsid w:val="00BB5919"/>
    <w:rsid w:val="00BB5B79"/>
    <w:rsid w:val="00BB5D30"/>
    <w:rsid w:val="00BB5E91"/>
    <w:rsid w:val="00BB5EC3"/>
    <w:rsid w:val="00BB5FFC"/>
    <w:rsid w:val="00BB613C"/>
    <w:rsid w:val="00BB616F"/>
    <w:rsid w:val="00BB6407"/>
    <w:rsid w:val="00BB67DA"/>
    <w:rsid w:val="00BB67FA"/>
    <w:rsid w:val="00BB6882"/>
    <w:rsid w:val="00BB689E"/>
    <w:rsid w:val="00BB6971"/>
    <w:rsid w:val="00BB69E0"/>
    <w:rsid w:val="00BB6A0E"/>
    <w:rsid w:val="00BB6A6A"/>
    <w:rsid w:val="00BB6BF5"/>
    <w:rsid w:val="00BB6C04"/>
    <w:rsid w:val="00BB6E89"/>
    <w:rsid w:val="00BB6F9C"/>
    <w:rsid w:val="00BB6FC0"/>
    <w:rsid w:val="00BB7356"/>
    <w:rsid w:val="00BB73AF"/>
    <w:rsid w:val="00BB7599"/>
    <w:rsid w:val="00BB78EA"/>
    <w:rsid w:val="00BB7927"/>
    <w:rsid w:val="00BB792F"/>
    <w:rsid w:val="00BB7A2E"/>
    <w:rsid w:val="00BB7AD2"/>
    <w:rsid w:val="00BB7EEB"/>
    <w:rsid w:val="00BB7EF6"/>
    <w:rsid w:val="00BB7F3C"/>
    <w:rsid w:val="00BB7F97"/>
    <w:rsid w:val="00BB7FD2"/>
    <w:rsid w:val="00BC016D"/>
    <w:rsid w:val="00BC02BA"/>
    <w:rsid w:val="00BC0323"/>
    <w:rsid w:val="00BC033B"/>
    <w:rsid w:val="00BC03CD"/>
    <w:rsid w:val="00BC0454"/>
    <w:rsid w:val="00BC04ED"/>
    <w:rsid w:val="00BC053C"/>
    <w:rsid w:val="00BC0818"/>
    <w:rsid w:val="00BC0B94"/>
    <w:rsid w:val="00BC0C0C"/>
    <w:rsid w:val="00BC0C4F"/>
    <w:rsid w:val="00BC0C9C"/>
    <w:rsid w:val="00BC0CD4"/>
    <w:rsid w:val="00BC0D1D"/>
    <w:rsid w:val="00BC0D91"/>
    <w:rsid w:val="00BC0E13"/>
    <w:rsid w:val="00BC0E1C"/>
    <w:rsid w:val="00BC0E78"/>
    <w:rsid w:val="00BC0F7B"/>
    <w:rsid w:val="00BC105D"/>
    <w:rsid w:val="00BC1191"/>
    <w:rsid w:val="00BC11B0"/>
    <w:rsid w:val="00BC1254"/>
    <w:rsid w:val="00BC12A4"/>
    <w:rsid w:val="00BC15F4"/>
    <w:rsid w:val="00BC1A08"/>
    <w:rsid w:val="00BC1A80"/>
    <w:rsid w:val="00BC1C3E"/>
    <w:rsid w:val="00BC1CBC"/>
    <w:rsid w:val="00BC1CBD"/>
    <w:rsid w:val="00BC1CC1"/>
    <w:rsid w:val="00BC1D00"/>
    <w:rsid w:val="00BC2093"/>
    <w:rsid w:val="00BC22C0"/>
    <w:rsid w:val="00BC247F"/>
    <w:rsid w:val="00BC25D7"/>
    <w:rsid w:val="00BC25F5"/>
    <w:rsid w:val="00BC2754"/>
    <w:rsid w:val="00BC2760"/>
    <w:rsid w:val="00BC27B0"/>
    <w:rsid w:val="00BC29D7"/>
    <w:rsid w:val="00BC2AE7"/>
    <w:rsid w:val="00BC2C94"/>
    <w:rsid w:val="00BC2CC2"/>
    <w:rsid w:val="00BC2D66"/>
    <w:rsid w:val="00BC2D7B"/>
    <w:rsid w:val="00BC2DFE"/>
    <w:rsid w:val="00BC2E3C"/>
    <w:rsid w:val="00BC2EF5"/>
    <w:rsid w:val="00BC30FE"/>
    <w:rsid w:val="00BC3196"/>
    <w:rsid w:val="00BC3593"/>
    <w:rsid w:val="00BC35CB"/>
    <w:rsid w:val="00BC35D7"/>
    <w:rsid w:val="00BC3858"/>
    <w:rsid w:val="00BC38EF"/>
    <w:rsid w:val="00BC3907"/>
    <w:rsid w:val="00BC39E7"/>
    <w:rsid w:val="00BC3A89"/>
    <w:rsid w:val="00BC3AC7"/>
    <w:rsid w:val="00BC3C0D"/>
    <w:rsid w:val="00BC3F0F"/>
    <w:rsid w:val="00BC42C6"/>
    <w:rsid w:val="00BC449C"/>
    <w:rsid w:val="00BC45C8"/>
    <w:rsid w:val="00BC46B2"/>
    <w:rsid w:val="00BC46B4"/>
    <w:rsid w:val="00BC473D"/>
    <w:rsid w:val="00BC4A69"/>
    <w:rsid w:val="00BC4FA6"/>
    <w:rsid w:val="00BC5029"/>
    <w:rsid w:val="00BC5073"/>
    <w:rsid w:val="00BC519D"/>
    <w:rsid w:val="00BC5335"/>
    <w:rsid w:val="00BC547A"/>
    <w:rsid w:val="00BC5545"/>
    <w:rsid w:val="00BC5791"/>
    <w:rsid w:val="00BC5938"/>
    <w:rsid w:val="00BC598E"/>
    <w:rsid w:val="00BC5A60"/>
    <w:rsid w:val="00BC5A93"/>
    <w:rsid w:val="00BC5DFE"/>
    <w:rsid w:val="00BC6248"/>
    <w:rsid w:val="00BC62DB"/>
    <w:rsid w:val="00BC6304"/>
    <w:rsid w:val="00BC63AE"/>
    <w:rsid w:val="00BC64A7"/>
    <w:rsid w:val="00BC64AB"/>
    <w:rsid w:val="00BC65AD"/>
    <w:rsid w:val="00BC6636"/>
    <w:rsid w:val="00BC6741"/>
    <w:rsid w:val="00BC674E"/>
    <w:rsid w:val="00BC67FD"/>
    <w:rsid w:val="00BC684E"/>
    <w:rsid w:val="00BC6854"/>
    <w:rsid w:val="00BC685D"/>
    <w:rsid w:val="00BC6B09"/>
    <w:rsid w:val="00BC6B59"/>
    <w:rsid w:val="00BC6B91"/>
    <w:rsid w:val="00BC6C3F"/>
    <w:rsid w:val="00BC6FAD"/>
    <w:rsid w:val="00BC7053"/>
    <w:rsid w:val="00BC70F6"/>
    <w:rsid w:val="00BC716B"/>
    <w:rsid w:val="00BC7206"/>
    <w:rsid w:val="00BC727F"/>
    <w:rsid w:val="00BC72EE"/>
    <w:rsid w:val="00BC73BC"/>
    <w:rsid w:val="00BC743F"/>
    <w:rsid w:val="00BC752A"/>
    <w:rsid w:val="00BC793B"/>
    <w:rsid w:val="00BC797E"/>
    <w:rsid w:val="00BC7A3D"/>
    <w:rsid w:val="00BC7DBF"/>
    <w:rsid w:val="00BC7DEE"/>
    <w:rsid w:val="00BC7EF7"/>
    <w:rsid w:val="00BD02A3"/>
    <w:rsid w:val="00BD039A"/>
    <w:rsid w:val="00BD03B0"/>
    <w:rsid w:val="00BD040A"/>
    <w:rsid w:val="00BD069F"/>
    <w:rsid w:val="00BD0741"/>
    <w:rsid w:val="00BD0859"/>
    <w:rsid w:val="00BD0A7C"/>
    <w:rsid w:val="00BD0B7D"/>
    <w:rsid w:val="00BD0BC2"/>
    <w:rsid w:val="00BD0D28"/>
    <w:rsid w:val="00BD0DF9"/>
    <w:rsid w:val="00BD0E15"/>
    <w:rsid w:val="00BD0EAB"/>
    <w:rsid w:val="00BD1068"/>
    <w:rsid w:val="00BD11D8"/>
    <w:rsid w:val="00BD12CA"/>
    <w:rsid w:val="00BD1414"/>
    <w:rsid w:val="00BD150D"/>
    <w:rsid w:val="00BD15D3"/>
    <w:rsid w:val="00BD15E1"/>
    <w:rsid w:val="00BD163F"/>
    <w:rsid w:val="00BD1867"/>
    <w:rsid w:val="00BD1885"/>
    <w:rsid w:val="00BD18AF"/>
    <w:rsid w:val="00BD1911"/>
    <w:rsid w:val="00BD1AB9"/>
    <w:rsid w:val="00BD1C9F"/>
    <w:rsid w:val="00BD1CCD"/>
    <w:rsid w:val="00BD1D03"/>
    <w:rsid w:val="00BD1DD6"/>
    <w:rsid w:val="00BD20A1"/>
    <w:rsid w:val="00BD20C6"/>
    <w:rsid w:val="00BD212F"/>
    <w:rsid w:val="00BD21A4"/>
    <w:rsid w:val="00BD21EA"/>
    <w:rsid w:val="00BD222C"/>
    <w:rsid w:val="00BD244C"/>
    <w:rsid w:val="00BD24DE"/>
    <w:rsid w:val="00BD24FB"/>
    <w:rsid w:val="00BD2507"/>
    <w:rsid w:val="00BD2568"/>
    <w:rsid w:val="00BD257F"/>
    <w:rsid w:val="00BD26F8"/>
    <w:rsid w:val="00BD27F5"/>
    <w:rsid w:val="00BD2A44"/>
    <w:rsid w:val="00BD2C0B"/>
    <w:rsid w:val="00BD2CDA"/>
    <w:rsid w:val="00BD2F2A"/>
    <w:rsid w:val="00BD2F81"/>
    <w:rsid w:val="00BD3038"/>
    <w:rsid w:val="00BD312E"/>
    <w:rsid w:val="00BD31CB"/>
    <w:rsid w:val="00BD3211"/>
    <w:rsid w:val="00BD32CE"/>
    <w:rsid w:val="00BD355A"/>
    <w:rsid w:val="00BD35A2"/>
    <w:rsid w:val="00BD35B5"/>
    <w:rsid w:val="00BD3732"/>
    <w:rsid w:val="00BD3787"/>
    <w:rsid w:val="00BD37F4"/>
    <w:rsid w:val="00BD38DA"/>
    <w:rsid w:val="00BD3A7F"/>
    <w:rsid w:val="00BD3AB7"/>
    <w:rsid w:val="00BD3BA9"/>
    <w:rsid w:val="00BD3C39"/>
    <w:rsid w:val="00BD3C71"/>
    <w:rsid w:val="00BD3C8C"/>
    <w:rsid w:val="00BD3EA5"/>
    <w:rsid w:val="00BD3FE4"/>
    <w:rsid w:val="00BD4010"/>
    <w:rsid w:val="00BD4286"/>
    <w:rsid w:val="00BD4350"/>
    <w:rsid w:val="00BD43A1"/>
    <w:rsid w:val="00BD4491"/>
    <w:rsid w:val="00BD4556"/>
    <w:rsid w:val="00BD472D"/>
    <w:rsid w:val="00BD4773"/>
    <w:rsid w:val="00BD47FA"/>
    <w:rsid w:val="00BD492B"/>
    <w:rsid w:val="00BD4A2F"/>
    <w:rsid w:val="00BD4A85"/>
    <w:rsid w:val="00BD4B60"/>
    <w:rsid w:val="00BD4CC4"/>
    <w:rsid w:val="00BD4ED4"/>
    <w:rsid w:val="00BD4F06"/>
    <w:rsid w:val="00BD51B6"/>
    <w:rsid w:val="00BD5495"/>
    <w:rsid w:val="00BD57A4"/>
    <w:rsid w:val="00BD58CC"/>
    <w:rsid w:val="00BD5BE5"/>
    <w:rsid w:val="00BD5C16"/>
    <w:rsid w:val="00BD5C2B"/>
    <w:rsid w:val="00BD5C9F"/>
    <w:rsid w:val="00BD5CB5"/>
    <w:rsid w:val="00BD5CF5"/>
    <w:rsid w:val="00BD5D6D"/>
    <w:rsid w:val="00BD5E34"/>
    <w:rsid w:val="00BD624B"/>
    <w:rsid w:val="00BD62AE"/>
    <w:rsid w:val="00BD62BC"/>
    <w:rsid w:val="00BD646D"/>
    <w:rsid w:val="00BD65A0"/>
    <w:rsid w:val="00BD6736"/>
    <w:rsid w:val="00BD694E"/>
    <w:rsid w:val="00BD6982"/>
    <w:rsid w:val="00BD6A47"/>
    <w:rsid w:val="00BD6A4B"/>
    <w:rsid w:val="00BD6C74"/>
    <w:rsid w:val="00BD6CC6"/>
    <w:rsid w:val="00BD6CE9"/>
    <w:rsid w:val="00BD6DE3"/>
    <w:rsid w:val="00BD6FA0"/>
    <w:rsid w:val="00BD7224"/>
    <w:rsid w:val="00BD7602"/>
    <w:rsid w:val="00BD761A"/>
    <w:rsid w:val="00BD776C"/>
    <w:rsid w:val="00BD7906"/>
    <w:rsid w:val="00BD7B87"/>
    <w:rsid w:val="00BD7C15"/>
    <w:rsid w:val="00BD7E40"/>
    <w:rsid w:val="00BD7EE4"/>
    <w:rsid w:val="00BD7FCA"/>
    <w:rsid w:val="00BE00ED"/>
    <w:rsid w:val="00BE0405"/>
    <w:rsid w:val="00BE0491"/>
    <w:rsid w:val="00BE0520"/>
    <w:rsid w:val="00BE062F"/>
    <w:rsid w:val="00BE0811"/>
    <w:rsid w:val="00BE0842"/>
    <w:rsid w:val="00BE0CF6"/>
    <w:rsid w:val="00BE0D7A"/>
    <w:rsid w:val="00BE0E7F"/>
    <w:rsid w:val="00BE111F"/>
    <w:rsid w:val="00BE11E2"/>
    <w:rsid w:val="00BE1250"/>
    <w:rsid w:val="00BE12B7"/>
    <w:rsid w:val="00BE12D1"/>
    <w:rsid w:val="00BE1323"/>
    <w:rsid w:val="00BE132A"/>
    <w:rsid w:val="00BE15DE"/>
    <w:rsid w:val="00BE18CF"/>
    <w:rsid w:val="00BE1A03"/>
    <w:rsid w:val="00BE1A7C"/>
    <w:rsid w:val="00BE1AE7"/>
    <w:rsid w:val="00BE1B02"/>
    <w:rsid w:val="00BE1BCA"/>
    <w:rsid w:val="00BE1C50"/>
    <w:rsid w:val="00BE1F93"/>
    <w:rsid w:val="00BE202D"/>
    <w:rsid w:val="00BE213E"/>
    <w:rsid w:val="00BE2223"/>
    <w:rsid w:val="00BE22B8"/>
    <w:rsid w:val="00BE2332"/>
    <w:rsid w:val="00BE237A"/>
    <w:rsid w:val="00BE2536"/>
    <w:rsid w:val="00BE262B"/>
    <w:rsid w:val="00BE2826"/>
    <w:rsid w:val="00BE289D"/>
    <w:rsid w:val="00BE28AF"/>
    <w:rsid w:val="00BE28CB"/>
    <w:rsid w:val="00BE294E"/>
    <w:rsid w:val="00BE2950"/>
    <w:rsid w:val="00BE29F2"/>
    <w:rsid w:val="00BE2A5B"/>
    <w:rsid w:val="00BE2CB7"/>
    <w:rsid w:val="00BE2DB0"/>
    <w:rsid w:val="00BE304E"/>
    <w:rsid w:val="00BE30FB"/>
    <w:rsid w:val="00BE31BC"/>
    <w:rsid w:val="00BE3463"/>
    <w:rsid w:val="00BE353D"/>
    <w:rsid w:val="00BE3569"/>
    <w:rsid w:val="00BE357E"/>
    <w:rsid w:val="00BE3695"/>
    <w:rsid w:val="00BE39C7"/>
    <w:rsid w:val="00BE3AC8"/>
    <w:rsid w:val="00BE3B9A"/>
    <w:rsid w:val="00BE3BC5"/>
    <w:rsid w:val="00BE3D20"/>
    <w:rsid w:val="00BE3FAA"/>
    <w:rsid w:val="00BE3FD4"/>
    <w:rsid w:val="00BE4086"/>
    <w:rsid w:val="00BE4348"/>
    <w:rsid w:val="00BE439B"/>
    <w:rsid w:val="00BE443E"/>
    <w:rsid w:val="00BE45F5"/>
    <w:rsid w:val="00BE4664"/>
    <w:rsid w:val="00BE467E"/>
    <w:rsid w:val="00BE47F6"/>
    <w:rsid w:val="00BE4AFA"/>
    <w:rsid w:val="00BE4B55"/>
    <w:rsid w:val="00BE4BBF"/>
    <w:rsid w:val="00BE4C5A"/>
    <w:rsid w:val="00BE4CC4"/>
    <w:rsid w:val="00BE51D3"/>
    <w:rsid w:val="00BE529C"/>
    <w:rsid w:val="00BE52A1"/>
    <w:rsid w:val="00BE52AF"/>
    <w:rsid w:val="00BE5315"/>
    <w:rsid w:val="00BE5496"/>
    <w:rsid w:val="00BE556C"/>
    <w:rsid w:val="00BE59EF"/>
    <w:rsid w:val="00BE5AA9"/>
    <w:rsid w:val="00BE5B9D"/>
    <w:rsid w:val="00BE5C70"/>
    <w:rsid w:val="00BE5E76"/>
    <w:rsid w:val="00BE607B"/>
    <w:rsid w:val="00BE60C3"/>
    <w:rsid w:val="00BE6331"/>
    <w:rsid w:val="00BE6490"/>
    <w:rsid w:val="00BE6624"/>
    <w:rsid w:val="00BE67E8"/>
    <w:rsid w:val="00BE68AF"/>
    <w:rsid w:val="00BE6B2F"/>
    <w:rsid w:val="00BE6BF1"/>
    <w:rsid w:val="00BE6C9F"/>
    <w:rsid w:val="00BE6DA0"/>
    <w:rsid w:val="00BE6EA3"/>
    <w:rsid w:val="00BE6EBC"/>
    <w:rsid w:val="00BE6F2D"/>
    <w:rsid w:val="00BE6F8F"/>
    <w:rsid w:val="00BE7187"/>
    <w:rsid w:val="00BE71D1"/>
    <w:rsid w:val="00BE72D0"/>
    <w:rsid w:val="00BE7432"/>
    <w:rsid w:val="00BE74BB"/>
    <w:rsid w:val="00BE78AB"/>
    <w:rsid w:val="00BE7ABE"/>
    <w:rsid w:val="00BE7AC5"/>
    <w:rsid w:val="00BE7B03"/>
    <w:rsid w:val="00BE7B36"/>
    <w:rsid w:val="00BE7C1F"/>
    <w:rsid w:val="00BE7C32"/>
    <w:rsid w:val="00BE7C5F"/>
    <w:rsid w:val="00BE7D6E"/>
    <w:rsid w:val="00BE7FE3"/>
    <w:rsid w:val="00BF0069"/>
    <w:rsid w:val="00BF0124"/>
    <w:rsid w:val="00BF01C5"/>
    <w:rsid w:val="00BF069E"/>
    <w:rsid w:val="00BF0704"/>
    <w:rsid w:val="00BF07DF"/>
    <w:rsid w:val="00BF0875"/>
    <w:rsid w:val="00BF0900"/>
    <w:rsid w:val="00BF09C7"/>
    <w:rsid w:val="00BF0A0C"/>
    <w:rsid w:val="00BF0A93"/>
    <w:rsid w:val="00BF0B05"/>
    <w:rsid w:val="00BF0BA8"/>
    <w:rsid w:val="00BF0C42"/>
    <w:rsid w:val="00BF0D8C"/>
    <w:rsid w:val="00BF1089"/>
    <w:rsid w:val="00BF12DA"/>
    <w:rsid w:val="00BF1313"/>
    <w:rsid w:val="00BF1463"/>
    <w:rsid w:val="00BF150D"/>
    <w:rsid w:val="00BF1610"/>
    <w:rsid w:val="00BF1619"/>
    <w:rsid w:val="00BF1647"/>
    <w:rsid w:val="00BF18E5"/>
    <w:rsid w:val="00BF1918"/>
    <w:rsid w:val="00BF1B7E"/>
    <w:rsid w:val="00BF1C69"/>
    <w:rsid w:val="00BF1DC8"/>
    <w:rsid w:val="00BF2084"/>
    <w:rsid w:val="00BF208F"/>
    <w:rsid w:val="00BF2213"/>
    <w:rsid w:val="00BF22BA"/>
    <w:rsid w:val="00BF22C0"/>
    <w:rsid w:val="00BF22F6"/>
    <w:rsid w:val="00BF2428"/>
    <w:rsid w:val="00BF2526"/>
    <w:rsid w:val="00BF25CD"/>
    <w:rsid w:val="00BF25F5"/>
    <w:rsid w:val="00BF2643"/>
    <w:rsid w:val="00BF293F"/>
    <w:rsid w:val="00BF2A70"/>
    <w:rsid w:val="00BF2A88"/>
    <w:rsid w:val="00BF2D94"/>
    <w:rsid w:val="00BF2FD1"/>
    <w:rsid w:val="00BF2FEF"/>
    <w:rsid w:val="00BF3561"/>
    <w:rsid w:val="00BF356A"/>
    <w:rsid w:val="00BF3651"/>
    <w:rsid w:val="00BF3677"/>
    <w:rsid w:val="00BF36D7"/>
    <w:rsid w:val="00BF38AE"/>
    <w:rsid w:val="00BF391E"/>
    <w:rsid w:val="00BF39C8"/>
    <w:rsid w:val="00BF3B12"/>
    <w:rsid w:val="00BF3B66"/>
    <w:rsid w:val="00BF3C26"/>
    <w:rsid w:val="00BF3CCA"/>
    <w:rsid w:val="00BF3D0E"/>
    <w:rsid w:val="00BF3D5D"/>
    <w:rsid w:val="00BF3E87"/>
    <w:rsid w:val="00BF3EAA"/>
    <w:rsid w:val="00BF3EC7"/>
    <w:rsid w:val="00BF3F96"/>
    <w:rsid w:val="00BF4258"/>
    <w:rsid w:val="00BF42C0"/>
    <w:rsid w:val="00BF4589"/>
    <w:rsid w:val="00BF466D"/>
    <w:rsid w:val="00BF46B6"/>
    <w:rsid w:val="00BF47A5"/>
    <w:rsid w:val="00BF4965"/>
    <w:rsid w:val="00BF49AF"/>
    <w:rsid w:val="00BF4AED"/>
    <w:rsid w:val="00BF4D3B"/>
    <w:rsid w:val="00BF4DBB"/>
    <w:rsid w:val="00BF4EBA"/>
    <w:rsid w:val="00BF4FA5"/>
    <w:rsid w:val="00BF50EE"/>
    <w:rsid w:val="00BF5153"/>
    <w:rsid w:val="00BF5306"/>
    <w:rsid w:val="00BF5395"/>
    <w:rsid w:val="00BF53BC"/>
    <w:rsid w:val="00BF5552"/>
    <w:rsid w:val="00BF559D"/>
    <w:rsid w:val="00BF5691"/>
    <w:rsid w:val="00BF56A1"/>
    <w:rsid w:val="00BF570A"/>
    <w:rsid w:val="00BF59DB"/>
    <w:rsid w:val="00BF5C0B"/>
    <w:rsid w:val="00BF5DAE"/>
    <w:rsid w:val="00BF5DC4"/>
    <w:rsid w:val="00BF5E1E"/>
    <w:rsid w:val="00BF5E8E"/>
    <w:rsid w:val="00BF5EF8"/>
    <w:rsid w:val="00BF609B"/>
    <w:rsid w:val="00BF60B1"/>
    <w:rsid w:val="00BF6225"/>
    <w:rsid w:val="00BF64FE"/>
    <w:rsid w:val="00BF65DD"/>
    <w:rsid w:val="00BF6832"/>
    <w:rsid w:val="00BF6991"/>
    <w:rsid w:val="00BF69F8"/>
    <w:rsid w:val="00BF6D71"/>
    <w:rsid w:val="00BF6EE5"/>
    <w:rsid w:val="00BF6F89"/>
    <w:rsid w:val="00BF708F"/>
    <w:rsid w:val="00BF70C2"/>
    <w:rsid w:val="00BF71D8"/>
    <w:rsid w:val="00BF7295"/>
    <w:rsid w:val="00BF733D"/>
    <w:rsid w:val="00BF73FB"/>
    <w:rsid w:val="00BF746D"/>
    <w:rsid w:val="00BF7501"/>
    <w:rsid w:val="00BF76FA"/>
    <w:rsid w:val="00BF7714"/>
    <w:rsid w:val="00BF77FC"/>
    <w:rsid w:val="00BF784B"/>
    <w:rsid w:val="00BF7970"/>
    <w:rsid w:val="00BF7A3D"/>
    <w:rsid w:val="00BF7A51"/>
    <w:rsid w:val="00BF7ACF"/>
    <w:rsid w:val="00BF7AE1"/>
    <w:rsid w:val="00BF7E9D"/>
    <w:rsid w:val="00C00057"/>
    <w:rsid w:val="00C0018F"/>
    <w:rsid w:val="00C001CF"/>
    <w:rsid w:val="00C00236"/>
    <w:rsid w:val="00C00317"/>
    <w:rsid w:val="00C00574"/>
    <w:rsid w:val="00C0061A"/>
    <w:rsid w:val="00C006A6"/>
    <w:rsid w:val="00C006C1"/>
    <w:rsid w:val="00C0083E"/>
    <w:rsid w:val="00C00B73"/>
    <w:rsid w:val="00C00C6E"/>
    <w:rsid w:val="00C00CB9"/>
    <w:rsid w:val="00C00D14"/>
    <w:rsid w:val="00C00E05"/>
    <w:rsid w:val="00C00E5B"/>
    <w:rsid w:val="00C01053"/>
    <w:rsid w:val="00C012C7"/>
    <w:rsid w:val="00C01462"/>
    <w:rsid w:val="00C017DE"/>
    <w:rsid w:val="00C01ABB"/>
    <w:rsid w:val="00C01B37"/>
    <w:rsid w:val="00C01CEC"/>
    <w:rsid w:val="00C01D8B"/>
    <w:rsid w:val="00C01EC8"/>
    <w:rsid w:val="00C0218F"/>
    <w:rsid w:val="00C0223A"/>
    <w:rsid w:val="00C022FE"/>
    <w:rsid w:val="00C02404"/>
    <w:rsid w:val="00C02647"/>
    <w:rsid w:val="00C02713"/>
    <w:rsid w:val="00C027B3"/>
    <w:rsid w:val="00C027CE"/>
    <w:rsid w:val="00C02966"/>
    <w:rsid w:val="00C02AA7"/>
    <w:rsid w:val="00C02CD5"/>
    <w:rsid w:val="00C02D26"/>
    <w:rsid w:val="00C02D94"/>
    <w:rsid w:val="00C02EA5"/>
    <w:rsid w:val="00C02F1E"/>
    <w:rsid w:val="00C02FA2"/>
    <w:rsid w:val="00C03158"/>
    <w:rsid w:val="00C03272"/>
    <w:rsid w:val="00C0348F"/>
    <w:rsid w:val="00C034A0"/>
    <w:rsid w:val="00C03590"/>
    <w:rsid w:val="00C035CA"/>
    <w:rsid w:val="00C03699"/>
    <w:rsid w:val="00C037DD"/>
    <w:rsid w:val="00C03AEA"/>
    <w:rsid w:val="00C03BE7"/>
    <w:rsid w:val="00C03C44"/>
    <w:rsid w:val="00C03CD0"/>
    <w:rsid w:val="00C03E36"/>
    <w:rsid w:val="00C040B4"/>
    <w:rsid w:val="00C044D1"/>
    <w:rsid w:val="00C0451C"/>
    <w:rsid w:val="00C04620"/>
    <w:rsid w:val="00C046D2"/>
    <w:rsid w:val="00C0472B"/>
    <w:rsid w:val="00C04858"/>
    <w:rsid w:val="00C049BA"/>
    <w:rsid w:val="00C04AA0"/>
    <w:rsid w:val="00C04B1C"/>
    <w:rsid w:val="00C04CA6"/>
    <w:rsid w:val="00C04DE1"/>
    <w:rsid w:val="00C04E19"/>
    <w:rsid w:val="00C04F35"/>
    <w:rsid w:val="00C05123"/>
    <w:rsid w:val="00C05632"/>
    <w:rsid w:val="00C05821"/>
    <w:rsid w:val="00C05950"/>
    <w:rsid w:val="00C05CEE"/>
    <w:rsid w:val="00C05D66"/>
    <w:rsid w:val="00C05DA2"/>
    <w:rsid w:val="00C05F97"/>
    <w:rsid w:val="00C06001"/>
    <w:rsid w:val="00C06295"/>
    <w:rsid w:val="00C062EE"/>
    <w:rsid w:val="00C06674"/>
    <w:rsid w:val="00C067F7"/>
    <w:rsid w:val="00C06A6A"/>
    <w:rsid w:val="00C06AD8"/>
    <w:rsid w:val="00C06ADE"/>
    <w:rsid w:val="00C06B15"/>
    <w:rsid w:val="00C06D57"/>
    <w:rsid w:val="00C06D65"/>
    <w:rsid w:val="00C07319"/>
    <w:rsid w:val="00C0744B"/>
    <w:rsid w:val="00C07578"/>
    <w:rsid w:val="00C07682"/>
    <w:rsid w:val="00C076D2"/>
    <w:rsid w:val="00C077F3"/>
    <w:rsid w:val="00C0784D"/>
    <w:rsid w:val="00C0789C"/>
    <w:rsid w:val="00C07965"/>
    <w:rsid w:val="00C07A02"/>
    <w:rsid w:val="00C07AA7"/>
    <w:rsid w:val="00C07BA1"/>
    <w:rsid w:val="00C07CF8"/>
    <w:rsid w:val="00C1004C"/>
    <w:rsid w:val="00C10200"/>
    <w:rsid w:val="00C102CF"/>
    <w:rsid w:val="00C1047B"/>
    <w:rsid w:val="00C104C0"/>
    <w:rsid w:val="00C1050A"/>
    <w:rsid w:val="00C1059A"/>
    <w:rsid w:val="00C106A3"/>
    <w:rsid w:val="00C106D1"/>
    <w:rsid w:val="00C1080A"/>
    <w:rsid w:val="00C10AF0"/>
    <w:rsid w:val="00C10BCD"/>
    <w:rsid w:val="00C10D67"/>
    <w:rsid w:val="00C11387"/>
    <w:rsid w:val="00C115CD"/>
    <w:rsid w:val="00C116D4"/>
    <w:rsid w:val="00C11776"/>
    <w:rsid w:val="00C11869"/>
    <w:rsid w:val="00C11874"/>
    <w:rsid w:val="00C11908"/>
    <w:rsid w:val="00C11971"/>
    <w:rsid w:val="00C119C6"/>
    <w:rsid w:val="00C119C8"/>
    <w:rsid w:val="00C11A45"/>
    <w:rsid w:val="00C11E1D"/>
    <w:rsid w:val="00C11EC5"/>
    <w:rsid w:val="00C11F5A"/>
    <w:rsid w:val="00C11FAC"/>
    <w:rsid w:val="00C12008"/>
    <w:rsid w:val="00C12183"/>
    <w:rsid w:val="00C1220E"/>
    <w:rsid w:val="00C124B7"/>
    <w:rsid w:val="00C1250B"/>
    <w:rsid w:val="00C1251D"/>
    <w:rsid w:val="00C12694"/>
    <w:rsid w:val="00C12A5A"/>
    <w:rsid w:val="00C12BFF"/>
    <w:rsid w:val="00C12EFB"/>
    <w:rsid w:val="00C12F73"/>
    <w:rsid w:val="00C13086"/>
    <w:rsid w:val="00C13118"/>
    <w:rsid w:val="00C1347C"/>
    <w:rsid w:val="00C1382B"/>
    <w:rsid w:val="00C138EE"/>
    <w:rsid w:val="00C139E1"/>
    <w:rsid w:val="00C13A73"/>
    <w:rsid w:val="00C13AFA"/>
    <w:rsid w:val="00C13CF9"/>
    <w:rsid w:val="00C13FD4"/>
    <w:rsid w:val="00C13FDF"/>
    <w:rsid w:val="00C14049"/>
    <w:rsid w:val="00C1410B"/>
    <w:rsid w:val="00C1416B"/>
    <w:rsid w:val="00C14254"/>
    <w:rsid w:val="00C142EC"/>
    <w:rsid w:val="00C144E3"/>
    <w:rsid w:val="00C14582"/>
    <w:rsid w:val="00C1464A"/>
    <w:rsid w:val="00C14843"/>
    <w:rsid w:val="00C148FE"/>
    <w:rsid w:val="00C14A8A"/>
    <w:rsid w:val="00C14B2E"/>
    <w:rsid w:val="00C14D22"/>
    <w:rsid w:val="00C14DDB"/>
    <w:rsid w:val="00C14E3F"/>
    <w:rsid w:val="00C14F17"/>
    <w:rsid w:val="00C14F3A"/>
    <w:rsid w:val="00C15130"/>
    <w:rsid w:val="00C15322"/>
    <w:rsid w:val="00C153B5"/>
    <w:rsid w:val="00C156C1"/>
    <w:rsid w:val="00C15845"/>
    <w:rsid w:val="00C15917"/>
    <w:rsid w:val="00C1594F"/>
    <w:rsid w:val="00C15AE0"/>
    <w:rsid w:val="00C15C2C"/>
    <w:rsid w:val="00C15E77"/>
    <w:rsid w:val="00C15F1F"/>
    <w:rsid w:val="00C1613A"/>
    <w:rsid w:val="00C16347"/>
    <w:rsid w:val="00C1638B"/>
    <w:rsid w:val="00C1644C"/>
    <w:rsid w:val="00C165B9"/>
    <w:rsid w:val="00C16708"/>
    <w:rsid w:val="00C16717"/>
    <w:rsid w:val="00C167DE"/>
    <w:rsid w:val="00C167FA"/>
    <w:rsid w:val="00C1699C"/>
    <w:rsid w:val="00C16A49"/>
    <w:rsid w:val="00C16BDF"/>
    <w:rsid w:val="00C16BE6"/>
    <w:rsid w:val="00C16D3C"/>
    <w:rsid w:val="00C16E50"/>
    <w:rsid w:val="00C16EE1"/>
    <w:rsid w:val="00C16F03"/>
    <w:rsid w:val="00C16FB9"/>
    <w:rsid w:val="00C1707F"/>
    <w:rsid w:val="00C170A6"/>
    <w:rsid w:val="00C170D5"/>
    <w:rsid w:val="00C170FD"/>
    <w:rsid w:val="00C17281"/>
    <w:rsid w:val="00C172C1"/>
    <w:rsid w:val="00C172E2"/>
    <w:rsid w:val="00C1744D"/>
    <w:rsid w:val="00C17A3B"/>
    <w:rsid w:val="00C17C9B"/>
    <w:rsid w:val="00C17D2C"/>
    <w:rsid w:val="00C17D89"/>
    <w:rsid w:val="00C17E2F"/>
    <w:rsid w:val="00C17FBA"/>
    <w:rsid w:val="00C201C7"/>
    <w:rsid w:val="00C201ED"/>
    <w:rsid w:val="00C2025C"/>
    <w:rsid w:val="00C20339"/>
    <w:rsid w:val="00C2041F"/>
    <w:rsid w:val="00C20461"/>
    <w:rsid w:val="00C20604"/>
    <w:rsid w:val="00C20840"/>
    <w:rsid w:val="00C20953"/>
    <w:rsid w:val="00C2097C"/>
    <w:rsid w:val="00C209CA"/>
    <w:rsid w:val="00C20C81"/>
    <w:rsid w:val="00C20E32"/>
    <w:rsid w:val="00C20FB8"/>
    <w:rsid w:val="00C20FC3"/>
    <w:rsid w:val="00C2115C"/>
    <w:rsid w:val="00C21267"/>
    <w:rsid w:val="00C2127B"/>
    <w:rsid w:val="00C212E1"/>
    <w:rsid w:val="00C21347"/>
    <w:rsid w:val="00C2134B"/>
    <w:rsid w:val="00C2143A"/>
    <w:rsid w:val="00C214B5"/>
    <w:rsid w:val="00C214FC"/>
    <w:rsid w:val="00C21524"/>
    <w:rsid w:val="00C2157C"/>
    <w:rsid w:val="00C21844"/>
    <w:rsid w:val="00C21878"/>
    <w:rsid w:val="00C2190F"/>
    <w:rsid w:val="00C219E5"/>
    <w:rsid w:val="00C21A23"/>
    <w:rsid w:val="00C21B28"/>
    <w:rsid w:val="00C21D75"/>
    <w:rsid w:val="00C21F23"/>
    <w:rsid w:val="00C21FD5"/>
    <w:rsid w:val="00C21FF7"/>
    <w:rsid w:val="00C22055"/>
    <w:rsid w:val="00C2215A"/>
    <w:rsid w:val="00C223A4"/>
    <w:rsid w:val="00C224B6"/>
    <w:rsid w:val="00C226B7"/>
    <w:rsid w:val="00C22A4B"/>
    <w:rsid w:val="00C22B38"/>
    <w:rsid w:val="00C22BA3"/>
    <w:rsid w:val="00C22C49"/>
    <w:rsid w:val="00C22C7C"/>
    <w:rsid w:val="00C22E1F"/>
    <w:rsid w:val="00C22F7C"/>
    <w:rsid w:val="00C22FA4"/>
    <w:rsid w:val="00C2303C"/>
    <w:rsid w:val="00C230C7"/>
    <w:rsid w:val="00C230F4"/>
    <w:rsid w:val="00C232D9"/>
    <w:rsid w:val="00C23340"/>
    <w:rsid w:val="00C23363"/>
    <w:rsid w:val="00C234EB"/>
    <w:rsid w:val="00C234EF"/>
    <w:rsid w:val="00C2367D"/>
    <w:rsid w:val="00C236E1"/>
    <w:rsid w:val="00C237E9"/>
    <w:rsid w:val="00C239B3"/>
    <w:rsid w:val="00C23B28"/>
    <w:rsid w:val="00C23CCA"/>
    <w:rsid w:val="00C23E06"/>
    <w:rsid w:val="00C23E53"/>
    <w:rsid w:val="00C24044"/>
    <w:rsid w:val="00C24065"/>
    <w:rsid w:val="00C2449E"/>
    <w:rsid w:val="00C24648"/>
    <w:rsid w:val="00C24738"/>
    <w:rsid w:val="00C2474A"/>
    <w:rsid w:val="00C247CC"/>
    <w:rsid w:val="00C2483B"/>
    <w:rsid w:val="00C24877"/>
    <w:rsid w:val="00C24BC6"/>
    <w:rsid w:val="00C24CAE"/>
    <w:rsid w:val="00C24CDC"/>
    <w:rsid w:val="00C24D6F"/>
    <w:rsid w:val="00C24DD1"/>
    <w:rsid w:val="00C24FDA"/>
    <w:rsid w:val="00C25113"/>
    <w:rsid w:val="00C25192"/>
    <w:rsid w:val="00C25327"/>
    <w:rsid w:val="00C25329"/>
    <w:rsid w:val="00C25488"/>
    <w:rsid w:val="00C258C8"/>
    <w:rsid w:val="00C25AD4"/>
    <w:rsid w:val="00C25B0F"/>
    <w:rsid w:val="00C25D89"/>
    <w:rsid w:val="00C25E98"/>
    <w:rsid w:val="00C264B0"/>
    <w:rsid w:val="00C26662"/>
    <w:rsid w:val="00C267A0"/>
    <w:rsid w:val="00C26865"/>
    <w:rsid w:val="00C268AD"/>
    <w:rsid w:val="00C26981"/>
    <w:rsid w:val="00C269A5"/>
    <w:rsid w:val="00C26C28"/>
    <w:rsid w:val="00C26CAB"/>
    <w:rsid w:val="00C27186"/>
    <w:rsid w:val="00C27279"/>
    <w:rsid w:val="00C27347"/>
    <w:rsid w:val="00C2735F"/>
    <w:rsid w:val="00C274B2"/>
    <w:rsid w:val="00C2759A"/>
    <w:rsid w:val="00C276F1"/>
    <w:rsid w:val="00C277C0"/>
    <w:rsid w:val="00C27866"/>
    <w:rsid w:val="00C27937"/>
    <w:rsid w:val="00C2799A"/>
    <w:rsid w:val="00C27ADF"/>
    <w:rsid w:val="00C27B1B"/>
    <w:rsid w:val="00C27C0E"/>
    <w:rsid w:val="00C27C26"/>
    <w:rsid w:val="00C27DF8"/>
    <w:rsid w:val="00C27E18"/>
    <w:rsid w:val="00C30029"/>
    <w:rsid w:val="00C3015A"/>
    <w:rsid w:val="00C30207"/>
    <w:rsid w:val="00C30327"/>
    <w:rsid w:val="00C3041B"/>
    <w:rsid w:val="00C3045C"/>
    <w:rsid w:val="00C30707"/>
    <w:rsid w:val="00C3074A"/>
    <w:rsid w:val="00C3089A"/>
    <w:rsid w:val="00C3094F"/>
    <w:rsid w:val="00C30A04"/>
    <w:rsid w:val="00C30AFA"/>
    <w:rsid w:val="00C30E1D"/>
    <w:rsid w:val="00C30E3D"/>
    <w:rsid w:val="00C30FA0"/>
    <w:rsid w:val="00C31031"/>
    <w:rsid w:val="00C310A7"/>
    <w:rsid w:val="00C310DE"/>
    <w:rsid w:val="00C3113F"/>
    <w:rsid w:val="00C31337"/>
    <w:rsid w:val="00C31435"/>
    <w:rsid w:val="00C316FA"/>
    <w:rsid w:val="00C31728"/>
    <w:rsid w:val="00C318F9"/>
    <w:rsid w:val="00C3199C"/>
    <w:rsid w:val="00C319DA"/>
    <w:rsid w:val="00C31B19"/>
    <w:rsid w:val="00C31C35"/>
    <w:rsid w:val="00C31D99"/>
    <w:rsid w:val="00C32025"/>
    <w:rsid w:val="00C320CF"/>
    <w:rsid w:val="00C32224"/>
    <w:rsid w:val="00C323A9"/>
    <w:rsid w:val="00C3256B"/>
    <w:rsid w:val="00C325E2"/>
    <w:rsid w:val="00C3264B"/>
    <w:rsid w:val="00C32686"/>
    <w:rsid w:val="00C32783"/>
    <w:rsid w:val="00C327B6"/>
    <w:rsid w:val="00C32981"/>
    <w:rsid w:val="00C32AAC"/>
    <w:rsid w:val="00C32B93"/>
    <w:rsid w:val="00C32D29"/>
    <w:rsid w:val="00C32D93"/>
    <w:rsid w:val="00C32E8B"/>
    <w:rsid w:val="00C32F85"/>
    <w:rsid w:val="00C3319B"/>
    <w:rsid w:val="00C332A7"/>
    <w:rsid w:val="00C33316"/>
    <w:rsid w:val="00C33496"/>
    <w:rsid w:val="00C335EC"/>
    <w:rsid w:val="00C338CE"/>
    <w:rsid w:val="00C338E0"/>
    <w:rsid w:val="00C33A81"/>
    <w:rsid w:val="00C33D64"/>
    <w:rsid w:val="00C33F66"/>
    <w:rsid w:val="00C340B1"/>
    <w:rsid w:val="00C3414F"/>
    <w:rsid w:val="00C342D1"/>
    <w:rsid w:val="00C3438E"/>
    <w:rsid w:val="00C3439C"/>
    <w:rsid w:val="00C343C0"/>
    <w:rsid w:val="00C34435"/>
    <w:rsid w:val="00C34616"/>
    <w:rsid w:val="00C3461A"/>
    <w:rsid w:val="00C346B0"/>
    <w:rsid w:val="00C348C7"/>
    <w:rsid w:val="00C34901"/>
    <w:rsid w:val="00C3495C"/>
    <w:rsid w:val="00C34A03"/>
    <w:rsid w:val="00C34AD6"/>
    <w:rsid w:val="00C34B0D"/>
    <w:rsid w:val="00C34B32"/>
    <w:rsid w:val="00C34C80"/>
    <w:rsid w:val="00C34DB3"/>
    <w:rsid w:val="00C34DDC"/>
    <w:rsid w:val="00C35505"/>
    <w:rsid w:val="00C35514"/>
    <w:rsid w:val="00C3560D"/>
    <w:rsid w:val="00C35785"/>
    <w:rsid w:val="00C358F7"/>
    <w:rsid w:val="00C35B51"/>
    <w:rsid w:val="00C35CFA"/>
    <w:rsid w:val="00C35FC4"/>
    <w:rsid w:val="00C36251"/>
    <w:rsid w:val="00C36402"/>
    <w:rsid w:val="00C36436"/>
    <w:rsid w:val="00C36475"/>
    <w:rsid w:val="00C36606"/>
    <w:rsid w:val="00C36718"/>
    <w:rsid w:val="00C36821"/>
    <w:rsid w:val="00C368A9"/>
    <w:rsid w:val="00C36963"/>
    <w:rsid w:val="00C3696E"/>
    <w:rsid w:val="00C36A8A"/>
    <w:rsid w:val="00C36B3B"/>
    <w:rsid w:val="00C36DA5"/>
    <w:rsid w:val="00C36EA4"/>
    <w:rsid w:val="00C370E2"/>
    <w:rsid w:val="00C37210"/>
    <w:rsid w:val="00C37225"/>
    <w:rsid w:val="00C37362"/>
    <w:rsid w:val="00C37409"/>
    <w:rsid w:val="00C375FF"/>
    <w:rsid w:val="00C3763D"/>
    <w:rsid w:val="00C376B5"/>
    <w:rsid w:val="00C376FC"/>
    <w:rsid w:val="00C3776F"/>
    <w:rsid w:val="00C3781E"/>
    <w:rsid w:val="00C37899"/>
    <w:rsid w:val="00C37A3C"/>
    <w:rsid w:val="00C37C83"/>
    <w:rsid w:val="00C37D03"/>
    <w:rsid w:val="00C40266"/>
    <w:rsid w:val="00C4037D"/>
    <w:rsid w:val="00C404FF"/>
    <w:rsid w:val="00C40672"/>
    <w:rsid w:val="00C40694"/>
    <w:rsid w:val="00C40721"/>
    <w:rsid w:val="00C4075E"/>
    <w:rsid w:val="00C4097B"/>
    <w:rsid w:val="00C40A45"/>
    <w:rsid w:val="00C40AD9"/>
    <w:rsid w:val="00C40D34"/>
    <w:rsid w:val="00C40D3D"/>
    <w:rsid w:val="00C413A9"/>
    <w:rsid w:val="00C415A6"/>
    <w:rsid w:val="00C41655"/>
    <w:rsid w:val="00C41662"/>
    <w:rsid w:val="00C417EE"/>
    <w:rsid w:val="00C419AD"/>
    <w:rsid w:val="00C41AA3"/>
    <w:rsid w:val="00C41AF3"/>
    <w:rsid w:val="00C41C70"/>
    <w:rsid w:val="00C41C7C"/>
    <w:rsid w:val="00C41DF9"/>
    <w:rsid w:val="00C41E2D"/>
    <w:rsid w:val="00C41EA6"/>
    <w:rsid w:val="00C41F04"/>
    <w:rsid w:val="00C41F0E"/>
    <w:rsid w:val="00C4224E"/>
    <w:rsid w:val="00C422B2"/>
    <w:rsid w:val="00C422E8"/>
    <w:rsid w:val="00C4232A"/>
    <w:rsid w:val="00C423C6"/>
    <w:rsid w:val="00C425C2"/>
    <w:rsid w:val="00C42886"/>
    <w:rsid w:val="00C42891"/>
    <w:rsid w:val="00C428BD"/>
    <w:rsid w:val="00C428E1"/>
    <w:rsid w:val="00C42941"/>
    <w:rsid w:val="00C42946"/>
    <w:rsid w:val="00C42A7A"/>
    <w:rsid w:val="00C42AA4"/>
    <w:rsid w:val="00C42EA7"/>
    <w:rsid w:val="00C42F16"/>
    <w:rsid w:val="00C42F52"/>
    <w:rsid w:val="00C43058"/>
    <w:rsid w:val="00C433FD"/>
    <w:rsid w:val="00C4346C"/>
    <w:rsid w:val="00C43741"/>
    <w:rsid w:val="00C43856"/>
    <w:rsid w:val="00C43885"/>
    <w:rsid w:val="00C438D5"/>
    <w:rsid w:val="00C43C42"/>
    <w:rsid w:val="00C43DBD"/>
    <w:rsid w:val="00C43E7A"/>
    <w:rsid w:val="00C43FC5"/>
    <w:rsid w:val="00C440D8"/>
    <w:rsid w:val="00C44259"/>
    <w:rsid w:val="00C442FB"/>
    <w:rsid w:val="00C44392"/>
    <w:rsid w:val="00C44521"/>
    <w:rsid w:val="00C4452F"/>
    <w:rsid w:val="00C4483D"/>
    <w:rsid w:val="00C44BA7"/>
    <w:rsid w:val="00C44BEA"/>
    <w:rsid w:val="00C44E76"/>
    <w:rsid w:val="00C44EDF"/>
    <w:rsid w:val="00C44FA3"/>
    <w:rsid w:val="00C44FE4"/>
    <w:rsid w:val="00C45038"/>
    <w:rsid w:val="00C45072"/>
    <w:rsid w:val="00C45095"/>
    <w:rsid w:val="00C45259"/>
    <w:rsid w:val="00C45311"/>
    <w:rsid w:val="00C45399"/>
    <w:rsid w:val="00C454E9"/>
    <w:rsid w:val="00C455A4"/>
    <w:rsid w:val="00C45677"/>
    <w:rsid w:val="00C45709"/>
    <w:rsid w:val="00C457E3"/>
    <w:rsid w:val="00C45883"/>
    <w:rsid w:val="00C45A05"/>
    <w:rsid w:val="00C45CBC"/>
    <w:rsid w:val="00C45CDA"/>
    <w:rsid w:val="00C45D41"/>
    <w:rsid w:val="00C46000"/>
    <w:rsid w:val="00C460BF"/>
    <w:rsid w:val="00C462CA"/>
    <w:rsid w:val="00C4631E"/>
    <w:rsid w:val="00C4646A"/>
    <w:rsid w:val="00C4669C"/>
    <w:rsid w:val="00C466B9"/>
    <w:rsid w:val="00C46759"/>
    <w:rsid w:val="00C4677B"/>
    <w:rsid w:val="00C46B64"/>
    <w:rsid w:val="00C46BE4"/>
    <w:rsid w:val="00C47044"/>
    <w:rsid w:val="00C4704D"/>
    <w:rsid w:val="00C47066"/>
    <w:rsid w:val="00C4717D"/>
    <w:rsid w:val="00C47203"/>
    <w:rsid w:val="00C472E8"/>
    <w:rsid w:val="00C47485"/>
    <w:rsid w:val="00C474FE"/>
    <w:rsid w:val="00C478E7"/>
    <w:rsid w:val="00C47A39"/>
    <w:rsid w:val="00C47CA1"/>
    <w:rsid w:val="00C47CD1"/>
    <w:rsid w:val="00C47DB9"/>
    <w:rsid w:val="00C47DD5"/>
    <w:rsid w:val="00C47F49"/>
    <w:rsid w:val="00C47F84"/>
    <w:rsid w:val="00C5012A"/>
    <w:rsid w:val="00C50154"/>
    <w:rsid w:val="00C501FC"/>
    <w:rsid w:val="00C50420"/>
    <w:rsid w:val="00C504D2"/>
    <w:rsid w:val="00C50506"/>
    <w:rsid w:val="00C507B2"/>
    <w:rsid w:val="00C50818"/>
    <w:rsid w:val="00C50837"/>
    <w:rsid w:val="00C5097E"/>
    <w:rsid w:val="00C509F2"/>
    <w:rsid w:val="00C50A94"/>
    <w:rsid w:val="00C50AF6"/>
    <w:rsid w:val="00C50BCA"/>
    <w:rsid w:val="00C50C1A"/>
    <w:rsid w:val="00C50C99"/>
    <w:rsid w:val="00C50D24"/>
    <w:rsid w:val="00C50E93"/>
    <w:rsid w:val="00C50FAC"/>
    <w:rsid w:val="00C5101D"/>
    <w:rsid w:val="00C51156"/>
    <w:rsid w:val="00C511C9"/>
    <w:rsid w:val="00C511D0"/>
    <w:rsid w:val="00C5130B"/>
    <w:rsid w:val="00C51538"/>
    <w:rsid w:val="00C515A8"/>
    <w:rsid w:val="00C515EC"/>
    <w:rsid w:val="00C518EC"/>
    <w:rsid w:val="00C519FF"/>
    <w:rsid w:val="00C51A1E"/>
    <w:rsid w:val="00C51CA4"/>
    <w:rsid w:val="00C51CD2"/>
    <w:rsid w:val="00C51D5B"/>
    <w:rsid w:val="00C51D7C"/>
    <w:rsid w:val="00C51D91"/>
    <w:rsid w:val="00C51EFC"/>
    <w:rsid w:val="00C52089"/>
    <w:rsid w:val="00C52091"/>
    <w:rsid w:val="00C52255"/>
    <w:rsid w:val="00C525A8"/>
    <w:rsid w:val="00C5286A"/>
    <w:rsid w:val="00C52989"/>
    <w:rsid w:val="00C52B3D"/>
    <w:rsid w:val="00C52B7B"/>
    <w:rsid w:val="00C52BCA"/>
    <w:rsid w:val="00C52C98"/>
    <w:rsid w:val="00C52EA6"/>
    <w:rsid w:val="00C53199"/>
    <w:rsid w:val="00C531FD"/>
    <w:rsid w:val="00C53228"/>
    <w:rsid w:val="00C53236"/>
    <w:rsid w:val="00C532F1"/>
    <w:rsid w:val="00C533C4"/>
    <w:rsid w:val="00C53448"/>
    <w:rsid w:val="00C535A0"/>
    <w:rsid w:val="00C537D1"/>
    <w:rsid w:val="00C5393F"/>
    <w:rsid w:val="00C539BC"/>
    <w:rsid w:val="00C53A77"/>
    <w:rsid w:val="00C53ABB"/>
    <w:rsid w:val="00C53AE6"/>
    <w:rsid w:val="00C53BB4"/>
    <w:rsid w:val="00C53F64"/>
    <w:rsid w:val="00C53FE0"/>
    <w:rsid w:val="00C54349"/>
    <w:rsid w:val="00C545E1"/>
    <w:rsid w:val="00C54645"/>
    <w:rsid w:val="00C54684"/>
    <w:rsid w:val="00C5478F"/>
    <w:rsid w:val="00C547D2"/>
    <w:rsid w:val="00C547D5"/>
    <w:rsid w:val="00C548CD"/>
    <w:rsid w:val="00C54919"/>
    <w:rsid w:val="00C5491B"/>
    <w:rsid w:val="00C54AE5"/>
    <w:rsid w:val="00C54DB8"/>
    <w:rsid w:val="00C54DC2"/>
    <w:rsid w:val="00C54DE7"/>
    <w:rsid w:val="00C54DF5"/>
    <w:rsid w:val="00C54F11"/>
    <w:rsid w:val="00C54FD5"/>
    <w:rsid w:val="00C552DB"/>
    <w:rsid w:val="00C55519"/>
    <w:rsid w:val="00C5585A"/>
    <w:rsid w:val="00C558C9"/>
    <w:rsid w:val="00C55A16"/>
    <w:rsid w:val="00C55A50"/>
    <w:rsid w:val="00C55A70"/>
    <w:rsid w:val="00C55A8D"/>
    <w:rsid w:val="00C55ABC"/>
    <w:rsid w:val="00C55EF0"/>
    <w:rsid w:val="00C55F6E"/>
    <w:rsid w:val="00C56317"/>
    <w:rsid w:val="00C56363"/>
    <w:rsid w:val="00C563C2"/>
    <w:rsid w:val="00C563FA"/>
    <w:rsid w:val="00C5655F"/>
    <w:rsid w:val="00C566BB"/>
    <w:rsid w:val="00C56847"/>
    <w:rsid w:val="00C56848"/>
    <w:rsid w:val="00C56999"/>
    <w:rsid w:val="00C56A05"/>
    <w:rsid w:val="00C56BCB"/>
    <w:rsid w:val="00C56C12"/>
    <w:rsid w:val="00C56ECE"/>
    <w:rsid w:val="00C56ED0"/>
    <w:rsid w:val="00C56F30"/>
    <w:rsid w:val="00C5704A"/>
    <w:rsid w:val="00C57070"/>
    <w:rsid w:val="00C571C6"/>
    <w:rsid w:val="00C57453"/>
    <w:rsid w:val="00C576A3"/>
    <w:rsid w:val="00C57844"/>
    <w:rsid w:val="00C578D9"/>
    <w:rsid w:val="00C57A7F"/>
    <w:rsid w:val="00C57B83"/>
    <w:rsid w:val="00C57CDD"/>
    <w:rsid w:val="00C600A0"/>
    <w:rsid w:val="00C601F9"/>
    <w:rsid w:val="00C6037E"/>
    <w:rsid w:val="00C603C2"/>
    <w:rsid w:val="00C60421"/>
    <w:rsid w:val="00C60527"/>
    <w:rsid w:val="00C605BA"/>
    <w:rsid w:val="00C6076F"/>
    <w:rsid w:val="00C608AC"/>
    <w:rsid w:val="00C608C4"/>
    <w:rsid w:val="00C6094A"/>
    <w:rsid w:val="00C60A9B"/>
    <w:rsid w:val="00C60AF0"/>
    <w:rsid w:val="00C60B9F"/>
    <w:rsid w:val="00C60D10"/>
    <w:rsid w:val="00C60E80"/>
    <w:rsid w:val="00C60F8A"/>
    <w:rsid w:val="00C61019"/>
    <w:rsid w:val="00C61071"/>
    <w:rsid w:val="00C610D9"/>
    <w:rsid w:val="00C6111A"/>
    <w:rsid w:val="00C61185"/>
    <w:rsid w:val="00C61488"/>
    <w:rsid w:val="00C614C8"/>
    <w:rsid w:val="00C615FF"/>
    <w:rsid w:val="00C6179F"/>
    <w:rsid w:val="00C61832"/>
    <w:rsid w:val="00C61946"/>
    <w:rsid w:val="00C61A24"/>
    <w:rsid w:val="00C61D47"/>
    <w:rsid w:val="00C62196"/>
    <w:rsid w:val="00C6221C"/>
    <w:rsid w:val="00C623A2"/>
    <w:rsid w:val="00C623CE"/>
    <w:rsid w:val="00C62626"/>
    <w:rsid w:val="00C626B2"/>
    <w:rsid w:val="00C6280D"/>
    <w:rsid w:val="00C628AF"/>
    <w:rsid w:val="00C62BBF"/>
    <w:rsid w:val="00C62C7C"/>
    <w:rsid w:val="00C630B8"/>
    <w:rsid w:val="00C630C9"/>
    <w:rsid w:val="00C630F8"/>
    <w:rsid w:val="00C6313B"/>
    <w:rsid w:val="00C63378"/>
    <w:rsid w:val="00C634CF"/>
    <w:rsid w:val="00C63610"/>
    <w:rsid w:val="00C637B5"/>
    <w:rsid w:val="00C637ED"/>
    <w:rsid w:val="00C63A2F"/>
    <w:rsid w:val="00C63B79"/>
    <w:rsid w:val="00C63BD2"/>
    <w:rsid w:val="00C63BD3"/>
    <w:rsid w:val="00C63C8A"/>
    <w:rsid w:val="00C63C9D"/>
    <w:rsid w:val="00C63ED0"/>
    <w:rsid w:val="00C63F10"/>
    <w:rsid w:val="00C6400E"/>
    <w:rsid w:val="00C64048"/>
    <w:rsid w:val="00C64251"/>
    <w:rsid w:val="00C64337"/>
    <w:rsid w:val="00C645D2"/>
    <w:rsid w:val="00C64835"/>
    <w:rsid w:val="00C648D2"/>
    <w:rsid w:val="00C64BEA"/>
    <w:rsid w:val="00C64D28"/>
    <w:rsid w:val="00C64E9F"/>
    <w:rsid w:val="00C64ECC"/>
    <w:rsid w:val="00C64F6D"/>
    <w:rsid w:val="00C65159"/>
    <w:rsid w:val="00C65180"/>
    <w:rsid w:val="00C6523A"/>
    <w:rsid w:val="00C652E2"/>
    <w:rsid w:val="00C6538E"/>
    <w:rsid w:val="00C6551D"/>
    <w:rsid w:val="00C6572D"/>
    <w:rsid w:val="00C659A1"/>
    <w:rsid w:val="00C659F9"/>
    <w:rsid w:val="00C65A3A"/>
    <w:rsid w:val="00C65A44"/>
    <w:rsid w:val="00C65A73"/>
    <w:rsid w:val="00C65B3C"/>
    <w:rsid w:val="00C65D8F"/>
    <w:rsid w:val="00C65E09"/>
    <w:rsid w:val="00C65F19"/>
    <w:rsid w:val="00C66075"/>
    <w:rsid w:val="00C6635F"/>
    <w:rsid w:val="00C66497"/>
    <w:rsid w:val="00C66563"/>
    <w:rsid w:val="00C666EF"/>
    <w:rsid w:val="00C66757"/>
    <w:rsid w:val="00C66842"/>
    <w:rsid w:val="00C668ED"/>
    <w:rsid w:val="00C66951"/>
    <w:rsid w:val="00C66955"/>
    <w:rsid w:val="00C669EE"/>
    <w:rsid w:val="00C66C12"/>
    <w:rsid w:val="00C66D3A"/>
    <w:rsid w:val="00C66D87"/>
    <w:rsid w:val="00C66EFB"/>
    <w:rsid w:val="00C6737C"/>
    <w:rsid w:val="00C6741D"/>
    <w:rsid w:val="00C6744A"/>
    <w:rsid w:val="00C6755D"/>
    <w:rsid w:val="00C675AE"/>
    <w:rsid w:val="00C676FB"/>
    <w:rsid w:val="00C67796"/>
    <w:rsid w:val="00C6785B"/>
    <w:rsid w:val="00C679CE"/>
    <w:rsid w:val="00C67A06"/>
    <w:rsid w:val="00C67A80"/>
    <w:rsid w:val="00C67BC6"/>
    <w:rsid w:val="00C67C5C"/>
    <w:rsid w:val="00C67E2C"/>
    <w:rsid w:val="00C67E4A"/>
    <w:rsid w:val="00C67E59"/>
    <w:rsid w:val="00C67F29"/>
    <w:rsid w:val="00C70072"/>
    <w:rsid w:val="00C7017D"/>
    <w:rsid w:val="00C7028A"/>
    <w:rsid w:val="00C702B1"/>
    <w:rsid w:val="00C705F4"/>
    <w:rsid w:val="00C70613"/>
    <w:rsid w:val="00C7078F"/>
    <w:rsid w:val="00C70A28"/>
    <w:rsid w:val="00C70AF0"/>
    <w:rsid w:val="00C70B91"/>
    <w:rsid w:val="00C70D6B"/>
    <w:rsid w:val="00C710AD"/>
    <w:rsid w:val="00C710E6"/>
    <w:rsid w:val="00C71416"/>
    <w:rsid w:val="00C715A8"/>
    <w:rsid w:val="00C716F8"/>
    <w:rsid w:val="00C718E9"/>
    <w:rsid w:val="00C71943"/>
    <w:rsid w:val="00C71966"/>
    <w:rsid w:val="00C71A74"/>
    <w:rsid w:val="00C71B92"/>
    <w:rsid w:val="00C71DDA"/>
    <w:rsid w:val="00C72317"/>
    <w:rsid w:val="00C724AC"/>
    <w:rsid w:val="00C72837"/>
    <w:rsid w:val="00C7285A"/>
    <w:rsid w:val="00C72AD6"/>
    <w:rsid w:val="00C730EF"/>
    <w:rsid w:val="00C7319D"/>
    <w:rsid w:val="00C731EB"/>
    <w:rsid w:val="00C732EB"/>
    <w:rsid w:val="00C7341A"/>
    <w:rsid w:val="00C73717"/>
    <w:rsid w:val="00C7374F"/>
    <w:rsid w:val="00C737AD"/>
    <w:rsid w:val="00C738F5"/>
    <w:rsid w:val="00C73AA7"/>
    <w:rsid w:val="00C73EDF"/>
    <w:rsid w:val="00C73F29"/>
    <w:rsid w:val="00C73F4F"/>
    <w:rsid w:val="00C73FA5"/>
    <w:rsid w:val="00C7401E"/>
    <w:rsid w:val="00C74156"/>
    <w:rsid w:val="00C742AB"/>
    <w:rsid w:val="00C74308"/>
    <w:rsid w:val="00C743D4"/>
    <w:rsid w:val="00C7455D"/>
    <w:rsid w:val="00C74673"/>
    <w:rsid w:val="00C74799"/>
    <w:rsid w:val="00C74BD1"/>
    <w:rsid w:val="00C74C28"/>
    <w:rsid w:val="00C74E19"/>
    <w:rsid w:val="00C74F85"/>
    <w:rsid w:val="00C7502B"/>
    <w:rsid w:val="00C7513A"/>
    <w:rsid w:val="00C7514D"/>
    <w:rsid w:val="00C75201"/>
    <w:rsid w:val="00C7544F"/>
    <w:rsid w:val="00C75584"/>
    <w:rsid w:val="00C755CA"/>
    <w:rsid w:val="00C75625"/>
    <w:rsid w:val="00C758D2"/>
    <w:rsid w:val="00C7596D"/>
    <w:rsid w:val="00C75AD1"/>
    <w:rsid w:val="00C75C2A"/>
    <w:rsid w:val="00C75D50"/>
    <w:rsid w:val="00C75D68"/>
    <w:rsid w:val="00C76152"/>
    <w:rsid w:val="00C76194"/>
    <w:rsid w:val="00C762F3"/>
    <w:rsid w:val="00C76387"/>
    <w:rsid w:val="00C764AC"/>
    <w:rsid w:val="00C765D7"/>
    <w:rsid w:val="00C76748"/>
    <w:rsid w:val="00C7685C"/>
    <w:rsid w:val="00C76885"/>
    <w:rsid w:val="00C768A3"/>
    <w:rsid w:val="00C76ADE"/>
    <w:rsid w:val="00C76DF8"/>
    <w:rsid w:val="00C76E79"/>
    <w:rsid w:val="00C77018"/>
    <w:rsid w:val="00C7703C"/>
    <w:rsid w:val="00C7710A"/>
    <w:rsid w:val="00C771CA"/>
    <w:rsid w:val="00C7735D"/>
    <w:rsid w:val="00C7756B"/>
    <w:rsid w:val="00C77586"/>
    <w:rsid w:val="00C7761D"/>
    <w:rsid w:val="00C779F9"/>
    <w:rsid w:val="00C77A48"/>
    <w:rsid w:val="00C77A83"/>
    <w:rsid w:val="00C77B4C"/>
    <w:rsid w:val="00C77BAB"/>
    <w:rsid w:val="00C77D3C"/>
    <w:rsid w:val="00C77EDF"/>
    <w:rsid w:val="00C77F43"/>
    <w:rsid w:val="00C77F65"/>
    <w:rsid w:val="00C80121"/>
    <w:rsid w:val="00C8029D"/>
    <w:rsid w:val="00C802F4"/>
    <w:rsid w:val="00C804C1"/>
    <w:rsid w:val="00C80508"/>
    <w:rsid w:val="00C805F0"/>
    <w:rsid w:val="00C80615"/>
    <w:rsid w:val="00C8082C"/>
    <w:rsid w:val="00C80889"/>
    <w:rsid w:val="00C80FB5"/>
    <w:rsid w:val="00C8127F"/>
    <w:rsid w:val="00C812C3"/>
    <w:rsid w:val="00C812F8"/>
    <w:rsid w:val="00C814F2"/>
    <w:rsid w:val="00C8153F"/>
    <w:rsid w:val="00C815F6"/>
    <w:rsid w:val="00C81788"/>
    <w:rsid w:val="00C817B6"/>
    <w:rsid w:val="00C81830"/>
    <w:rsid w:val="00C81831"/>
    <w:rsid w:val="00C819D3"/>
    <w:rsid w:val="00C81BAA"/>
    <w:rsid w:val="00C81C01"/>
    <w:rsid w:val="00C81CAC"/>
    <w:rsid w:val="00C81CC4"/>
    <w:rsid w:val="00C81E24"/>
    <w:rsid w:val="00C81F7D"/>
    <w:rsid w:val="00C82188"/>
    <w:rsid w:val="00C827B5"/>
    <w:rsid w:val="00C828FF"/>
    <w:rsid w:val="00C82BF8"/>
    <w:rsid w:val="00C82F6D"/>
    <w:rsid w:val="00C82FA5"/>
    <w:rsid w:val="00C83168"/>
    <w:rsid w:val="00C832C9"/>
    <w:rsid w:val="00C8337F"/>
    <w:rsid w:val="00C833E9"/>
    <w:rsid w:val="00C8352E"/>
    <w:rsid w:val="00C83551"/>
    <w:rsid w:val="00C83588"/>
    <w:rsid w:val="00C836BF"/>
    <w:rsid w:val="00C836F7"/>
    <w:rsid w:val="00C83980"/>
    <w:rsid w:val="00C839B1"/>
    <w:rsid w:val="00C83A4F"/>
    <w:rsid w:val="00C83B25"/>
    <w:rsid w:val="00C83C15"/>
    <w:rsid w:val="00C83C88"/>
    <w:rsid w:val="00C83EA4"/>
    <w:rsid w:val="00C83ED6"/>
    <w:rsid w:val="00C83EF2"/>
    <w:rsid w:val="00C83F53"/>
    <w:rsid w:val="00C84237"/>
    <w:rsid w:val="00C8423D"/>
    <w:rsid w:val="00C8426B"/>
    <w:rsid w:val="00C84372"/>
    <w:rsid w:val="00C84514"/>
    <w:rsid w:val="00C846D9"/>
    <w:rsid w:val="00C847C0"/>
    <w:rsid w:val="00C84838"/>
    <w:rsid w:val="00C848EE"/>
    <w:rsid w:val="00C84AFC"/>
    <w:rsid w:val="00C84B2A"/>
    <w:rsid w:val="00C84B39"/>
    <w:rsid w:val="00C84D8B"/>
    <w:rsid w:val="00C84E9C"/>
    <w:rsid w:val="00C84EDD"/>
    <w:rsid w:val="00C84F37"/>
    <w:rsid w:val="00C84F65"/>
    <w:rsid w:val="00C854DD"/>
    <w:rsid w:val="00C8555C"/>
    <w:rsid w:val="00C85A37"/>
    <w:rsid w:val="00C85AD1"/>
    <w:rsid w:val="00C85B14"/>
    <w:rsid w:val="00C85C90"/>
    <w:rsid w:val="00C85D48"/>
    <w:rsid w:val="00C85D8B"/>
    <w:rsid w:val="00C85DC5"/>
    <w:rsid w:val="00C85DDD"/>
    <w:rsid w:val="00C85EAA"/>
    <w:rsid w:val="00C85FAA"/>
    <w:rsid w:val="00C86039"/>
    <w:rsid w:val="00C860C7"/>
    <w:rsid w:val="00C861C5"/>
    <w:rsid w:val="00C86269"/>
    <w:rsid w:val="00C8626B"/>
    <w:rsid w:val="00C86434"/>
    <w:rsid w:val="00C864F5"/>
    <w:rsid w:val="00C86581"/>
    <w:rsid w:val="00C86656"/>
    <w:rsid w:val="00C8679C"/>
    <w:rsid w:val="00C8683B"/>
    <w:rsid w:val="00C86855"/>
    <w:rsid w:val="00C86869"/>
    <w:rsid w:val="00C8686A"/>
    <w:rsid w:val="00C869C5"/>
    <w:rsid w:val="00C86B02"/>
    <w:rsid w:val="00C86B8A"/>
    <w:rsid w:val="00C86EB9"/>
    <w:rsid w:val="00C86F08"/>
    <w:rsid w:val="00C86F7D"/>
    <w:rsid w:val="00C87076"/>
    <w:rsid w:val="00C870B0"/>
    <w:rsid w:val="00C87135"/>
    <w:rsid w:val="00C871DE"/>
    <w:rsid w:val="00C87201"/>
    <w:rsid w:val="00C872C8"/>
    <w:rsid w:val="00C87314"/>
    <w:rsid w:val="00C8737A"/>
    <w:rsid w:val="00C87521"/>
    <w:rsid w:val="00C876D3"/>
    <w:rsid w:val="00C8778E"/>
    <w:rsid w:val="00C87925"/>
    <w:rsid w:val="00C87A15"/>
    <w:rsid w:val="00C87B89"/>
    <w:rsid w:val="00C87D99"/>
    <w:rsid w:val="00C87DE4"/>
    <w:rsid w:val="00C87E2A"/>
    <w:rsid w:val="00C90014"/>
    <w:rsid w:val="00C9003A"/>
    <w:rsid w:val="00C90175"/>
    <w:rsid w:val="00C90195"/>
    <w:rsid w:val="00C905FC"/>
    <w:rsid w:val="00C9076A"/>
    <w:rsid w:val="00C9084E"/>
    <w:rsid w:val="00C90A62"/>
    <w:rsid w:val="00C90BD3"/>
    <w:rsid w:val="00C90E53"/>
    <w:rsid w:val="00C911CF"/>
    <w:rsid w:val="00C9126B"/>
    <w:rsid w:val="00C91278"/>
    <w:rsid w:val="00C914F1"/>
    <w:rsid w:val="00C9175A"/>
    <w:rsid w:val="00C91782"/>
    <w:rsid w:val="00C9199E"/>
    <w:rsid w:val="00C91B51"/>
    <w:rsid w:val="00C91CA4"/>
    <w:rsid w:val="00C91F87"/>
    <w:rsid w:val="00C91FB2"/>
    <w:rsid w:val="00C92007"/>
    <w:rsid w:val="00C92021"/>
    <w:rsid w:val="00C9215D"/>
    <w:rsid w:val="00C92188"/>
    <w:rsid w:val="00C9240A"/>
    <w:rsid w:val="00C92555"/>
    <w:rsid w:val="00C9270F"/>
    <w:rsid w:val="00C92735"/>
    <w:rsid w:val="00C92774"/>
    <w:rsid w:val="00C927E7"/>
    <w:rsid w:val="00C92AB9"/>
    <w:rsid w:val="00C93290"/>
    <w:rsid w:val="00C932D3"/>
    <w:rsid w:val="00C934A6"/>
    <w:rsid w:val="00C936F0"/>
    <w:rsid w:val="00C9389A"/>
    <w:rsid w:val="00C93ADD"/>
    <w:rsid w:val="00C93BBB"/>
    <w:rsid w:val="00C93C52"/>
    <w:rsid w:val="00C93D5E"/>
    <w:rsid w:val="00C93E6D"/>
    <w:rsid w:val="00C93EB4"/>
    <w:rsid w:val="00C93ED6"/>
    <w:rsid w:val="00C93F80"/>
    <w:rsid w:val="00C93FE3"/>
    <w:rsid w:val="00C9401B"/>
    <w:rsid w:val="00C941D0"/>
    <w:rsid w:val="00C94301"/>
    <w:rsid w:val="00C94335"/>
    <w:rsid w:val="00C94474"/>
    <w:rsid w:val="00C945D4"/>
    <w:rsid w:val="00C9460D"/>
    <w:rsid w:val="00C946D5"/>
    <w:rsid w:val="00C94857"/>
    <w:rsid w:val="00C94999"/>
    <w:rsid w:val="00C94AAE"/>
    <w:rsid w:val="00C94C27"/>
    <w:rsid w:val="00C94D5E"/>
    <w:rsid w:val="00C94DAB"/>
    <w:rsid w:val="00C94E24"/>
    <w:rsid w:val="00C95027"/>
    <w:rsid w:val="00C9520D"/>
    <w:rsid w:val="00C954BC"/>
    <w:rsid w:val="00C954DF"/>
    <w:rsid w:val="00C95576"/>
    <w:rsid w:val="00C95794"/>
    <w:rsid w:val="00C957F2"/>
    <w:rsid w:val="00C958B1"/>
    <w:rsid w:val="00C95A1E"/>
    <w:rsid w:val="00C95C12"/>
    <w:rsid w:val="00C95C4C"/>
    <w:rsid w:val="00C95C5E"/>
    <w:rsid w:val="00C95DEF"/>
    <w:rsid w:val="00C95E4B"/>
    <w:rsid w:val="00C95E5F"/>
    <w:rsid w:val="00C95E62"/>
    <w:rsid w:val="00C95EE9"/>
    <w:rsid w:val="00C95F9D"/>
    <w:rsid w:val="00C9602E"/>
    <w:rsid w:val="00C96066"/>
    <w:rsid w:val="00C96135"/>
    <w:rsid w:val="00C96156"/>
    <w:rsid w:val="00C9621D"/>
    <w:rsid w:val="00C964D7"/>
    <w:rsid w:val="00C9656F"/>
    <w:rsid w:val="00C96797"/>
    <w:rsid w:val="00C967E1"/>
    <w:rsid w:val="00C96901"/>
    <w:rsid w:val="00C96915"/>
    <w:rsid w:val="00C96B75"/>
    <w:rsid w:val="00C96D59"/>
    <w:rsid w:val="00C96EAE"/>
    <w:rsid w:val="00C96EF7"/>
    <w:rsid w:val="00C96F37"/>
    <w:rsid w:val="00C96F98"/>
    <w:rsid w:val="00C97120"/>
    <w:rsid w:val="00C97171"/>
    <w:rsid w:val="00C973B3"/>
    <w:rsid w:val="00C974A8"/>
    <w:rsid w:val="00C9755C"/>
    <w:rsid w:val="00C9775B"/>
    <w:rsid w:val="00C9786F"/>
    <w:rsid w:val="00C978D1"/>
    <w:rsid w:val="00C97995"/>
    <w:rsid w:val="00C97A35"/>
    <w:rsid w:val="00C97ACB"/>
    <w:rsid w:val="00C97AD6"/>
    <w:rsid w:val="00C97B3C"/>
    <w:rsid w:val="00C97D04"/>
    <w:rsid w:val="00C97D50"/>
    <w:rsid w:val="00C97FE2"/>
    <w:rsid w:val="00CA0042"/>
    <w:rsid w:val="00CA008E"/>
    <w:rsid w:val="00CA03AA"/>
    <w:rsid w:val="00CA03FB"/>
    <w:rsid w:val="00CA0402"/>
    <w:rsid w:val="00CA0523"/>
    <w:rsid w:val="00CA0552"/>
    <w:rsid w:val="00CA06F5"/>
    <w:rsid w:val="00CA06FB"/>
    <w:rsid w:val="00CA091C"/>
    <w:rsid w:val="00CA0B81"/>
    <w:rsid w:val="00CA0D86"/>
    <w:rsid w:val="00CA0DB7"/>
    <w:rsid w:val="00CA0E2F"/>
    <w:rsid w:val="00CA0EF0"/>
    <w:rsid w:val="00CA12AD"/>
    <w:rsid w:val="00CA12DD"/>
    <w:rsid w:val="00CA1320"/>
    <w:rsid w:val="00CA13F5"/>
    <w:rsid w:val="00CA142C"/>
    <w:rsid w:val="00CA16E2"/>
    <w:rsid w:val="00CA1801"/>
    <w:rsid w:val="00CA1820"/>
    <w:rsid w:val="00CA18BE"/>
    <w:rsid w:val="00CA1A19"/>
    <w:rsid w:val="00CA1B4D"/>
    <w:rsid w:val="00CA1B6B"/>
    <w:rsid w:val="00CA1D27"/>
    <w:rsid w:val="00CA1DE3"/>
    <w:rsid w:val="00CA20FD"/>
    <w:rsid w:val="00CA2170"/>
    <w:rsid w:val="00CA217C"/>
    <w:rsid w:val="00CA25B5"/>
    <w:rsid w:val="00CA25E3"/>
    <w:rsid w:val="00CA2600"/>
    <w:rsid w:val="00CA264D"/>
    <w:rsid w:val="00CA283A"/>
    <w:rsid w:val="00CA2846"/>
    <w:rsid w:val="00CA2C4B"/>
    <w:rsid w:val="00CA2D9F"/>
    <w:rsid w:val="00CA2E65"/>
    <w:rsid w:val="00CA2E97"/>
    <w:rsid w:val="00CA30F9"/>
    <w:rsid w:val="00CA3104"/>
    <w:rsid w:val="00CA314C"/>
    <w:rsid w:val="00CA327C"/>
    <w:rsid w:val="00CA37B3"/>
    <w:rsid w:val="00CA3917"/>
    <w:rsid w:val="00CA396A"/>
    <w:rsid w:val="00CA3ABA"/>
    <w:rsid w:val="00CA3C4D"/>
    <w:rsid w:val="00CA3C8C"/>
    <w:rsid w:val="00CA3F6D"/>
    <w:rsid w:val="00CA40B7"/>
    <w:rsid w:val="00CA40C3"/>
    <w:rsid w:val="00CA4167"/>
    <w:rsid w:val="00CA43CE"/>
    <w:rsid w:val="00CA4424"/>
    <w:rsid w:val="00CA47BE"/>
    <w:rsid w:val="00CA49C2"/>
    <w:rsid w:val="00CA4D5C"/>
    <w:rsid w:val="00CA4F71"/>
    <w:rsid w:val="00CA4FD3"/>
    <w:rsid w:val="00CA5022"/>
    <w:rsid w:val="00CA5073"/>
    <w:rsid w:val="00CA5174"/>
    <w:rsid w:val="00CA5215"/>
    <w:rsid w:val="00CA5557"/>
    <w:rsid w:val="00CA555E"/>
    <w:rsid w:val="00CA558C"/>
    <w:rsid w:val="00CA55C2"/>
    <w:rsid w:val="00CA55C8"/>
    <w:rsid w:val="00CA5C46"/>
    <w:rsid w:val="00CA5D1D"/>
    <w:rsid w:val="00CA5D6E"/>
    <w:rsid w:val="00CA5FE9"/>
    <w:rsid w:val="00CA60AD"/>
    <w:rsid w:val="00CA611A"/>
    <w:rsid w:val="00CA6188"/>
    <w:rsid w:val="00CA61B3"/>
    <w:rsid w:val="00CA6237"/>
    <w:rsid w:val="00CA632D"/>
    <w:rsid w:val="00CA637C"/>
    <w:rsid w:val="00CA63BE"/>
    <w:rsid w:val="00CA644F"/>
    <w:rsid w:val="00CA64AF"/>
    <w:rsid w:val="00CA66FC"/>
    <w:rsid w:val="00CA6857"/>
    <w:rsid w:val="00CA6A87"/>
    <w:rsid w:val="00CA6BFE"/>
    <w:rsid w:val="00CA6C70"/>
    <w:rsid w:val="00CA6CD0"/>
    <w:rsid w:val="00CA6D20"/>
    <w:rsid w:val="00CA6E7E"/>
    <w:rsid w:val="00CA6FE9"/>
    <w:rsid w:val="00CA70B5"/>
    <w:rsid w:val="00CA70D7"/>
    <w:rsid w:val="00CA7138"/>
    <w:rsid w:val="00CA72B3"/>
    <w:rsid w:val="00CA72CC"/>
    <w:rsid w:val="00CA7479"/>
    <w:rsid w:val="00CA77D7"/>
    <w:rsid w:val="00CA79D6"/>
    <w:rsid w:val="00CA7AFB"/>
    <w:rsid w:val="00CA7C5E"/>
    <w:rsid w:val="00CA7CCC"/>
    <w:rsid w:val="00CB002F"/>
    <w:rsid w:val="00CB00FC"/>
    <w:rsid w:val="00CB01CE"/>
    <w:rsid w:val="00CB01D7"/>
    <w:rsid w:val="00CB037F"/>
    <w:rsid w:val="00CB0481"/>
    <w:rsid w:val="00CB0759"/>
    <w:rsid w:val="00CB0767"/>
    <w:rsid w:val="00CB08DA"/>
    <w:rsid w:val="00CB08E8"/>
    <w:rsid w:val="00CB0AE1"/>
    <w:rsid w:val="00CB0D34"/>
    <w:rsid w:val="00CB0D52"/>
    <w:rsid w:val="00CB0E5C"/>
    <w:rsid w:val="00CB0E61"/>
    <w:rsid w:val="00CB0F5F"/>
    <w:rsid w:val="00CB10D9"/>
    <w:rsid w:val="00CB11C0"/>
    <w:rsid w:val="00CB1337"/>
    <w:rsid w:val="00CB157B"/>
    <w:rsid w:val="00CB1605"/>
    <w:rsid w:val="00CB1637"/>
    <w:rsid w:val="00CB16C1"/>
    <w:rsid w:val="00CB1880"/>
    <w:rsid w:val="00CB1A0B"/>
    <w:rsid w:val="00CB1A1B"/>
    <w:rsid w:val="00CB1A53"/>
    <w:rsid w:val="00CB1A68"/>
    <w:rsid w:val="00CB1C1D"/>
    <w:rsid w:val="00CB1C8A"/>
    <w:rsid w:val="00CB1D52"/>
    <w:rsid w:val="00CB1EB1"/>
    <w:rsid w:val="00CB1F6F"/>
    <w:rsid w:val="00CB2046"/>
    <w:rsid w:val="00CB218F"/>
    <w:rsid w:val="00CB22B3"/>
    <w:rsid w:val="00CB22D7"/>
    <w:rsid w:val="00CB2385"/>
    <w:rsid w:val="00CB2478"/>
    <w:rsid w:val="00CB2489"/>
    <w:rsid w:val="00CB251E"/>
    <w:rsid w:val="00CB2531"/>
    <w:rsid w:val="00CB2557"/>
    <w:rsid w:val="00CB2656"/>
    <w:rsid w:val="00CB265A"/>
    <w:rsid w:val="00CB2679"/>
    <w:rsid w:val="00CB2710"/>
    <w:rsid w:val="00CB2859"/>
    <w:rsid w:val="00CB2923"/>
    <w:rsid w:val="00CB2940"/>
    <w:rsid w:val="00CB2978"/>
    <w:rsid w:val="00CB2B06"/>
    <w:rsid w:val="00CB2B96"/>
    <w:rsid w:val="00CB2BA9"/>
    <w:rsid w:val="00CB2CDD"/>
    <w:rsid w:val="00CB2D76"/>
    <w:rsid w:val="00CB2EB6"/>
    <w:rsid w:val="00CB2EDF"/>
    <w:rsid w:val="00CB31F5"/>
    <w:rsid w:val="00CB3578"/>
    <w:rsid w:val="00CB3582"/>
    <w:rsid w:val="00CB35E9"/>
    <w:rsid w:val="00CB3658"/>
    <w:rsid w:val="00CB366C"/>
    <w:rsid w:val="00CB3695"/>
    <w:rsid w:val="00CB379F"/>
    <w:rsid w:val="00CB37E6"/>
    <w:rsid w:val="00CB380D"/>
    <w:rsid w:val="00CB389D"/>
    <w:rsid w:val="00CB39BF"/>
    <w:rsid w:val="00CB39E0"/>
    <w:rsid w:val="00CB3A8F"/>
    <w:rsid w:val="00CB3B04"/>
    <w:rsid w:val="00CB3F0D"/>
    <w:rsid w:val="00CB3FDF"/>
    <w:rsid w:val="00CB4079"/>
    <w:rsid w:val="00CB412E"/>
    <w:rsid w:val="00CB41E3"/>
    <w:rsid w:val="00CB44BD"/>
    <w:rsid w:val="00CB455D"/>
    <w:rsid w:val="00CB45B7"/>
    <w:rsid w:val="00CB4652"/>
    <w:rsid w:val="00CB46F9"/>
    <w:rsid w:val="00CB482C"/>
    <w:rsid w:val="00CB48D6"/>
    <w:rsid w:val="00CB48FD"/>
    <w:rsid w:val="00CB49E3"/>
    <w:rsid w:val="00CB4D6E"/>
    <w:rsid w:val="00CB4D7E"/>
    <w:rsid w:val="00CB513C"/>
    <w:rsid w:val="00CB5209"/>
    <w:rsid w:val="00CB5231"/>
    <w:rsid w:val="00CB526C"/>
    <w:rsid w:val="00CB54C0"/>
    <w:rsid w:val="00CB556E"/>
    <w:rsid w:val="00CB55D6"/>
    <w:rsid w:val="00CB5607"/>
    <w:rsid w:val="00CB56C2"/>
    <w:rsid w:val="00CB57A2"/>
    <w:rsid w:val="00CB5841"/>
    <w:rsid w:val="00CB585F"/>
    <w:rsid w:val="00CB58EF"/>
    <w:rsid w:val="00CB5BD2"/>
    <w:rsid w:val="00CB5C19"/>
    <w:rsid w:val="00CB5C22"/>
    <w:rsid w:val="00CB5C60"/>
    <w:rsid w:val="00CB5C6E"/>
    <w:rsid w:val="00CB63F4"/>
    <w:rsid w:val="00CB67D2"/>
    <w:rsid w:val="00CB681E"/>
    <w:rsid w:val="00CB68D1"/>
    <w:rsid w:val="00CB69AF"/>
    <w:rsid w:val="00CB6BFD"/>
    <w:rsid w:val="00CB6DD6"/>
    <w:rsid w:val="00CB6F08"/>
    <w:rsid w:val="00CB6FC7"/>
    <w:rsid w:val="00CB7478"/>
    <w:rsid w:val="00CB763C"/>
    <w:rsid w:val="00CB77D3"/>
    <w:rsid w:val="00CB7866"/>
    <w:rsid w:val="00CB7AFB"/>
    <w:rsid w:val="00CB7B6A"/>
    <w:rsid w:val="00CB7B9A"/>
    <w:rsid w:val="00CB7C25"/>
    <w:rsid w:val="00CB7DC8"/>
    <w:rsid w:val="00CB7F49"/>
    <w:rsid w:val="00CB7FCC"/>
    <w:rsid w:val="00CC012E"/>
    <w:rsid w:val="00CC03AF"/>
    <w:rsid w:val="00CC07D6"/>
    <w:rsid w:val="00CC0870"/>
    <w:rsid w:val="00CC094A"/>
    <w:rsid w:val="00CC0A09"/>
    <w:rsid w:val="00CC0A34"/>
    <w:rsid w:val="00CC0A67"/>
    <w:rsid w:val="00CC0A6E"/>
    <w:rsid w:val="00CC0AFA"/>
    <w:rsid w:val="00CC0B5A"/>
    <w:rsid w:val="00CC0B9A"/>
    <w:rsid w:val="00CC0C0C"/>
    <w:rsid w:val="00CC0C3D"/>
    <w:rsid w:val="00CC0F34"/>
    <w:rsid w:val="00CC1044"/>
    <w:rsid w:val="00CC10B9"/>
    <w:rsid w:val="00CC10FA"/>
    <w:rsid w:val="00CC1107"/>
    <w:rsid w:val="00CC119C"/>
    <w:rsid w:val="00CC1243"/>
    <w:rsid w:val="00CC12DF"/>
    <w:rsid w:val="00CC13CA"/>
    <w:rsid w:val="00CC1440"/>
    <w:rsid w:val="00CC144D"/>
    <w:rsid w:val="00CC1451"/>
    <w:rsid w:val="00CC14BF"/>
    <w:rsid w:val="00CC155D"/>
    <w:rsid w:val="00CC1776"/>
    <w:rsid w:val="00CC194F"/>
    <w:rsid w:val="00CC19DA"/>
    <w:rsid w:val="00CC1A82"/>
    <w:rsid w:val="00CC1C28"/>
    <w:rsid w:val="00CC1C52"/>
    <w:rsid w:val="00CC20D8"/>
    <w:rsid w:val="00CC2143"/>
    <w:rsid w:val="00CC21C2"/>
    <w:rsid w:val="00CC2206"/>
    <w:rsid w:val="00CC23BC"/>
    <w:rsid w:val="00CC2750"/>
    <w:rsid w:val="00CC290B"/>
    <w:rsid w:val="00CC29DF"/>
    <w:rsid w:val="00CC29E8"/>
    <w:rsid w:val="00CC29EE"/>
    <w:rsid w:val="00CC2A8D"/>
    <w:rsid w:val="00CC2EEC"/>
    <w:rsid w:val="00CC31AA"/>
    <w:rsid w:val="00CC31E0"/>
    <w:rsid w:val="00CC327F"/>
    <w:rsid w:val="00CC3472"/>
    <w:rsid w:val="00CC3499"/>
    <w:rsid w:val="00CC34C5"/>
    <w:rsid w:val="00CC36B4"/>
    <w:rsid w:val="00CC3707"/>
    <w:rsid w:val="00CC3A43"/>
    <w:rsid w:val="00CC3B22"/>
    <w:rsid w:val="00CC3B43"/>
    <w:rsid w:val="00CC3BCA"/>
    <w:rsid w:val="00CC3D64"/>
    <w:rsid w:val="00CC3DFB"/>
    <w:rsid w:val="00CC4344"/>
    <w:rsid w:val="00CC4479"/>
    <w:rsid w:val="00CC4596"/>
    <w:rsid w:val="00CC46AD"/>
    <w:rsid w:val="00CC497A"/>
    <w:rsid w:val="00CC4C1E"/>
    <w:rsid w:val="00CC4C56"/>
    <w:rsid w:val="00CC4EB4"/>
    <w:rsid w:val="00CC4F79"/>
    <w:rsid w:val="00CC502F"/>
    <w:rsid w:val="00CC50E2"/>
    <w:rsid w:val="00CC52CB"/>
    <w:rsid w:val="00CC5362"/>
    <w:rsid w:val="00CC540D"/>
    <w:rsid w:val="00CC54C4"/>
    <w:rsid w:val="00CC5584"/>
    <w:rsid w:val="00CC574F"/>
    <w:rsid w:val="00CC57ED"/>
    <w:rsid w:val="00CC5B65"/>
    <w:rsid w:val="00CC5B91"/>
    <w:rsid w:val="00CC5C30"/>
    <w:rsid w:val="00CC5D3E"/>
    <w:rsid w:val="00CC5D6C"/>
    <w:rsid w:val="00CC5E50"/>
    <w:rsid w:val="00CC5EC2"/>
    <w:rsid w:val="00CC6003"/>
    <w:rsid w:val="00CC6060"/>
    <w:rsid w:val="00CC6190"/>
    <w:rsid w:val="00CC6230"/>
    <w:rsid w:val="00CC6244"/>
    <w:rsid w:val="00CC6448"/>
    <w:rsid w:val="00CC65B4"/>
    <w:rsid w:val="00CC65B7"/>
    <w:rsid w:val="00CC6684"/>
    <w:rsid w:val="00CC6723"/>
    <w:rsid w:val="00CC6979"/>
    <w:rsid w:val="00CC697B"/>
    <w:rsid w:val="00CC6AAF"/>
    <w:rsid w:val="00CC6B1C"/>
    <w:rsid w:val="00CC6BB3"/>
    <w:rsid w:val="00CC6BDE"/>
    <w:rsid w:val="00CC6CB8"/>
    <w:rsid w:val="00CC6CFD"/>
    <w:rsid w:val="00CC6E77"/>
    <w:rsid w:val="00CC6E9D"/>
    <w:rsid w:val="00CC6F27"/>
    <w:rsid w:val="00CC6F77"/>
    <w:rsid w:val="00CC719F"/>
    <w:rsid w:val="00CC720D"/>
    <w:rsid w:val="00CC722E"/>
    <w:rsid w:val="00CC7484"/>
    <w:rsid w:val="00CC77AD"/>
    <w:rsid w:val="00CC77FD"/>
    <w:rsid w:val="00CC7801"/>
    <w:rsid w:val="00CC784E"/>
    <w:rsid w:val="00CC78D7"/>
    <w:rsid w:val="00CC79E7"/>
    <w:rsid w:val="00CC7C9C"/>
    <w:rsid w:val="00CC7DFD"/>
    <w:rsid w:val="00CC7E7E"/>
    <w:rsid w:val="00CC7ECD"/>
    <w:rsid w:val="00CC7F37"/>
    <w:rsid w:val="00CD0072"/>
    <w:rsid w:val="00CD021C"/>
    <w:rsid w:val="00CD0543"/>
    <w:rsid w:val="00CD054F"/>
    <w:rsid w:val="00CD055C"/>
    <w:rsid w:val="00CD0567"/>
    <w:rsid w:val="00CD05EB"/>
    <w:rsid w:val="00CD061F"/>
    <w:rsid w:val="00CD0761"/>
    <w:rsid w:val="00CD0774"/>
    <w:rsid w:val="00CD0941"/>
    <w:rsid w:val="00CD0A9A"/>
    <w:rsid w:val="00CD0BD8"/>
    <w:rsid w:val="00CD119E"/>
    <w:rsid w:val="00CD11B5"/>
    <w:rsid w:val="00CD11F9"/>
    <w:rsid w:val="00CD1818"/>
    <w:rsid w:val="00CD1B63"/>
    <w:rsid w:val="00CD1BF4"/>
    <w:rsid w:val="00CD1C1A"/>
    <w:rsid w:val="00CD1EB5"/>
    <w:rsid w:val="00CD2100"/>
    <w:rsid w:val="00CD216D"/>
    <w:rsid w:val="00CD2360"/>
    <w:rsid w:val="00CD243C"/>
    <w:rsid w:val="00CD2472"/>
    <w:rsid w:val="00CD24A3"/>
    <w:rsid w:val="00CD24F1"/>
    <w:rsid w:val="00CD25F0"/>
    <w:rsid w:val="00CD26A2"/>
    <w:rsid w:val="00CD270B"/>
    <w:rsid w:val="00CD2753"/>
    <w:rsid w:val="00CD27F7"/>
    <w:rsid w:val="00CD282C"/>
    <w:rsid w:val="00CD2910"/>
    <w:rsid w:val="00CD2A03"/>
    <w:rsid w:val="00CD2A9E"/>
    <w:rsid w:val="00CD2C34"/>
    <w:rsid w:val="00CD2C3F"/>
    <w:rsid w:val="00CD2E0B"/>
    <w:rsid w:val="00CD303A"/>
    <w:rsid w:val="00CD320A"/>
    <w:rsid w:val="00CD32DD"/>
    <w:rsid w:val="00CD33E9"/>
    <w:rsid w:val="00CD34A1"/>
    <w:rsid w:val="00CD3553"/>
    <w:rsid w:val="00CD3627"/>
    <w:rsid w:val="00CD3644"/>
    <w:rsid w:val="00CD37D7"/>
    <w:rsid w:val="00CD3837"/>
    <w:rsid w:val="00CD3870"/>
    <w:rsid w:val="00CD38BF"/>
    <w:rsid w:val="00CD3925"/>
    <w:rsid w:val="00CD3958"/>
    <w:rsid w:val="00CD39C4"/>
    <w:rsid w:val="00CD3A0C"/>
    <w:rsid w:val="00CD3BF4"/>
    <w:rsid w:val="00CD3D4E"/>
    <w:rsid w:val="00CD3EF8"/>
    <w:rsid w:val="00CD3FEF"/>
    <w:rsid w:val="00CD408C"/>
    <w:rsid w:val="00CD430F"/>
    <w:rsid w:val="00CD49F1"/>
    <w:rsid w:val="00CD49F7"/>
    <w:rsid w:val="00CD4A23"/>
    <w:rsid w:val="00CD4B19"/>
    <w:rsid w:val="00CD4BC9"/>
    <w:rsid w:val="00CD4C98"/>
    <w:rsid w:val="00CD4CFA"/>
    <w:rsid w:val="00CD4F90"/>
    <w:rsid w:val="00CD5196"/>
    <w:rsid w:val="00CD52A0"/>
    <w:rsid w:val="00CD545A"/>
    <w:rsid w:val="00CD55EC"/>
    <w:rsid w:val="00CD57C3"/>
    <w:rsid w:val="00CD5B70"/>
    <w:rsid w:val="00CD5D75"/>
    <w:rsid w:val="00CD6057"/>
    <w:rsid w:val="00CD6252"/>
    <w:rsid w:val="00CD62B8"/>
    <w:rsid w:val="00CD62EF"/>
    <w:rsid w:val="00CD6310"/>
    <w:rsid w:val="00CD63CD"/>
    <w:rsid w:val="00CD6474"/>
    <w:rsid w:val="00CD6551"/>
    <w:rsid w:val="00CD6592"/>
    <w:rsid w:val="00CD65BF"/>
    <w:rsid w:val="00CD65CE"/>
    <w:rsid w:val="00CD665D"/>
    <w:rsid w:val="00CD66B5"/>
    <w:rsid w:val="00CD673D"/>
    <w:rsid w:val="00CD67AE"/>
    <w:rsid w:val="00CD682A"/>
    <w:rsid w:val="00CD6865"/>
    <w:rsid w:val="00CD68F1"/>
    <w:rsid w:val="00CD6C48"/>
    <w:rsid w:val="00CD6CA0"/>
    <w:rsid w:val="00CD6D8D"/>
    <w:rsid w:val="00CD6DA3"/>
    <w:rsid w:val="00CD7001"/>
    <w:rsid w:val="00CD71A6"/>
    <w:rsid w:val="00CD7295"/>
    <w:rsid w:val="00CD7347"/>
    <w:rsid w:val="00CD745A"/>
    <w:rsid w:val="00CD7538"/>
    <w:rsid w:val="00CD767B"/>
    <w:rsid w:val="00CD76FE"/>
    <w:rsid w:val="00CD794C"/>
    <w:rsid w:val="00CD7A79"/>
    <w:rsid w:val="00CD7D2A"/>
    <w:rsid w:val="00CD7E34"/>
    <w:rsid w:val="00CD7E4B"/>
    <w:rsid w:val="00CD7F50"/>
    <w:rsid w:val="00CE009E"/>
    <w:rsid w:val="00CE0103"/>
    <w:rsid w:val="00CE013C"/>
    <w:rsid w:val="00CE0357"/>
    <w:rsid w:val="00CE035C"/>
    <w:rsid w:val="00CE0467"/>
    <w:rsid w:val="00CE0598"/>
    <w:rsid w:val="00CE0654"/>
    <w:rsid w:val="00CE06DC"/>
    <w:rsid w:val="00CE0856"/>
    <w:rsid w:val="00CE0862"/>
    <w:rsid w:val="00CE0891"/>
    <w:rsid w:val="00CE08BB"/>
    <w:rsid w:val="00CE0952"/>
    <w:rsid w:val="00CE0AB2"/>
    <w:rsid w:val="00CE0B26"/>
    <w:rsid w:val="00CE0C23"/>
    <w:rsid w:val="00CE0C31"/>
    <w:rsid w:val="00CE0E26"/>
    <w:rsid w:val="00CE0E41"/>
    <w:rsid w:val="00CE0FCE"/>
    <w:rsid w:val="00CE0FDF"/>
    <w:rsid w:val="00CE112D"/>
    <w:rsid w:val="00CE1178"/>
    <w:rsid w:val="00CE11ED"/>
    <w:rsid w:val="00CE121F"/>
    <w:rsid w:val="00CE12BC"/>
    <w:rsid w:val="00CE12C4"/>
    <w:rsid w:val="00CE1551"/>
    <w:rsid w:val="00CE16BE"/>
    <w:rsid w:val="00CE1732"/>
    <w:rsid w:val="00CE17C7"/>
    <w:rsid w:val="00CE17C8"/>
    <w:rsid w:val="00CE17E2"/>
    <w:rsid w:val="00CE1A8A"/>
    <w:rsid w:val="00CE1B68"/>
    <w:rsid w:val="00CE1CC9"/>
    <w:rsid w:val="00CE1E78"/>
    <w:rsid w:val="00CE1F1E"/>
    <w:rsid w:val="00CE2011"/>
    <w:rsid w:val="00CE20E2"/>
    <w:rsid w:val="00CE2253"/>
    <w:rsid w:val="00CE2305"/>
    <w:rsid w:val="00CE230F"/>
    <w:rsid w:val="00CE246B"/>
    <w:rsid w:val="00CE27F7"/>
    <w:rsid w:val="00CE2923"/>
    <w:rsid w:val="00CE296A"/>
    <w:rsid w:val="00CE29A0"/>
    <w:rsid w:val="00CE2A68"/>
    <w:rsid w:val="00CE2AF3"/>
    <w:rsid w:val="00CE2B92"/>
    <w:rsid w:val="00CE2D2B"/>
    <w:rsid w:val="00CE2F68"/>
    <w:rsid w:val="00CE309C"/>
    <w:rsid w:val="00CE32E1"/>
    <w:rsid w:val="00CE33FD"/>
    <w:rsid w:val="00CE348B"/>
    <w:rsid w:val="00CE34BB"/>
    <w:rsid w:val="00CE34FB"/>
    <w:rsid w:val="00CE370F"/>
    <w:rsid w:val="00CE37D6"/>
    <w:rsid w:val="00CE3A08"/>
    <w:rsid w:val="00CE3CD5"/>
    <w:rsid w:val="00CE3CE4"/>
    <w:rsid w:val="00CE3E33"/>
    <w:rsid w:val="00CE3E8D"/>
    <w:rsid w:val="00CE3EAF"/>
    <w:rsid w:val="00CE3F8D"/>
    <w:rsid w:val="00CE3FB7"/>
    <w:rsid w:val="00CE403B"/>
    <w:rsid w:val="00CE422D"/>
    <w:rsid w:val="00CE42AF"/>
    <w:rsid w:val="00CE4380"/>
    <w:rsid w:val="00CE43D8"/>
    <w:rsid w:val="00CE444D"/>
    <w:rsid w:val="00CE44D4"/>
    <w:rsid w:val="00CE4702"/>
    <w:rsid w:val="00CE47CF"/>
    <w:rsid w:val="00CE48E0"/>
    <w:rsid w:val="00CE4BDC"/>
    <w:rsid w:val="00CE4E37"/>
    <w:rsid w:val="00CE4F31"/>
    <w:rsid w:val="00CE5020"/>
    <w:rsid w:val="00CE50DB"/>
    <w:rsid w:val="00CE52BB"/>
    <w:rsid w:val="00CE52EA"/>
    <w:rsid w:val="00CE5428"/>
    <w:rsid w:val="00CE54C2"/>
    <w:rsid w:val="00CE5503"/>
    <w:rsid w:val="00CE55AC"/>
    <w:rsid w:val="00CE5896"/>
    <w:rsid w:val="00CE5908"/>
    <w:rsid w:val="00CE5CA3"/>
    <w:rsid w:val="00CE5D20"/>
    <w:rsid w:val="00CE5E4D"/>
    <w:rsid w:val="00CE5EA7"/>
    <w:rsid w:val="00CE6161"/>
    <w:rsid w:val="00CE6241"/>
    <w:rsid w:val="00CE62A4"/>
    <w:rsid w:val="00CE65B6"/>
    <w:rsid w:val="00CE66DE"/>
    <w:rsid w:val="00CE676A"/>
    <w:rsid w:val="00CE68C9"/>
    <w:rsid w:val="00CE691F"/>
    <w:rsid w:val="00CE6921"/>
    <w:rsid w:val="00CE69A2"/>
    <w:rsid w:val="00CE6A44"/>
    <w:rsid w:val="00CE6A64"/>
    <w:rsid w:val="00CE6A8A"/>
    <w:rsid w:val="00CE6B29"/>
    <w:rsid w:val="00CE6BE7"/>
    <w:rsid w:val="00CE6C1D"/>
    <w:rsid w:val="00CE6CC2"/>
    <w:rsid w:val="00CE6D36"/>
    <w:rsid w:val="00CE6EF7"/>
    <w:rsid w:val="00CE6F78"/>
    <w:rsid w:val="00CE6F80"/>
    <w:rsid w:val="00CE70A6"/>
    <w:rsid w:val="00CE70E9"/>
    <w:rsid w:val="00CE7175"/>
    <w:rsid w:val="00CE71E6"/>
    <w:rsid w:val="00CE7261"/>
    <w:rsid w:val="00CE72B5"/>
    <w:rsid w:val="00CE73F6"/>
    <w:rsid w:val="00CE74E5"/>
    <w:rsid w:val="00CE74F5"/>
    <w:rsid w:val="00CE768F"/>
    <w:rsid w:val="00CE7A7C"/>
    <w:rsid w:val="00CE7B66"/>
    <w:rsid w:val="00CE7F58"/>
    <w:rsid w:val="00CF0388"/>
    <w:rsid w:val="00CF053E"/>
    <w:rsid w:val="00CF0541"/>
    <w:rsid w:val="00CF0581"/>
    <w:rsid w:val="00CF082A"/>
    <w:rsid w:val="00CF08C6"/>
    <w:rsid w:val="00CF08E1"/>
    <w:rsid w:val="00CF08E8"/>
    <w:rsid w:val="00CF09A0"/>
    <w:rsid w:val="00CF0A03"/>
    <w:rsid w:val="00CF0B91"/>
    <w:rsid w:val="00CF0F8D"/>
    <w:rsid w:val="00CF1024"/>
    <w:rsid w:val="00CF10FF"/>
    <w:rsid w:val="00CF1188"/>
    <w:rsid w:val="00CF12EF"/>
    <w:rsid w:val="00CF1435"/>
    <w:rsid w:val="00CF1488"/>
    <w:rsid w:val="00CF14E4"/>
    <w:rsid w:val="00CF17A0"/>
    <w:rsid w:val="00CF1933"/>
    <w:rsid w:val="00CF19DD"/>
    <w:rsid w:val="00CF1D2E"/>
    <w:rsid w:val="00CF1DA6"/>
    <w:rsid w:val="00CF1E75"/>
    <w:rsid w:val="00CF1EC1"/>
    <w:rsid w:val="00CF1F15"/>
    <w:rsid w:val="00CF1F2E"/>
    <w:rsid w:val="00CF1F58"/>
    <w:rsid w:val="00CF1FCC"/>
    <w:rsid w:val="00CF1FDC"/>
    <w:rsid w:val="00CF201F"/>
    <w:rsid w:val="00CF202B"/>
    <w:rsid w:val="00CF20A4"/>
    <w:rsid w:val="00CF23BD"/>
    <w:rsid w:val="00CF2414"/>
    <w:rsid w:val="00CF26DF"/>
    <w:rsid w:val="00CF2759"/>
    <w:rsid w:val="00CF28D4"/>
    <w:rsid w:val="00CF29A8"/>
    <w:rsid w:val="00CF2A6B"/>
    <w:rsid w:val="00CF2B4B"/>
    <w:rsid w:val="00CF2C12"/>
    <w:rsid w:val="00CF2C85"/>
    <w:rsid w:val="00CF2CAE"/>
    <w:rsid w:val="00CF2E09"/>
    <w:rsid w:val="00CF2F3A"/>
    <w:rsid w:val="00CF2FAD"/>
    <w:rsid w:val="00CF30B6"/>
    <w:rsid w:val="00CF3691"/>
    <w:rsid w:val="00CF3800"/>
    <w:rsid w:val="00CF3899"/>
    <w:rsid w:val="00CF38F2"/>
    <w:rsid w:val="00CF3A53"/>
    <w:rsid w:val="00CF3B7C"/>
    <w:rsid w:val="00CF3CFC"/>
    <w:rsid w:val="00CF3D08"/>
    <w:rsid w:val="00CF3F0D"/>
    <w:rsid w:val="00CF4094"/>
    <w:rsid w:val="00CF40BE"/>
    <w:rsid w:val="00CF4102"/>
    <w:rsid w:val="00CF41F0"/>
    <w:rsid w:val="00CF453B"/>
    <w:rsid w:val="00CF4644"/>
    <w:rsid w:val="00CF474E"/>
    <w:rsid w:val="00CF477F"/>
    <w:rsid w:val="00CF48EC"/>
    <w:rsid w:val="00CF48ED"/>
    <w:rsid w:val="00CF491A"/>
    <w:rsid w:val="00CF493B"/>
    <w:rsid w:val="00CF4940"/>
    <w:rsid w:val="00CF4A3A"/>
    <w:rsid w:val="00CF4A3D"/>
    <w:rsid w:val="00CF4A62"/>
    <w:rsid w:val="00CF4C3E"/>
    <w:rsid w:val="00CF4DDE"/>
    <w:rsid w:val="00CF5068"/>
    <w:rsid w:val="00CF5142"/>
    <w:rsid w:val="00CF514B"/>
    <w:rsid w:val="00CF52D2"/>
    <w:rsid w:val="00CF54FD"/>
    <w:rsid w:val="00CF550A"/>
    <w:rsid w:val="00CF565D"/>
    <w:rsid w:val="00CF5666"/>
    <w:rsid w:val="00CF56D2"/>
    <w:rsid w:val="00CF59A9"/>
    <w:rsid w:val="00CF5A95"/>
    <w:rsid w:val="00CF5C90"/>
    <w:rsid w:val="00CF5F45"/>
    <w:rsid w:val="00CF6034"/>
    <w:rsid w:val="00CF61A8"/>
    <w:rsid w:val="00CF61B0"/>
    <w:rsid w:val="00CF6324"/>
    <w:rsid w:val="00CF65C2"/>
    <w:rsid w:val="00CF6658"/>
    <w:rsid w:val="00CF681F"/>
    <w:rsid w:val="00CF6B7B"/>
    <w:rsid w:val="00CF6C75"/>
    <w:rsid w:val="00CF6CC5"/>
    <w:rsid w:val="00CF6CD2"/>
    <w:rsid w:val="00CF6DCC"/>
    <w:rsid w:val="00CF6EE8"/>
    <w:rsid w:val="00CF6F07"/>
    <w:rsid w:val="00CF7137"/>
    <w:rsid w:val="00CF7156"/>
    <w:rsid w:val="00CF725B"/>
    <w:rsid w:val="00CF7372"/>
    <w:rsid w:val="00CF75C6"/>
    <w:rsid w:val="00CF76DC"/>
    <w:rsid w:val="00CF770B"/>
    <w:rsid w:val="00CF7A14"/>
    <w:rsid w:val="00CF7A40"/>
    <w:rsid w:val="00CF7CA4"/>
    <w:rsid w:val="00CF7F00"/>
    <w:rsid w:val="00D00009"/>
    <w:rsid w:val="00D00059"/>
    <w:rsid w:val="00D0047D"/>
    <w:rsid w:val="00D0050B"/>
    <w:rsid w:val="00D0057A"/>
    <w:rsid w:val="00D00724"/>
    <w:rsid w:val="00D00912"/>
    <w:rsid w:val="00D00B6D"/>
    <w:rsid w:val="00D00B91"/>
    <w:rsid w:val="00D00BBA"/>
    <w:rsid w:val="00D00E68"/>
    <w:rsid w:val="00D00FD3"/>
    <w:rsid w:val="00D0100B"/>
    <w:rsid w:val="00D0109E"/>
    <w:rsid w:val="00D0116B"/>
    <w:rsid w:val="00D011D8"/>
    <w:rsid w:val="00D0134B"/>
    <w:rsid w:val="00D0139B"/>
    <w:rsid w:val="00D014AB"/>
    <w:rsid w:val="00D014D7"/>
    <w:rsid w:val="00D0150B"/>
    <w:rsid w:val="00D015DD"/>
    <w:rsid w:val="00D015FC"/>
    <w:rsid w:val="00D01751"/>
    <w:rsid w:val="00D01753"/>
    <w:rsid w:val="00D019C0"/>
    <w:rsid w:val="00D019EE"/>
    <w:rsid w:val="00D01A02"/>
    <w:rsid w:val="00D01A83"/>
    <w:rsid w:val="00D01B3A"/>
    <w:rsid w:val="00D01BCD"/>
    <w:rsid w:val="00D01C86"/>
    <w:rsid w:val="00D01CB7"/>
    <w:rsid w:val="00D01F1B"/>
    <w:rsid w:val="00D02031"/>
    <w:rsid w:val="00D02057"/>
    <w:rsid w:val="00D0213F"/>
    <w:rsid w:val="00D02170"/>
    <w:rsid w:val="00D02380"/>
    <w:rsid w:val="00D0248D"/>
    <w:rsid w:val="00D0250F"/>
    <w:rsid w:val="00D02654"/>
    <w:rsid w:val="00D027E8"/>
    <w:rsid w:val="00D028A3"/>
    <w:rsid w:val="00D028B6"/>
    <w:rsid w:val="00D02A51"/>
    <w:rsid w:val="00D02B3B"/>
    <w:rsid w:val="00D02CB7"/>
    <w:rsid w:val="00D02EAC"/>
    <w:rsid w:val="00D02ECE"/>
    <w:rsid w:val="00D0303E"/>
    <w:rsid w:val="00D0307D"/>
    <w:rsid w:val="00D0329A"/>
    <w:rsid w:val="00D03450"/>
    <w:rsid w:val="00D03548"/>
    <w:rsid w:val="00D03915"/>
    <w:rsid w:val="00D0391A"/>
    <w:rsid w:val="00D0393A"/>
    <w:rsid w:val="00D03AEB"/>
    <w:rsid w:val="00D03BA6"/>
    <w:rsid w:val="00D03C07"/>
    <w:rsid w:val="00D03CD0"/>
    <w:rsid w:val="00D03E7B"/>
    <w:rsid w:val="00D03ED0"/>
    <w:rsid w:val="00D03F62"/>
    <w:rsid w:val="00D04100"/>
    <w:rsid w:val="00D0410C"/>
    <w:rsid w:val="00D041B2"/>
    <w:rsid w:val="00D04267"/>
    <w:rsid w:val="00D04505"/>
    <w:rsid w:val="00D0459D"/>
    <w:rsid w:val="00D0460A"/>
    <w:rsid w:val="00D0477F"/>
    <w:rsid w:val="00D047DA"/>
    <w:rsid w:val="00D048CF"/>
    <w:rsid w:val="00D049D8"/>
    <w:rsid w:val="00D049E8"/>
    <w:rsid w:val="00D04A3A"/>
    <w:rsid w:val="00D04ACF"/>
    <w:rsid w:val="00D04C59"/>
    <w:rsid w:val="00D04C64"/>
    <w:rsid w:val="00D04C76"/>
    <w:rsid w:val="00D0500E"/>
    <w:rsid w:val="00D0501D"/>
    <w:rsid w:val="00D05203"/>
    <w:rsid w:val="00D0525E"/>
    <w:rsid w:val="00D057C9"/>
    <w:rsid w:val="00D057F8"/>
    <w:rsid w:val="00D0591D"/>
    <w:rsid w:val="00D059AC"/>
    <w:rsid w:val="00D05A7C"/>
    <w:rsid w:val="00D05AC6"/>
    <w:rsid w:val="00D05AD3"/>
    <w:rsid w:val="00D05AF1"/>
    <w:rsid w:val="00D05BF1"/>
    <w:rsid w:val="00D05C85"/>
    <w:rsid w:val="00D05D9F"/>
    <w:rsid w:val="00D05EBC"/>
    <w:rsid w:val="00D05FE7"/>
    <w:rsid w:val="00D06003"/>
    <w:rsid w:val="00D06068"/>
    <w:rsid w:val="00D06081"/>
    <w:rsid w:val="00D060C6"/>
    <w:rsid w:val="00D06189"/>
    <w:rsid w:val="00D0618F"/>
    <w:rsid w:val="00D063B5"/>
    <w:rsid w:val="00D063D3"/>
    <w:rsid w:val="00D0645F"/>
    <w:rsid w:val="00D06490"/>
    <w:rsid w:val="00D064B9"/>
    <w:rsid w:val="00D064F1"/>
    <w:rsid w:val="00D065B3"/>
    <w:rsid w:val="00D065C6"/>
    <w:rsid w:val="00D0668E"/>
    <w:rsid w:val="00D06695"/>
    <w:rsid w:val="00D0677C"/>
    <w:rsid w:val="00D067AF"/>
    <w:rsid w:val="00D06901"/>
    <w:rsid w:val="00D0693D"/>
    <w:rsid w:val="00D069B6"/>
    <w:rsid w:val="00D06A52"/>
    <w:rsid w:val="00D06B9C"/>
    <w:rsid w:val="00D06C64"/>
    <w:rsid w:val="00D06D9D"/>
    <w:rsid w:val="00D06F28"/>
    <w:rsid w:val="00D06F5B"/>
    <w:rsid w:val="00D07073"/>
    <w:rsid w:val="00D070FF"/>
    <w:rsid w:val="00D0717E"/>
    <w:rsid w:val="00D071B4"/>
    <w:rsid w:val="00D07492"/>
    <w:rsid w:val="00D074A6"/>
    <w:rsid w:val="00D074B1"/>
    <w:rsid w:val="00D074D6"/>
    <w:rsid w:val="00D074F2"/>
    <w:rsid w:val="00D07917"/>
    <w:rsid w:val="00D07D2B"/>
    <w:rsid w:val="00D10018"/>
    <w:rsid w:val="00D102B6"/>
    <w:rsid w:val="00D102F7"/>
    <w:rsid w:val="00D1039F"/>
    <w:rsid w:val="00D10483"/>
    <w:rsid w:val="00D106FE"/>
    <w:rsid w:val="00D10789"/>
    <w:rsid w:val="00D107B2"/>
    <w:rsid w:val="00D107FF"/>
    <w:rsid w:val="00D10825"/>
    <w:rsid w:val="00D10853"/>
    <w:rsid w:val="00D1093D"/>
    <w:rsid w:val="00D10A58"/>
    <w:rsid w:val="00D10A7A"/>
    <w:rsid w:val="00D10F52"/>
    <w:rsid w:val="00D10FA9"/>
    <w:rsid w:val="00D10FE3"/>
    <w:rsid w:val="00D10FF3"/>
    <w:rsid w:val="00D11017"/>
    <w:rsid w:val="00D11216"/>
    <w:rsid w:val="00D11271"/>
    <w:rsid w:val="00D11297"/>
    <w:rsid w:val="00D116F5"/>
    <w:rsid w:val="00D11733"/>
    <w:rsid w:val="00D11925"/>
    <w:rsid w:val="00D11956"/>
    <w:rsid w:val="00D119A9"/>
    <w:rsid w:val="00D11A5A"/>
    <w:rsid w:val="00D11BF0"/>
    <w:rsid w:val="00D11C32"/>
    <w:rsid w:val="00D11D6E"/>
    <w:rsid w:val="00D11DAA"/>
    <w:rsid w:val="00D11E6F"/>
    <w:rsid w:val="00D11F41"/>
    <w:rsid w:val="00D12045"/>
    <w:rsid w:val="00D1229C"/>
    <w:rsid w:val="00D12367"/>
    <w:rsid w:val="00D12469"/>
    <w:rsid w:val="00D124D9"/>
    <w:rsid w:val="00D12647"/>
    <w:rsid w:val="00D1286A"/>
    <w:rsid w:val="00D12B0E"/>
    <w:rsid w:val="00D12C23"/>
    <w:rsid w:val="00D12C6D"/>
    <w:rsid w:val="00D12D6E"/>
    <w:rsid w:val="00D12D71"/>
    <w:rsid w:val="00D12DFB"/>
    <w:rsid w:val="00D12E02"/>
    <w:rsid w:val="00D12E82"/>
    <w:rsid w:val="00D13122"/>
    <w:rsid w:val="00D131F6"/>
    <w:rsid w:val="00D132B3"/>
    <w:rsid w:val="00D13396"/>
    <w:rsid w:val="00D134A4"/>
    <w:rsid w:val="00D134B9"/>
    <w:rsid w:val="00D135B4"/>
    <w:rsid w:val="00D1361C"/>
    <w:rsid w:val="00D137D0"/>
    <w:rsid w:val="00D137F3"/>
    <w:rsid w:val="00D13870"/>
    <w:rsid w:val="00D13899"/>
    <w:rsid w:val="00D139F7"/>
    <w:rsid w:val="00D13A11"/>
    <w:rsid w:val="00D13A51"/>
    <w:rsid w:val="00D13EC1"/>
    <w:rsid w:val="00D13FB6"/>
    <w:rsid w:val="00D14240"/>
    <w:rsid w:val="00D1434A"/>
    <w:rsid w:val="00D14369"/>
    <w:rsid w:val="00D144E4"/>
    <w:rsid w:val="00D1457C"/>
    <w:rsid w:val="00D1461B"/>
    <w:rsid w:val="00D146C4"/>
    <w:rsid w:val="00D14767"/>
    <w:rsid w:val="00D14A3D"/>
    <w:rsid w:val="00D14CA3"/>
    <w:rsid w:val="00D14CBA"/>
    <w:rsid w:val="00D14D17"/>
    <w:rsid w:val="00D14E34"/>
    <w:rsid w:val="00D14EB2"/>
    <w:rsid w:val="00D153CD"/>
    <w:rsid w:val="00D15465"/>
    <w:rsid w:val="00D154E6"/>
    <w:rsid w:val="00D154FA"/>
    <w:rsid w:val="00D15592"/>
    <w:rsid w:val="00D15796"/>
    <w:rsid w:val="00D157C3"/>
    <w:rsid w:val="00D15894"/>
    <w:rsid w:val="00D158D7"/>
    <w:rsid w:val="00D15A03"/>
    <w:rsid w:val="00D15B8D"/>
    <w:rsid w:val="00D15C47"/>
    <w:rsid w:val="00D15E59"/>
    <w:rsid w:val="00D16030"/>
    <w:rsid w:val="00D16070"/>
    <w:rsid w:val="00D16322"/>
    <w:rsid w:val="00D163DB"/>
    <w:rsid w:val="00D16542"/>
    <w:rsid w:val="00D1662E"/>
    <w:rsid w:val="00D16652"/>
    <w:rsid w:val="00D16691"/>
    <w:rsid w:val="00D16764"/>
    <w:rsid w:val="00D167CE"/>
    <w:rsid w:val="00D16882"/>
    <w:rsid w:val="00D16886"/>
    <w:rsid w:val="00D16AEA"/>
    <w:rsid w:val="00D16B71"/>
    <w:rsid w:val="00D16C3F"/>
    <w:rsid w:val="00D16CA7"/>
    <w:rsid w:val="00D16EBC"/>
    <w:rsid w:val="00D16F08"/>
    <w:rsid w:val="00D1702B"/>
    <w:rsid w:val="00D1702F"/>
    <w:rsid w:val="00D173A3"/>
    <w:rsid w:val="00D1750D"/>
    <w:rsid w:val="00D17585"/>
    <w:rsid w:val="00D178D4"/>
    <w:rsid w:val="00D17BA9"/>
    <w:rsid w:val="00D17C54"/>
    <w:rsid w:val="00D17C89"/>
    <w:rsid w:val="00D17C9A"/>
    <w:rsid w:val="00D17D0E"/>
    <w:rsid w:val="00D17E1B"/>
    <w:rsid w:val="00D17EB9"/>
    <w:rsid w:val="00D17F58"/>
    <w:rsid w:val="00D17F87"/>
    <w:rsid w:val="00D17FD0"/>
    <w:rsid w:val="00D2003B"/>
    <w:rsid w:val="00D20053"/>
    <w:rsid w:val="00D2008C"/>
    <w:rsid w:val="00D204EF"/>
    <w:rsid w:val="00D204F8"/>
    <w:rsid w:val="00D20562"/>
    <w:rsid w:val="00D205CB"/>
    <w:rsid w:val="00D205F3"/>
    <w:rsid w:val="00D2066C"/>
    <w:rsid w:val="00D20955"/>
    <w:rsid w:val="00D20A4E"/>
    <w:rsid w:val="00D20F1C"/>
    <w:rsid w:val="00D20F86"/>
    <w:rsid w:val="00D2102A"/>
    <w:rsid w:val="00D21076"/>
    <w:rsid w:val="00D21170"/>
    <w:rsid w:val="00D212AD"/>
    <w:rsid w:val="00D212DB"/>
    <w:rsid w:val="00D21350"/>
    <w:rsid w:val="00D2150C"/>
    <w:rsid w:val="00D21593"/>
    <w:rsid w:val="00D2184F"/>
    <w:rsid w:val="00D21851"/>
    <w:rsid w:val="00D2188E"/>
    <w:rsid w:val="00D218D5"/>
    <w:rsid w:val="00D21A09"/>
    <w:rsid w:val="00D21E45"/>
    <w:rsid w:val="00D21E55"/>
    <w:rsid w:val="00D21E8F"/>
    <w:rsid w:val="00D21FC7"/>
    <w:rsid w:val="00D2201E"/>
    <w:rsid w:val="00D220B2"/>
    <w:rsid w:val="00D223BB"/>
    <w:rsid w:val="00D22431"/>
    <w:rsid w:val="00D2254D"/>
    <w:rsid w:val="00D225CA"/>
    <w:rsid w:val="00D22760"/>
    <w:rsid w:val="00D227B9"/>
    <w:rsid w:val="00D2297E"/>
    <w:rsid w:val="00D22A74"/>
    <w:rsid w:val="00D22B9B"/>
    <w:rsid w:val="00D22CF8"/>
    <w:rsid w:val="00D22E36"/>
    <w:rsid w:val="00D22EA5"/>
    <w:rsid w:val="00D22F48"/>
    <w:rsid w:val="00D22FDC"/>
    <w:rsid w:val="00D2307C"/>
    <w:rsid w:val="00D23088"/>
    <w:rsid w:val="00D23152"/>
    <w:rsid w:val="00D23491"/>
    <w:rsid w:val="00D23532"/>
    <w:rsid w:val="00D23550"/>
    <w:rsid w:val="00D23614"/>
    <w:rsid w:val="00D23667"/>
    <w:rsid w:val="00D23679"/>
    <w:rsid w:val="00D23726"/>
    <w:rsid w:val="00D2373A"/>
    <w:rsid w:val="00D2379D"/>
    <w:rsid w:val="00D237CB"/>
    <w:rsid w:val="00D2383C"/>
    <w:rsid w:val="00D23870"/>
    <w:rsid w:val="00D23AB9"/>
    <w:rsid w:val="00D23B66"/>
    <w:rsid w:val="00D23D27"/>
    <w:rsid w:val="00D23DA4"/>
    <w:rsid w:val="00D23E90"/>
    <w:rsid w:val="00D240BC"/>
    <w:rsid w:val="00D241EE"/>
    <w:rsid w:val="00D242D7"/>
    <w:rsid w:val="00D24371"/>
    <w:rsid w:val="00D2439C"/>
    <w:rsid w:val="00D244EF"/>
    <w:rsid w:val="00D245D3"/>
    <w:rsid w:val="00D246E3"/>
    <w:rsid w:val="00D248BB"/>
    <w:rsid w:val="00D24A4C"/>
    <w:rsid w:val="00D24AB3"/>
    <w:rsid w:val="00D24AF5"/>
    <w:rsid w:val="00D24B16"/>
    <w:rsid w:val="00D24B78"/>
    <w:rsid w:val="00D24E76"/>
    <w:rsid w:val="00D24F6D"/>
    <w:rsid w:val="00D2503D"/>
    <w:rsid w:val="00D254E0"/>
    <w:rsid w:val="00D255CE"/>
    <w:rsid w:val="00D255E7"/>
    <w:rsid w:val="00D25730"/>
    <w:rsid w:val="00D25816"/>
    <w:rsid w:val="00D2582B"/>
    <w:rsid w:val="00D25AF7"/>
    <w:rsid w:val="00D25AFB"/>
    <w:rsid w:val="00D25B3A"/>
    <w:rsid w:val="00D25B4C"/>
    <w:rsid w:val="00D25BBC"/>
    <w:rsid w:val="00D25C91"/>
    <w:rsid w:val="00D25D76"/>
    <w:rsid w:val="00D25E98"/>
    <w:rsid w:val="00D26085"/>
    <w:rsid w:val="00D26096"/>
    <w:rsid w:val="00D26188"/>
    <w:rsid w:val="00D261CB"/>
    <w:rsid w:val="00D26308"/>
    <w:rsid w:val="00D2639E"/>
    <w:rsid w:val="00D2668B"/>
    <w:rsid w:val="00D26783"/>
    <w:rsid w:val="00D26CCB"/>
    <w:rsid w:val="00D26FA2"/>
    <w:rsid w:val="00D27233"/>
    <w:rsid w:val="00D272F3"/>
    <w:rsid w:val="00D274BC"/>
    <w:rsid w:val="00D274F3"/>
    <w:rsid w:val="00D2767D"/>
    <w:rsid w:val="00D276E1"/>
    <w:rsid w:val="00D277C7"/>
    <w:rsid w:val="00D2784B"/>
    <w:rsid w:val="00D279F1"/>
    <w:rsid w:val="00D27A16"/>
    <w:rsid w:val="00D27A8A"/>
    <w:rsid w:val="00D27D3A"/>
    <w:rsid w:val="00D27E2A"/>
    <w:rsid w:val="00D27E44"/>
    <w:rsid w:val="00D27E60"/>
    <w:rsid w:val="00D27EDC"/>
    <w:rsid w:val="00D27EEE"/>
    <w:rsid w:val="00D27FF8"/>
    <w:rsid w:val="00D3002D"/>
    <w:rsid w:val="00D302F8"/>
    <w:rsid w:val="00D30340"/>
    <w:rsid w:val="00D305B6"/>
    <w:rsid w:val="00D305BF"/>
    <w:rsid w:val="00D30665"/>
    <w:rsid w:val="00D3073A"/>
    <w:rsid w:val="00D30791"/>
    <w:rsid w:val="00D308E2"/>
    <w:rsid w:val="00D309C0"/>
    <w:rsid w:val="00D30EB5"/>
    <w:rsid w:val="00D30F67"/>
    <w:rsid w:val="00D30FE4"/>
    <w:rsid w:val="00D311AD"/>
    <w:rsid w:val="00D311AF"/>
    <w:rsid w:val="00D3146F"/>
    <w:rsid w:val="00D3179A"/>
    <w:rsid w:val="00D31909"/>
    <w:rsid w:val="00D3195C"/>
    <w:rsid w:val="00D31A0B"/>
    <w:rsid w:val="00D31A5F"/>
    <w:rsid w:val="00D31B3D"/>
    <w:rsid w:val="00D31DBD"/>
    <w:rsid w:val="00D31E39"/>
    <w:rsid w:val="00D31EF4"/>
    <w:rsid w:val="00D3204C"/>
    <w:rsid w:val="00D3217A"/>
    <w:rsid w:val="00D321D1"/>
    <w:rsid w:val="00D322C3"/>
    <w:rsid w:val="00D323D5"/>
    <w:rsid w:val="00D3256D"/>
    <w:rsid w:val="00D3267A"/>
    <w:rsid w:val="00D327BE"/>
    <w:rsid w:val="00D327E8"/>
    <w:rsid w:val="00D3282F"/>
    <w:rsid w:val="00D328F5"/>
    <w:rsid w:val="00D32B2A"/>
    <w:rsid w:val="00D32B4B"/>
    <w:rsid w:val="00D32B8B"/>
    <w:rsid w:val="00D32D85"/>
    <w:rsid w:val="00D32F77"/>
    <w:rsid w:val="00D32FEA"/>
    <w:rsid w:val="00D3306C"/>
    <w:rsid w:val="00D330D9"/>
    <w:rsid w:val="00D332EF"/>
    <w:rsid w:val="00D333B9"/>
    <w:rsid w:val="00D333C9"/>
    <w:rsid w:val="00D335BC"/>
    <w:rsid w:val="00D3367A"/>
    <w:rsid w:val="00D337F7"/>
    <w:rsid w:val="00D3383A"/>
    <w:rsid w:val="00D33BBC"/>
    <w:rsid w:val="00D33BC5"/>
    <w:rsid w:val="00D33C5E"/>
    <w:rsid w:val="00D340F9"/>
    <w:rsid w:val="00D34113"/>
    <w:rsid w:val="00D34185"/>
    <w:rsid w:val="00D34191"/>
    <w:rsid w:val="00D341CF"/>
    <w:rsid w:val="00D34289"/>
    <w:rsid w:val="00D342C3"/>
    <w:rsid w:val="00D34406"/>
    <w:rsid w:val="00D344A5"/>
    <w:rsid w:val="00D34712"/>
    <w:rsid w:val="00D3486C"/>
    <w:rsid w:val="00D348D5"/>
    <w:rsid w:val="00D34A23"/>
    <w:rsid w:val="00D34B81"/>
    <w:rsid w:val="00D34BF4"/>
    <w:rsid w:val="00D34C0F"/>
    <w:rsid w:val="00D34C38"/>
    <w:rsid w:val="00D34D5E"/>
    <w:rsid w:val="00D34DAA"/>
    <w:rsid w:val="00D34E5F"/>
    <w:rsid w:val="00D35021"/>
    <w:rsid w:val="00D3509F"/>
    <w:rsid w:val="00D3516D"/>
    <w:rsid w:val="00D3524E"/>
    <w:rsid w:val="00D3536A"/>
    <w:rsid w:val="00D3548F"/>
    <w:rsid w:val="00D3555F"/>
    <w:rsid w:val="00D3559F"/>
    <w:rsid w:val="00D3567D"/>
    <w:rsid w:val="00D35685"/>
    <w:rsid w:val="00D356F5"/>
    <w:rsid w:val="00D35820"/>
    <w:rsid w:val="00D35895"/>
    <w:rsid w:val="00D35A6C"/>
    <w:rsid w:val="00D35B54"/>
    <w:rsid w:val="00D35B78"/>
    <w:rsid w:val="00D35BEE"/>
    <w:rsid w:val="00D35C82"/>
    <w:rsid w:val="00D35C8A"/>
    <w:rsid w:val="00D35E7B"/>
    <w:rsid w:val="00D35F22"/>
    <w:rsid w:val="00D35F84"/>
    <w:rsid w:val="00D3618C"/>
    <w:rsid w:val="00D3624D"/>
    <w:rsid w:val="00D3630A"/>
    <w:rsid w:val="00D36312"/>
    <w:rsid w:val="00D3658C"/>
    <w:rsid w:val="00D3663B"/>
    <w:rsid w:val="00D3669A"/>
    <w:rsid w:val="00D36712"/>
    <w:rsid w:val="00D3676C"/>
    <w:rsid w:val="00D3690B"/>
    <w:rsid w:val="00D36926"/>
    <w:rsid w:val="00D369A5"/>
    <w:rsid w:val="00D369A9"/>
    <w:rsid w:val="00D36AE3"/>
    <w:rsid w:val="00D36B27"/>
    <w:rsid w:val="00D36C06"/>
    <w:rsid w:val="00D36F89"/>
    <w:rsid w:val="00D3705F"/>
    <w:rsid w:val="00D370D6"/>
    <w:rsid w:val="00D370EB"/>
    <w:rsid w:val="00D372C0"/>
    <w:rsid w:val="00D37398"/>
    <w:rsid w:val="00D373A0"/>
    <w:rsid w:val="00D37555"/>
    <w:rsid w:val="00D37719"/>
    <w:rsid w:val="00D37759"/>
    <w:rsid w:val="00D377A2"/>
    <w:rsid w:val="00D37854"/>
    <w:rsid w:val="00D378B9"/>
    <w:rsid w:val="00D378D5"/>
    <w:rsid w:val="00D378FE"/>
    <w:rsid w:val="00D379A7"/>
    <w:rsid w:val="00D37AF2"/>
    <w:rsid w:val="00D37B3C"/>
    <w:rsid w:val="00D37CF9"/>
    <w:rsid w:val="00D37F05"/>
    <w:rsid w:val="00D40213"/>
    <w:rsid w:val="00D4021B"/>
    <w:rsid w:val="00D402EE"/>
    <w:rsid w:val="00D40415"/>
    <w:rsid w:val="00D40444"/>
    <w:rsid w:val="00D40486"/>
    <w:rsid w:val="00D404AD"/>
    <w:rsid w:val="00D404D2"/>
    <w:rsid w:val="00D40520"/>
    <w:rsid w:val="00D40703"/>
    <w:rsid w:val="00D40781"/>
    <w:rsid w:val="00D407B4"/>
    <w:rsid w:val="00D40921"/>
    <w:rsid w:val="00D40992"/>
    <w:rsid w:val="00D40AFF"/>
    <w:rsid w:val="00D40B43"/>
    <w:rsid w:val="00D40C92"/>
    <w:rsid w:val="00D40D57"/>
    <w:rsid w:val="00D40FB6"/>
    <w:rsid w:val="00D40FF4"/>
    <w:rsid w:val="00D4103B"/>
    <w:rsid w:val="00D41255"/>
    <w:rsid w:val="00D4177B"/>
    <w:rsid w:val="00D41833"/>
    <w:rsid w:val="00D41964"/>
    <w:rsid w:val="00D41C2A"/>
    <w:rsid w:val="00D41D41"/>
    <w:rsid w:val="00D41DC3"/>
    <w:rsid w:val="00D41DD5"/>
    <w:rsid w:val="00D41E60"/>
    <w:rsid w:val="00D41EF6"/>
    <w:rsid w:val="00D420B0"/>
    <w:rsid w:val="00D42118"/>
    <w:rsid w:val="00D422A6"/>
    <w:rsid w:val="00D422D1"/>
    <w:rsid w:val="00D422FD"/>
    <w:rsid w:val="00D42351"/>
    <w:rsid w:val="00D42508"/>
    <w:rsid w:val="00D427A2"/>
    <w:rsid w:val="00D42938"/>
    <w:rsid w:val="00D42960"/>
    <w:rsid w:val="00D429D8"/>
    <w:rsid w:val="00D42E0C"/>
    <w:rsid w:val="00D42EB8"/>
    <w:rsid w:val="00D42F12"/>
    <w:rsid w:val="00D42F45"/>
    <w:rsid w:val="00D42FEA"/>
    <w:rsid w:val="00D42FF9"/>
    <w:rsid w:val="00D4315D"/>
    <w:rsid w:val="00D43333"/>
    <w:rsid w:val="00D4335F"/>
    <w:rsid w:val="00D4340F"/>
    <w:rsid w:val="00D4342D"/>
    <w:rsid w:val="00D43477"/>
    <w:rsid w:val="00D435E3"/>
    <w:rsid w:val="00D43ADC"/>
    <w:rsid w:val="00D43B66"/>
    <w:rsid w:val="00D43E33"/>
    <w:rsid w:val="00D43ED4"/>
    <w:rsid w:val="00D43EF6"/>
    <w:rsid w:val="00D43F2D"/>
    <w:rsid w:val="00D43FCB"/>
    <w:rsid w:val="00D44066"/>
    <w:rsid w:val="00D441EE"/>
    <w:rsid w:val="00D442A6"/>
    <w:rsid w:val="00D44371"/>
    <w:rsid w:val="00D444E1"/>
    <w:rsid w:val="00D446F4"/>
    <w:rsid w:val="00D44838"/>
    <w:rsid w:val="00D4489D"/>
    <w:rsid w:val="00D448A4"/>
    <w:rsid w:val="00D4492F"/>
    <w:rsid w:val="00D44965"/>
    <w:rsid w:val="00D44B8C"/>
    <w:rsid w:val="00D44DFA"/>
    <w:rsid w:val="00D44DFC"/>
    <w:rsid w:val="00D44F08"/>
    <w:rsid w:val="00D45030"/>
    <w:rsid w:val="00D451A4"/>
    <w:rsid w:val="00D45360"/>
    <w:rsid w:val="00D45754"/>
    <w:rsid w:val="00D457CE"/>
    <w:rsid w:val="00D45958"/>
    <w:rsid w:val="00D45A04"/>
    <w:rsid w:val="00D45C5E"/>
    <w:rsid w:val="00D45E15"/>
    <w:rsid w:val="00D45F89"/>
    <w:rsid w:val="00D46202"/>
    <w:rsid w:val="00D46484"/>
    <w:rsid w:val="00D465A7"/>
    <w:rsid w:val="00D4660A"/>
    <w:rsid w:val="00D4664D"/>
    <w:rsid w:val="00D46669"/>
    <w:rsid w:val="00D4666B"/>
    <w:rsid w:val="00D467CC"/>
    <w:rsid w:val="00D468EE"/>
    <w:rsid w:val="00D46937"/>
    <w:rsid w:val="00D469E6"/>
    <w:rsid w:val="00D46A50"/>
    <w:rsid w:val="00D46CDF"/>
    <w:rsid w:val="00D46D7A"/>
    <w:rsid w:val="00D46E0C"/>
    <w:rsid w:val="00D46E4F"/>
    <w:rsid w:val="00D46E7D"/>
    <w:rsid w:val="00D46EEE"/>
    <w:rsid w:val="00D46F1F"/>
    <w:rsid w:val="00D46FE6"/>
    <w:rsid w:val="00D46FF9"/>
    <w:rsid w:val="00D47091"/>
    <w:rsid w:val="00D4721C"/>
    <w:rsid w:val="00D4722C"/>
    <w:rsid w:val="00D47384"/>
    <w:rsid w:val="00D47425"/>
    <w:rsid w:val="00D474FF"/>
    <w:rsid w:val="00D475E7"/>
    <w:rsid w:val="00D47604"/>
    <w:rsid w:val="00D47747"/>
    <w:rsid w:val="00D47778"/>
    <w:rsid w:val="00D47944"/>
    <w:rsid w:val="00D47AF3"/>
    <w:rsid w:val="00D47B48"/>
    <w:rsid w:val="00D47B5D"/>
    <w:rsid w:val="00D47C51"/>
    <w:rsid w:val="00D47C76"/>
    <w:rsid w:val="00D47D81"/>
    <w:rsid w:val="00D47E39"/>
    <w:rsid w:val="00D47F48"/>
    <w:rsid w:val="00D50025"/>
    <w:rsid w:val="00D5026A"/>
    <w:rsid w:val="00D502FC"/>
    <w:rsid w:val="00D50570"/>
    <w:rsid w:val="00D5057D"/>
    <w:rsid w:val="00D50829"/>
    <w:rsid w:val="00D50844"/>
    <w:rsid w:val="00D50894"/>
    <w:rsid w:val="00D508B5"/>
    <w:rsid w:val="00D50B12"/>
    <w:rsid w:val="00D50B13"/>
    <w:rsid w:val="00D50BAB"/>
    <w:rsid w:val="00D50CA0"/>
    <w:rsid w:val="00D50CBF"/>
    <w:rsid w:val="00D50D7A"/>
    <w:rsid w:val="00D50F7C"/>
    <w:rsid w:val="00D510C1"/>
    <w:rsid w:val="00D510D6"/>
    <w:rsid w:val="00D5114A"/>
    <w:rsid w:val="00D511C5"/>
    <w:rsid w:val="00D5138A"/>
    <w:rsid w:val="00D513BB"/>
    <w:rsid w:val="00D5151B"/>
    <w:rsid w:val="00D5156B"/>
    <w:rsid w:val="00D51576"/>
    <w:rsid w:val="00D515FD"/>
    <w:rsid w:val="00D51675"/>
    <w:rsid w:val="00D51930"/>
    <w:rsid w:val="00D51989"/>
    <w:rsid w:val="00D51A72"/>
    <w:rsid w:val="00D51A82"/>
    <w:rsid w:val="00D51AC2"/>
    <w:rsid w:val="00D51ADA"/>
    <w:rsid w:val="00D51AFA"/>
    <w:rsid w:val="00D51C09"/>
    <w:rsid w:val="00D51C3D"/>
    <w:rsid w:val="00D51C89"/>
    <w:rsid w:val="00D51DAC"/>
    <w:rsid w:val="00D51DBB"/>
    <w:rsid w:val="00D51E55"/>
    <w:rsid w:val="00D51FED"/>
    <w:rsid w:val="00D52148"/>
    <w:rsid w:val="00D521E2"/>
    <w:rsid w:val="00D5224F"/>
    <w:rsid w:val="00D5233B"/>
    <w:rsid w:val="00D52424"/>
    <w:rsid w:val="00D5242B"/>
    <w:rsid w:val="00D52447"/>
    <w:rsid w:val="00D5255E"/>
    <w:rsid w:val="00D5286C"/>
    <w:rsid w:val="00D52B5D"/>
    <w:rsid w:val="00D52C19"/>
    <w:rsid w:val="00D52DDD"/>
    <w:rsid w:val="00D52E47"/>
    <w:rsid w:val="00D52EB0"/>
    <w:rsid w:val="00D52F72"/>
    <w:rsid w:val="00D530BA"/>
    <w:rsid w:val="00D53145"/>
    <w:rsid w:val="00D5323D"/>
    <w:rsid w:val="00D532DB"/>
    <w:rsid w:val="00D533D4"/>
    <w:rsid w:val="00D53479"/>
    <w:rsid w:val="00D534E2"/>
    <w:rsid w:val="00D534F8"/>
    <w:rsid w:val="00D535AD"/>
    <w:rsid w:val="00D536E2"/>
    <w:rsid w:val="00D537B3"/>
    <w:rsid w:val="00D539E3"/>
    <w:rsid w:val="00D53AD4"/>
    <w:rsid w:val="00D53B11"/>
    <w:rsid w:val="00D53C77"/>
    <w:rsid w:val="00D53CC4"/>
    <w:rsid w:val="00D53D48"/>
    <w:rsid w:val="00D53D6F"/>
    <w:rsid w:val="00D53F0F"/>
    <w:rsid w:val="00D53F31"/>
    <w:rsid w:val="00D5401F"/>
    <w:rsid w:val="00D5410B"/>
    <w:rsid w:val="00D54185"/>
    <w:rsid w:val="00D54330"/>
    <w:rsid w:val="00D543D1"/>
    <w:rsid w:val="00D543D5"/>
    <w:rsid w:val="00D54685"/>
    <w:rsid w:val="00D54709"/>
    <w:rsid w:val="00D54AC0"/>
    <w:rsid w:val="00D54C2A"/>
    <w:rsid w:val="00D54C37"/>
    <w:rsid w:val="00D54C49"/>
    <w:rsid w:val="00D54CA3"/>
    <w:rsid w:val="00D54CB4"/>
    <w:rsid w:val="00D54D0E"/>
    <w:rsid w:val="00D54E54"/>
    <w:rsid w:val="00D54E7A"/>
    <w:rsid w:val="00D5505C"/>
    <w:rsid w:val="00D552BF"/>
    <w:rsid w:val="00D555AB"/>
    <w:rsid w:val="00D556B2"/>
    <w:rsid w:val="00D557AA"/>
    <w:rsid w:val="00D557C8"/>
    <w:rsid w:val="00D5583D"/>
    <w:rsid w:val="00D55897"/>
    <w:rsid w:val="00D559E0"/>
    <w:rsid w:val="00D55AA0"/>
    <w:rsid w:val="00D55AD5"/>
    <w:rsid w:val="00D55B53"/>
    <w:rsid w:val="00D55CBC"/>
    <w:rsid w:val="00D55DFC"/>
    <w:rsid w:val="00D55F50"/>
    <w:rsid w:val="00D561CD"/>
    <w:rsid w:val="00D562DD"/>
    <w:rsid w:val="00D563AC"/>
    <w:rsid w:val="00D56524"/>
    <w:rsid w:val="00D56582"/>
    <w:rsid w:val="00D566B3"/>
    <w:rsid w:val="00D566B5"/>
    <w:rsid w:val="00D56728"/>
    <w:rsid w:val="00D56742"/>
    <w:rsid w:val="00D56884"/>
    <w:rsid w:val="00D5688E"/>
    <w:rsid w:val="00D56944"/>
    <w:rsid w:val="00D5697B"/>
    <w:rsid w:val="00D56995"/>
    <w:rsid w:val="00D56A15"/>
    <w:rsid w:val="00D56B5F"/>
    <w:rsid w:val="00D56BF6"/>
    <w:rsid w:val="00D5729D"/>
    <w:rsid w:val="00D5743B"/>
    <w:rsid w:val="00D574D3"/>
    <w:rsid w:val="00D57521"/>
    <w:rsid w:val="00D57780"/>
    <w:rsid w:val="00D5792B"/>
    <w:rsid w:val="00D579C8"/>
    <w:rsid w:val="00D579CA"/>
    <w:rsid w:val="00D579FD"/>
    <w:rsid w:val="00D57A8A"/>
    <w:rsid w:val="00D57C02"/>
    <w:rsid w:val="00D60093"/>
    <w:rsid w:val="00D600E0"/>
    <w:rsid w:val="00D60199"/>
    <w:rsid w:val="00D602E7"/>
    <w:rsid w:val="00D602F4"/>
    <w:rsid w:val="00D604AF"/>
    <w:rsid w:val="00D60741"/>
    <w:rsid w:val="00D60856"/>
    <w:rsid w:val="00D60CD4"/>
    <w:rsid w:val="00D60D63"/>
    <w:rsid w:val="00D60E97"/>
    <w:rsid w:val="00D60E98"/>
    <w:rsid w:val="00D60F38"/>
    <w:rsid w:val="00D61121"/>
    <w:rsid w:val="00D614BB"/>
    <w:rsid w:val="00D61526"/>
    <w:rsid w:val="00D6153E"/>
    <w:rsid w:val="00D6160B"/>
    <w:rsid w:val="00D61744"/>
    <w:rsid w:val="00D617D0"/>
    <w:rsid w:val="00D6184C"/>
    <w:rsid w:val="00D61A5C"/>
    <w:rsid w:val="00D61AFB"/>
    <w:rsid w:val="00D61C4D"/>
    <w:rsid w:val="00D61EE2"/>
    <w:rsid w:val="00D62095"/>
    <w:rsid w:val="00D62119"/>
    <w:rsid w:val="00D6229B"/>
    <w:rsid w:val="00D622E5"/>
    <w:rsid w:val="00D622F3"/>
    <w:rsid w:val="00D623BF"/>
    <w:rsid w:val="00D624DE"/>
    <w:rsid w:val="00D6250E"/>
    <w:rsid w:val="00D62536"/>
    <w:rsid w:val="00D62547"/>
    <w:rsid w:val="00D62552"/>
    <w:rsid w:val="00D625DC"/>
    <w:rsid w:val="00D626A3"/>
    <w:rsid w:val="00D6294C"/>
    <w:rsid w:val="00D629E8"/>
    <w:rsid w:val="00D62AEB"/>
    <w:rsid w:val="00D62DDC"/>
    <w:rsid w:val="00D62EBB"/>
    <w:rsid w:val="00D62F47"/>
    <w:rsid w:val="00D630C7"/>
    <w:rsid w:val="00D63102"/>
    <w:rsid w:val="00D63373"/>
    <w:rsid w:val="00D635E5"/>
    <w:rsid w:val="00D63611"/>
    <w:rsid w:val="00D63631"/>
    <w:rsid w:val="00D6365C"/>
    <w:rsid w:val="00D63665"/>
    <w:rsid w:val="00D63795"/>
    <w:rsid w:val="00D637D9"/>
    <w:rsid w:val="00D63834"/>
    <w:rsid w:val="00D63889"/>
    <w:rsid w:val="00D63907"/>
    <w:rsid w:val="00D63954"/>
    <w:rsid w:val="00D639E4"/>
    <w:rsid w:val="00D63D7E"/>
    <w:rsid w:val="00D63E14"/>
    <w:rsid w:val="00D63E6A"/>
    <w:rsid w:val="00D63FF5"/>
    <w:rsid w:val="00D64002"/>
    <w:rsid w:val="00D64005"/>
    <w:rsid w:val="00D64038"/>
    <w:rsid w:val="00D64140"/>
    <w:rsid w:val="00D641A8"/>
    <w:rsid w:val="00D641DB"/>
    <w:rsid w:val="00D642BD"/>
    <w:rsid w:val="00D64678"/>
    <w:rsid w:val="00D646D6"/>
    <w:rsid w:val="00D646FA"/>
    <w:rsid w:val="00D6477D"/>
    <w:rsid w:val="00D64AA5"/>
    <w:rsid w:val="00D64B2E"/>
    <w:rsid w:val="00D64B9C"/>
    <w:rsid w:val="00D64BCF"/>
    <w:rsid w:val="00D64E37"/>
    <w:rsid w:val="00D64F45"/>
    <w:rsid w:val="00D651A9"/>
    <w:rsid w:val="00D651CD"/>
    <w:rsid w:val="00D651E4"/>
    <w:rsid w:val="00D65336"/>
    <w:rsid w:val="00D653DF"/>
    <w:rsid w:val="00D65449"/>
    <w:rsid w:val="00D6555F"/>
    <w:rsid w:val="00D65814"/>
    <w:rsid w:val="00D65908"/>
    <w:rsid w:val="00D65969"/>
    <w:rsid w:val="00D659A4"/>
    <w:rsid w:val="00D65ABF"/>
    <w:rsid w:val="00D65C40"/>
    <w:rsid w:val="00D65C68"/>
    <w:rsid w:val="00D65E6B"/>
    <w:rsid w:val="00D65E8F"/>
    <w:rsid w:val="00D65F1E"/>
    <w:rsid w:val="00D6603A"/>
    <w:rsid w:val="00D660D0"/>
    <w:rsid w:val="00D661CB"/>
    <w:rsid w:val="00D66327"/>
    <w:rsid w:val="00D66623"/>
    <w:rsid w:val="00D666E1"/>
    <w:rsid w:val="00D66858"/>
    <w:rsid w:val="00D66AEA"/>
    <w:rsid w:val="00D66C85"/>
    <w:rsid w:val="00D6703D"/>
    <w:rsid w:val="00D670C3"/>
    <w:rsid w:val="00D67104"/>
    <w:rsid w:val="00D674E4"/>
    <w:rsid w:val="00D675B9"/>
    <w:rsid w:val="00D675D0"/>
    <w:rsid w:val="00D67762"/>
    <w:rsid w:val="00D6778B"/>
    <w:rsid w:val="00D67929"/>
    <w:rsid w:val="00D67976"/>
    <w:rsid w:val="00D67A9F"/>
    <w:rsid w:val="00D67B30"/>
    <w:rsid w:val="00D67DF0"/>
    <w:rsid w:val="00D67E7C"/>
    <w:rsid w:val="00D70036"/>
    <w:rsid w:val="00D700A7"/>
    <w:rsid w:val="00D700CE"/>
    <w:rsid w:val="00D70292"/>
    <w:rsid w:val="00D70327"/>
    <w:rsid w:val="00D70528"/>
    <w:rsid w:val="00D7079A"/>
    <w:rsid w:val="00D707E3"/>
    <w:rsid w:val="00D70A11"/>
    <w:rsid w:val="00D70A47"/>
    <w:rsid w:val="00D70BB0"/>
    <w:rsid w:val="00D70C85"/>
    <w:rsid w:val="00D70DD9"/>
    <w:rsid w:val="00D70F39"/>
    <w:rsid w:val="00D70F46"/>
    <w:rsid w:val="00D70F97"/>
    <w:rsid w:val="00D713CA"/>
    <w:rsid w:val="00D714B1"/>
    <w:rsid w:val="00D714CF"/>
    <w:rsid w:val="00D7156B"/>
    <w:rsid w:val="00D715D7"/>
    <w:rsid w:val="00D71612"/>
    <w:rsid w:val="00D717BE"/>
    <w:rsid w:val="00D718C7"/>
    <w:rsid w:val="00D71ACE"/>
    <w:rsid w:val="00D71BC9"/>
    <w:rsid w:val="00D71C48"/>
    <w:rsid w:val="00D71DD3"/>
    <w:rsid w:val="00D71E4A"/>
    <w:rsid w:val="00D71E7D"/>
    <w:rsid w:val="00D71EB5"/>
    <w:rsid w:val="00D71EE1"/>
    <w:rsid w:val="00D71EF4"/>
    <w:rsid w:val="00D71F7B"/>
    <w:rsid w:val="00D71FF3"/>
    <w:rsid w:val="00D72201"/>
    <w:rsid w:val="00D722FC"/>
    <w:rsid w:val="00D724AC"/>
    <w:rsid w:val="00D724ED"/>
    <w:rsid w:val="00D726A3"/>
    <w:rsid w:val="00D726F7"/>
    <w:rsid w:val="00D728D1"/>
    <w:rsid w:val="00D72BED"/>
    <w:rsid w:val="00D72CE3"/>
    <w:rsid w:val="00D72F17"/>
    <w:rsid w:val="00D73238"/>
    <w:rsid w:val="00D73246"/>
    <w:rsid w:val="00D73273"/>
    <w:rsid w:val="00D7332C"/>
    <w:rsid w:val="00D733A9"/>
    <w:rsid w:val="00D734FC"/>
    <w:rsid w:val="00D735E3"/>
    <w:rsid w:val="00D736A6"/>
    <w:rsid w:val="00D73888"/>
    <w:rsid w:val="00D739E9"/>
    <w:rsid w:val="00D73A7D"/>
    <w:rsid w:val="00D73AB9"/>
    <w:rsid w:val="00D73B6E"/>
    <w:rsid w:val="00D73DC0"/>
    <w:rsid w:val="00D73E4B"/>
    <w:rsid w:val="00D73E77"/>
    <w:rsid w:val="00D73F68"/>
    <w:rsid w:val="00D73F8C"/>
    <w:rsid w:val="00D73FF8"/>
    <w:rsid w:val="00D74206"/>
    <w:rsid w:val="00D742A2"/>
    <w:rsid w:val="00D7433F"/>
    <w:rsid w:val="00D7435A"/>
    <w:rsid w:val="00D74360"/>
    <w:rsid w:val="00D74546"/>
    <w:rsid w:val="00D745C6"/>
    <w:rsid w:val="00D746F4"/>
    <w:rsid w:val="00D74A25"/>
    <w:rsid w:val="00D74B5D"/>
    <w:rsid w:val="00D74C4F"/>
    <w:rsid w:val="00D74D03"/>
    <w:rsid w:val="00D74D59"/>
    <w:rsid w:val="00D74DE3"/>
    <w:rsid w:val="00D74EFC"/>
    <w:rsid w:val="00D74F53"/>
    <w:rsid w:val="00D74F83"/>
    <w:rsid w:val="00D750FB"/>
    <w:rsid w:val="00D7511F"/>
    <w:rsid w:val="00D75286"/>
    <w:rsid w:val="00D75572"/>
    <w:rsid w:val="00D75646"/>
    <w:rsid w:val="00D75751"/>
    <w:rsid w:val="00D758B7"/>
    <w:rsid w:val="00D75942"/>
    <w:rsid w:val="00D75A22"/>
    <w:rsid w:val="00D75AC1"/>
    <w:rsid w:val="00D75BC1"/>
    <w:rsid w:val="00D75D07"/>
    <w:rsid w:val="00D75E21"/>
    <w:rsid w:val="00D760C6"/>
    <w:rsid w:val="00D760F3"/>
    <w:rsid w:val="00D761A4"/>
    <w:rsid w:val="00D76401"/>
    <w:rsid w:val="00D76516"/>
    <w:rsid w:val="00D765DA"/>
    <w:rsid w:val="00D7682F"/>
    <w:rsid w:val="00D76A0F"/>
    <w:rsid w:val="00D76A4B"/>
    <w:rsid w:val="00D76D10"/>
    <w:rsid w:val="00D76FC0"/>
    <w:rsid w:val="00D76FC5"/>
    <w:rsid w:val="00D77124"/>
    <w:rsid w:val="00D7721C"/>
    <w:rsid w:val="00D7731D"/>
    <w:rsid w:val="00D773A3"/>
    <w:rsid w:val="00D773BC"/>
    <w:rsid w:val="00D77471"/>
    <w:rsid w:val="00D774F5"/>
    <w:rsid w:val="00D775A5"/>
    <w:rsid w:val="00D775BD"/>
    <w:rsid w:val="00D775C6"/>
    <w:rsid w:val="00D775EF"/>
    <w:rsid w:val="00D775F3"/>
    <w:rsid w:val="00D776D7"/>
    <w:rsid w:val="00D777EA"/>
    <w:rsid w:val="00D77B45"/>
    <w:rsid w:val="00D77C8B"/>
    <w:rsid w:val="00D77CBC"/>
    <w:rsid w:val="00D77D48"/>
    <w:rsid w:val="00D77DCA"/>
    <w:rsid w:val="00D77DEF"/>
    <w:rsid w:val="00D77EF7"/>
    <w:rsid w:val="00D77FBF"/>
    <w:rsid w:val="00D801AF"/>
    <w:rsid w:val="00D801C2"/>
    <w:rsid w:val="00D801F6"/>
    <w:rsid w:val="00D803E9"/>
    <w:rsid w:val="00D8046B"/>
    <w:rsid w:val="00D80792"/>
    <w:rsid w:val="00D807C0"/>
    <w:rsid w:val="00D808D9"/>
    <w:rsid w:val="00D80BD2"/>
    <w:rsid w:val="00D80C59"/>
    <w:rsid w:val="00D80D23"/>
    <w:rsid w:val="00D80E56"/>
    <w:rsid w:val="00D810DD"/>
    <w:rsid w:val="00D81113"/>
    <w:rsid w:val="00D812E0"/>
    <w:rsid w:val="00D81432"/>
    <w:rsid w:val="00D81446"/>
    <w:rsid w:val="00D8144F"/>
    <w:rsid w:val="00D8152D"/>
    <w:rsid w:val="00D815D2"/>
    <w:rsid w:val="00D8162C"/>
    <w:rsid w:val="00D8172F"/>
    <w:rsid w:val="00D8186C"/>
    <w:rsid w:val="00D818ED"/>
    <w:rsid w:val="00D81A4B"/>
    <w:rsid w:val="00D81BB1"/>
    <w:rsid w:val="00D81C25"/>
    <w:rsid w:val="00D81CF9"/>
    <w:rsid w:val="00D81D63"/>
    <w:rsid w:val="00D81D66"/>
    <w:rsid w:val="00D820DC"/>
    <w:rsid w:val="00D8211D"/>
    <w:rsid w:val="00D8218B"/>
    <w:rsid w:val="00D823F0"/>
    <w:rsid w:val="00D825E8"/>
    <w:rsid w:val="00D82755"/>
    <w:rsid w:val="00D82772"/>
    <w:rsid w:val="00D82923"/>
    <w:rsid w:val="00D82A8C"/>
    <w:rsid w:val="00D82AE0"/>
    <w:rsid w:val="00D82C16"/>
    <w:rsid w:val="00D82F9F"/>
    <w:rsid w:val="00D82FD0"/>
    <w:rsid w:val="00D8303A"/>
    <w:rsid w:val="00D833EE"/>
    <w:rsid w:val="00D8340E"/>
    <w:rsid w:val="00D8341C"/>
    <w:rsid w:val="00D8345A"/>
    <w:rsid w:val="00D83495"/>
    <w:rsid w:val="00D83575"/>
    <w:rsid w:val="00D835B2"/>
    <w:rsid w:val="00D8364E"/>
    <w:rsid w:val="00D8365F"/>
    <w:rsid w:val="00D83775"/>
    <w:rsid w:val="00D837C7"/>
    <w:rsid w:val="00D83871"/>
    <w:rsid w:val="00D839D1"/>
    <w:rsid w:val="00D83CD9"/>
    <w:rsid w:val="00D83CE2"/>
    <w:rsid w:val="00D83D06"/>
    <w:rsid w:val="00D8402A"/>
    <w:rsid w:val="00D84162"/>
    <w:rsid w:val="00D84212"/>
    <w:rsid w:val="00D84230"/>
    <w:rsid w:val="00D84558"/>
    <w:rsid w:val="00D84595"/>
    <w:rsid w:val="00D84650"/>
    <w:rsid w:val="00D8467A"/>
    <w:rsid w:val="00D8483C"/>
    <w:rsid w:val="00D8498C"/>
    <w:rsid w:val="00D84A49"/>
    <w:rsid w:val="00D84C7D"/>
    <w:rsid w:val="00D84DAB"/>
    <w:rsid w:val="00D84DDF"/>
    <w:rsid w:val="00D84EDF"/>
    <w:rsid w:val="00D85214"/>
    <w:rsid w:val="00D8527B"/>
    <w:rsid w:val="00D85293"/>
    <w:rsid w:val="00D8533C"/>
    <w:rsid w:val="00D853BA"/>
    <w:rsid w:val="00D8545F"/>
    <w:rsid w:val="00D85804"/>
    <w:rsid w:val="00D8583A"/>
    <w:rsid w:val="00D85869"/>
    <w:rsid w:val="00D858EA"/>
    <w:rsid w:val="00D85A30"/>
    <w:rsid w:val="00D85BC3"/>
    <w:rsid w:val="00D85D5A"/>
    <w:rsid w:val="00D85DAB"/>
    <w:rsid w:val="00D85F4C"/>
    <w:rsid w:val="00D85F90"/>
    <w:rsid w:val="00D86044"/>
    <w:rsid w:val="00D860D2"/>
    <w:rsid w:val="00D86124"/>
    <w:rsid w:val="00D861A8"/>
    <w:rsid w:val="00D864CC"/>
    <w:rsid w:val="00D86526"/>
    <w:rsid w:val="00D865E0"/>
    <w:rsid w:val="00D865E2"/>
    <w:rsid w:val="00D86A35"/>
    <w:rsid w:val="00D86B1C"/>
    <w:rsid w:val="00D86BFF"/>
    <w:rsid w:val="00D86C9A"/>
    <w:rsid w:val="00D86D44"/>
    <w:rsid w:val="00D86FBF"/>
    <w:rsid w:val="00D870F2"/>
    <w:rsid w:val="00D871A3"/>
    <w:rsid w:val="00D871C4"/>
    <w:rsid w:val="00D87262"/>
    <w:rsid w:val="00D87289"/>
    <w:rsid w:val="00D87639"/>
    <w:rsid w:val="00D90008"/>
    <w:rsid w:val="00D9003A"/>
    <w:rsid w:val="00D900E1"/>
    <w:rsid w:val="00D9031D"/>
    <w:rsid w:val="00D903CE"/>
    <w:rsid w:val="00D906AA"/>
    <w:rsid w:val="00D9070C"/>
    <w:rsid w:val="00D9081B"/>
    <w:rsid w:val="00D909F6"/>
    <w:rsid w:val="00D90B2F"/>
    <w:rsid w:val="00D90C10"/>
    <w:rsid w:val="00D90DF3"/>
    <w:rsid w:val="00D91079"/>
    <w:rsid w:val="00D911BF"/>
    <w:rsid w:val="00D911CB"/>
    <w:rsid w:val="00D9123D"/>
    <w:rsid w:val="00D912FB"/>
    <w:rsid w:val="00D916C9"/>
    <w:rsid w:val="00D9174E"/>
    <w:rsid w:val="00D917EB"/>
    <w:rsid w:val="00D917EC"/>
    <w:rsid w:val="00D91842"/>
    <w:rsid w:val="00D91B76"/>
    <w:rsid w:val="00D91B9A"/>
    <w:rsid w:val="00D91C1D"/>
    <w:rsid w:val="00D91DFD"/>
    <w:rsid w:val="00D91E03"/>
    <w:rsid w:val="00D91E4C"/>
    <w:rsid w:val="00D921BC"/>
    <w:rsid w:val="00D923D3"/>
    <w:rsid w:val="00D924DC"/>
    <w:rsid w:val="00D924E8"/>
    <w:rsid w:val="00D9264F"/>
    <w:rsid w:val="00D92691"/>
    <w:rsid w:val="00D926AC"/>
    <w:rsid w:val="00D926B1"/>
    <w:rsid w:val="00D928EE"/>
    <w:rsid w:val="00D92966"/>
    <w:rsid w:val="00D92AAA"/>
    <w:rsid w:val="00D92B9C"/>
    <w:rsid w:val="00D92BD1"/>
    <w:rsid w:val="00D92D24"/>
    <w:rsid w:val="00D93029"/>
    <w:rsid w:val="00D93353"/>
    <w:rsid w:val="00D93373"/>
    <w:rsid w:val="00D9338E"/>
    <w:rsid w:val="00D93404"/>
    <w:rsid w:val="00D93450"/>
    <w:rsid w:val="00D9345A"/>
    <w:rsid w:val="00D934A2"/>
    <w:rsid w:val="00D93590"/>
    <w:rsid w:val="00D935A1"/>
    <w:rsid w:val="00D935BD"/>
    <w:rsid w:val="00D936FE"/>
    <w:rsid w:val="00D93817"/>
    <w:rsid w:val="00D93BFB"/>
    <w:rsid w:val="00D93DD9"/>
    <w:rsid w:val="00D93E14"/>
    <w:rsid w:val="00D93E1D"/>
    <w:rsid w:val="00D93E81"/>
    <w:rsid w:val="00D93EEC"/>
    <w:rsid w:val="00D940D5"/>
    <w:rsid w:val="00D94195"/>
    <w:rsid w:val="00D9427D"/>
    <w:rsid w:val="00D9437A"/>
    <w:rsid w:val="00D943F0"/>
    <w:rsid w:val="00D94461"/>
    <w:rsid w:val="00D945B8"/>
    <w:rsid w:val="00D94648"/>
    <w:rsid w:val="00D9475F"/>
    <w:rsid w:val="00D9481B"/>
    <w:rsid w:val="00D949DC"/>
    <w:rsid w:val="00D94A6C"/>
    <w:rsid w:val="00D94B30"/>
    <w:rsid w:val="00D94B69"/>
    <w:rsid w:val="00D94C2C"/>
    <w:rsid w:val="00D94C58"/>
    <w:rsid w:val="00D94CD6"/>
    <w:rsid w:val="00D94D6E"/>
    <w:rsid w:val="00D94DEC"/>
    <w:rsid w:val="00D94ECF"/>
    <w:rsid w:val="00D94F21"/>
    <w:rsid w:val="00D9508F"/>
    <w:rsid w:val="00D952A8"/>
    <w:rsid w:val="00D957A2"/>
    <w:rsid w:val="00D9583E"/>
    <w:rsid w:val="00D95877"/>
    <w:rsid w:val="00D9597D"/>
    <w:rsid w:val="00D95A90"/>
    <w:rsid w:val="00D95B37"/>
    <w:rsid w:val="00D95BC6"/>
    <w:rsid w:val="00D95C36"/>
    <w:rsid w:val="00D95DA6"/>
    <w:rsid w:val="00D95EE4"/>
    <w:rsid w:val="00D95EFD"/>
    <w:rsid w:val="00D95F96"/>
    <w:rsid w:val="00D9605E"/>
    <w:rsid w:val="00D962AA"/>
    <w:rsid w:val="00D964D1"/>
    <w:rsid w:val="00D9671E"/>
    <w:rsid w:val="00D96D04"/>
    <w:rsid w:val="00D96D13"/>
    <w:rsid w:val="00D97273"/>
    <w:rsid w:val="00D9734C"/>
    <w:rsid w:val="00D97400"/>
    <w:rsid w:val="00D97454"/>
    <w:rsid w:val="00D974B6"/>
    <w:rsid w:val="00D97558"/>
    <w:rsid w:val="00D97750"/>
    <w:rsid w:val="00D97760"/>
    <w:rsid w:val="00D977FA"/>
    <w:rsid w:val="00D978F5"/>
    <w:rsid w:val="00D9798F"/>
    <w:rsid w:val="00D97AE8"/>
    <w:rsid w:val="00D97DE5"/>
    <w:rsid w:val="00D97DF7"/>
    <w:rsid w:val="00D97E16"/>
    <w:rsid w:val="00DA003A"/>
    <w:rsid w:val="00DA0122"/>
    <w:rsid w:val="00DA0163"/>
    <w:rsid w:val="00DA0228"/>
    <w:rsid w:val="00DA038D"/>
    <w:rsid w:val="00DA050F"/>
    <w:rsid w:val="00DA0788"/>
    <w:rsid w:val="00DA09EA"/>
    <w:rsid w:val="00DA0B23"/>
    <w:rsid w:val="00DA0C01"/>
    <w:rsid w:val="00DA0D5F"/>
    <w:rsid w:val="00DA0DB4"/>
    <w:rsid w:val="00DA0EE8"/>
    <w:rsid w:val="00DA0EED"/>
    <w:rsid w:val="00DA1140"/>
    <w:rsid w:val="00DA14B3"/>
    <w:rsid w:val="00DA1535"/>
    <w:rsid w:val="00DA1560"/>
    <w:rsid w:val="00DA15ED"/>
    <w:rsid w:val="00DA16E4"/>
    <w:rsid w:val="00DA174F"/>
    <w:rsid w:val="00DA1787"/>
    <w:rsid w:val="00DA17B3"/>
    <w:rsid w:val="00DA1818"/>
    <w:rsid w:val="00DA1909"/>
    <w:rsid w:val="00DA1A0A"/>
    <w:rsid w:val="00DA1A22"/>
    <w:rsid w:val="00DA1CB6"/>
    <w:rsid w:val="00DA1D29"/>
    <w:rsid w:val="00DA1F38"/>
    <w:rsid w:val="00DA1FE6"/>
    <w:rsid w:val="00DA207E"/>
    <w:rsid w:val="00DA209F"/>
    <w:rsid w:val="00DA20D2"/>
    <w:rsid w:val="00DA220D"/>
    <w:rsid w:val="00DA22B6"/>
    <w:rsid w:val="00DA2352"/>
    <w:rsid w:val="00DA24CB"/>
    <w:rsid w:val="00DA25A8"/>
    <w:rsid w:val="00DA25F6"/>
    <w:rsid w:val="00DA26D6"/>
    <w:rsid w:val="00DA2A5E"/>
    <w:rsid w:val="00DA2CBF"/>
    <w:rsid w:val="00DA2CEE"/>
    <w:rsid w:val="00DA2D8A"/>
    <w:rsid w:val="00DA2E13"/>
    <w:rsid w:val="00DA2EFF"/>
    <w:rsid w:val="00DA3020"/>
    <w:rsid w:val="00DA30DF"/>
    <w:rsid w:val="00DA31C1"/>
    <w:rsid w:val="00DA3207"/>
    <w:rsid w:val="00DA3348"/>
    <w:rsid w:val="00DA36A1"/>
    <w:rsid w:val="00DA36F0"/>
    <w:rsid w:val="00DA371E"/>
    <w:rsid w:val="00DA3824"/>
    <w:rsid w:val="00DA38DF"/>
    <w:rsid w:val="00DA390F"/>
    <w:rsid w:val="00DA396B"/>
    <w:rsid w:val="00DA3B3E"/>
    <w:rsid w:val="00DA3B96"/>
    <w:rsid w:val="00DA3D70"/>
    <w:rsid w:val="00DA3E9C"/>
    <w:rsid w:val="00DA41B4"/>
    <w:rsid w:val="00DA41E2"/>
    <w:rsid w:val="00DA4224"/>
    <w:rsid w:val="00DA42EA"/>
    <w:rsid w:val="00DA440D"/>
    <w:rsid w:val="00DA44E0"/>
    <w:rsid w:val="00DA4601"/>
    <w:rsid w:val="00DA46FE"/>
    <w:rsid w:val="00DA48CE"/>
    <w:rsid w:val="00DA4A43"/>
    <w:rsid w:val="00DA4A5A"/>
    <w:rsid w:val="00DA4A69"/>
    <w:rsid w:val="00DA4B0C"/>
    <w:rsid w:val="00DA4C3D"/>
    <w:rsid w:val="00DA4C94"/>
    <w:rsid w:val="00DA507C"/>
    <w:rsid w:val="00DA50A1"/>
    <w:rsid w:val="00DA513B"/>
    <w:rsid w:val="00DA54FE"/>
    <w:rsid w:val="00DA5536"/>
    <w:rsid w:val="00DA55F6"/>
    <w:rsid w:val="00DA561C"/>
    <w:rsid w:val="00DA56BD"/>
    <w:rsid w:val="00DA57BA"/>
    <w:rsid w:val="00DA595F"/>
    <w:rsid w:val="00DA5982"/>
    <w:rsid w:val="00DA59CD"/>
    <w:rsid w:val="00DA5A4D"/>
    <w:rsid w:val="00DA5B4F"/>
    <w:rsid w:val="00DA5CED"/>
    <w:rsid w:val="00DA5E1B"/>
    <w:rsid w:val="00DA5EB6"/>
    <w:rsid w:val="00DA5EF2"/>
    <w:rsid w:val="00DA5F48"/>
    <w:rsid w:val="00DA5F80"/>
    <w:rsid w:val="00DA5FCC"/>
    <w:rsid w:val="00DA6054"/>
    <w:rsid w:val="00DA6335"/>
    <w:rsid w:val="00DA6424"/>
    <w:rsid w:val="00DA645A"/>
    <w:rsid w:val="00DA650F"/>
    <w:rsid w:val="00DA66C6"/>
    <w:rsid w:val="00DA6819"/>
    <w:rsid w:val="00DA6863"/>
    <w:rsid w:val="00DA6992"/>
    <w:rsid w:val="00DA6B24"/>
    <w:rsid w:val="00DA6BF0"/>
    <w:rsid w:val="00DA6EC3"/>
    <w:rsid w:val="00DA7025"/>
    <w:rsid w:val="00DA7299"/>
    <w:rsid w:val="00DA7477"/>
    <w:rsid w:val="00DA76B2"/>
    <w:rsid w:val="00DA76F7"/>
    <w:rsid w:val="00DA779A"/>
    <w:rsid w:val="00DA78AF"/>
    <w:rsid w:val="00DA7957"/>
    <w:rsid w:val="00DA7BCB"/>
    <w:rsid w:val="00DA7C02"/>
    <w:rsid w:val="00DA7C1C"/>
    <w:rsid w:val="00DA7C21"/>
    <w:rsid w:val="00DA7C2C"/>
    <w:rsid w:val="00DA7CD8"/>
    <w:rsid w:val="00DA7D1F"/>
    <w:rsid w:val="00DA7E93"/>
    <w:rsid w:val="00DA7FC6"/>
    <w:rsid w:val="00DB011B"/>
    <w:rsid w:val="00DB0429"/>
    <w:rsid w:val="00DB04FD"/>
    <w:rsid w:val="00DB05DC"/>
    <w:rsid w:val="00DB05EB"/>
    <w:rsid w:val="00DB06CE"/>
    <w:rsid w:val="00DB06EA"/>
    <w:rsid w:val="00DB0793"/>
    <w:rsid w:val="00DB0939"/>
    <w:rsid w:val="00DB0A2F"/>
    <w:rsid w:val="00DB0A30"/>
    <w:rsid w:val="00DB0AD7"/>
    <w:rsid w:val="00DB0BE1"/>
    <w:rsid w:val="00DB0C50"/>
    <w:rsid w:val="00DB0CAC"/>
    <w:rsid w:val="00DB0CC4"/>
    <w:rsid w:val="00DB0D5B"/>
    <w:rsid w:val="00DB0D65"/>
    <w:rsid w:val="00DB0D9A"/>
    <w:rsid w:val="00DB0E7F"/>
    <w:rsid w:val="00DB0EAF"/>
    <w:rsid w:val="00DB0EFA"/>
    <w:rsid w:val="00DB1048"/>
    <w:rsid w:val="00DB10F1"/>
    <w:rsid w:val="00DB13C7"/>
    <w:rsid w:val="00DB14FA"/>
    <w:rsid w:val="00DB1688"/>
    <w:rsid w:val="00DB169A"/>
    <w:rsid w:val="00DB175D"/>
    <w:rsid w:val="00DB1779"/>
    <w:rsid w:val="00DB1924"/>
    <w:rsid w:val="00DB1CF0"/>
    <w:rsid w:val="00DB1E61"/>
    <w:rsid w:val="00DB1EA1"/>
    <w:rsid w:val="00DB21FD"/>
    <w:rsid w:val="00DB2337"/>
    <w:rsid w:val="00DB2488"/>
    <w:rsid w:val="00DB2854"/>
    <w:rsid w:val="00DB292A"/>
    <w:rsid w:val="00DB2BCC"/>
    <w:rsid w:val="00DB2D17"/>
    <w:rsid w:val="00DB2D45"/>
    <w:rsid w:val="00DB2FE8"/>
    <w:rsid w:val="00DB301B"/>
    <w:rsid w:val="00DB32A9"/>
    <w:rsid w:val="00DB32C0"/>
    <w:rsid w:val="00DB3434"/>
    <w:rsid w:val="00DB34A0"/>
    <w:rsid w:val="00DB355B"/>
    <w:rsid w:val="00DB35DC"/>
    <w:rsid w:val="00DB362B"/>
    <w:rsid w:val="00DB390A"/>
    <w:rsid w:val="00DB3A16"/>
    <w:rsid w:val="00DB3C19"/>
    <w:rsid w:val="00DB3E3C"/>
    <w:rsid w:val="00DB3E5D"/>
    <w:rsid w:val="00DB3FBD"/>
    <w:rsid w:val="00DB4097"/>
    <w:rsid w:val="00DB412F"/>
    <w:rsid w:val="00DB418D"/>
    <w:rsid w:val="00DB4208"/>
    <w:rsid w:val="00DB4340"/>
    <w:rsid w:val="00DB4426"/>
    <w:rsid w:val="00DB442E"/>
    <w:rsid w:val="00DB4442"/>
    <w:rsid w:val="00DB44D3"/>
    <w:rsid w:val="00DB4530"/>
    <w:rsid w:val="00DB4538"/>
    <w:rsid w:val="00DB45A7"/>
    <w:rsid w:val="00DB45B0"/>
    <w:rsid w:val="00DB46CB"/>
    <w:rsid w:val="00DB4784"/>
    <w:rsid w:val="00DB48DF"/>
    <w:rsid w:val="00DB4C44"/>
    <w:rsid w:val="00DB4C73"/>
    <w:rsid w:val="00DB4E75"/>
    <w:rsid w:val="00DB51C2"/>
    <w:rsid w:val="00DB51F8"/>
    <w:rsid w:val="00DB5228"/>
    <w:rsid w:val="00DB5385"/>
    <w:rsid w:val="00DB53A7"/>
    <w:rsid w:val="00DB546B"/>
    <w:rsid w:val="00DB5501"/>
    <w:rsid w:val="00DB55B9"/>
    <w:rsid w:val="00DB56FB"/>
    <w:rsid w:val="00DB5767"/>
    <w:rsid w:val="00DB57F2"/>
    <w:rsid w:val="00DB5864"/>
    <w:rsid w:val="00DB5BD5"/>
    <w:rsid w:val="00DB5C62"/>
    <w:rsid w:val="00DB5CD2"/>
    <w:rsid w:val="00DB5ECE"/>
    <w:rsid w:val="00DB608B"/>
    <w:rsid w:val="00DB6313"/>
    <w:rsid w:val="00DB6338"/>
    <w:rsid w:val="00DB638D"/>
    <w:rsid w:val="00DB6636"/>
    <w:rsid w:val="00DB68BF"/>
    <w:rsid w:val="00DB68DD"/>
    <w:rsid w:val="00DB69A7"/>
    <w:rsid w:val="00DB69B6"/>
    <w:rsid w:val="00DB6B56"/>
    <w:rsid w:val="00DB6BC7"/>
    <w:rsid w:val="00DB6C25"/>
    <w:rsid w:val="00DB6C38"/>
    <w:rsid w:val="00DB6C9B"/>
    <w:rsid w:val="00DB702D"/>
    <w:rsid w:val="00DB70E2"/>
    <w:rsid w:val="00DB726B"/>
    <w:rsid w:val="00DB745B"/>
    <w:rsid w:val="00DB74BE"/>
    <w:rsid w:val="00DB750B"/>
    <w:rsid w:val="00DB7692"/>
    <w:rsid w:val="00DB76A5"/>
    <w:rsid w:val="00DB76E5"/>
    <w:rsid w:val="00DB7765"/>
    <w:rsid w:val="00DB77C2"/>
    <w:rsid w:val="00DB784D"/>
    <w:rsid w:val="00DB7ABF"/>
    <w:rsid w:val="00DB7B36"/>
    <w:rsid w:val="00DB7B6F"/>
    <w:rsid w:val="00DB7D5D"/>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774"/>
    <w:rsid w:val="00DC1915"/>
    <w:rsid w:val="00DC19F6"/>
    <w:rsid w:val="00DC1D71"/>
    <w:rsid w:val="00DC1FAB"/>
    <w:rsid w:val="00DC2050"/>
    <w:rsid w:val="00DC223C"/>
    <w:rsid w:val="00DC236C"/>
    <w:rsid w:val="00DC25A3"/>
    <w:rsid w:val="00DC267A"/>
    <w:rsid w:val="00DC2747"/>
    <w:rsid w:val="00DC28E8"/>
    <w:rsid w:val="00DC296F"/>
    <w:rsid w:val="00DC2A85"/>
    <w:rsid w:val="00DC2BB1"/>
    <w:rsid w:val="00DC2E30"/>
    <w:rsid w:val="00DC2EBE"/>
    <w:rsid w:val="00DC3104"/>
    <w:rsid w:val="00DC31B0"/>
    <w:rsid w:val="00DC3226"/>
    <w:rsid w:val="00DC3338"/>
    <w:rsid w:val="00DC3370"/>
    <w:rsid w:val="00DC3499"/>
    <w:rsid w:val="00DC349E"/>
    <w:rsid w:val="00DC36A1"/>
    <w:rsid w:val="00DC38FA"/>
    <w:rsid w:val="00DC3A6D"/>
    <w:rsid w:val="00DC3B06"/>
    <w:rsid w:val="00DC3B0A"/>
    <w:rsid w:val="00DC3CE3"/>
    <w:rsid w:val="00DC3D21"/>
    <w:rsid w:val="00DC3FEC"/>
    <w:rsid w:val="00DC4036"/>
    <w:rsid w:val="00DC40EE"/>
    <w:rsid w:val="00DC4392"/>
    <w:rsid w:val="00DC44C2"/>
    <w:rsid w:val="00DC4744"/>
    <w:rsid w:val="00DC47A8"/>
    <w:rsid w:val="00DC47D8"/>
    <w:rsid w:val="00DC4909"/>
    <w:rsid w:val="00DC4B0D"/>
    <w:rsid w:val="00DC4B32"/>
    <w:rsid w:val="00DC4D0E"/>
    <w:rsid w:val="00DC4D7E"/>
    <w:rsid w:val="00DC4EC1"/>
    <w:rsid w:val="00DC50E0"/>
    <w:rsid w:val="00DC51AF"/>
    <w:rsid w:val="00DC53EC"/>
    <w:rsid w:val="00DC560E"/>
    <w:rsid w:val="00DC571E"/>
    <w:rsid w:val="00DC5A9C"/>
    <w:rsid w:val="00DC5B32"/>
    <w:rsid w:val="00DC5C67"/>
    <w:rsid w:val="00DC5D27"/>
    <w:rsid w:val="00DC5E54"/>
    <w:rsid w:val="00DC5F6B"/>
    <w:rsid w:val="00DC610C"/>
    <w:rsid w:val="00DC616C"/>
    <w:rsid w:val="00DC6497"/>
    <w:rsid w:val="00DC650D"/>
    <w:rsid w:val="00DC667C"/>
    <w:rsid w:val="00DC674F"/>
    <w:rsid w:val="00DC68D4"/>
    <w:rsid w:val="00DC68D6"/>
    <w:rsid w:val="00DC68F5"/>
    <w:rsid w:val="00DC69C1"/>
    <w:rsid w:val="00DC6B4A"/>
    <w:rsid w:val="00DC6BF1"/>
    <w:rsid w:val="00DC6D45"/>
    <w:rsid w:val="00DC6DBF"/>
    <w:rsid w:val="00DC6DC5"/>
    <w:rsid w:val="00DC6E5A"/>
    <w:rsid w:val="00DC71BE"/>
    <w:rsid w:val="00DC71E3"/>
    <w:rsid w:val="00DC760C"/>
    <w:rsid w:val="00DC780B"/>
    <w:rsid w:val="00DC783B"/>
    <w:rsid w:val="00DC784F"/>
    <w:rsid w:val="00DC7AE4"/>
    <w:rsid w:val="00DC7B69"/>
    <w:rsid w:val="00DC7D60"/>
    <w:rsid w:val="00DC7FF2"/>
    <w:rsid w:val="00DD0025"/>
    <w:rsid w:val="00DD019A"/>
    <w:rsid w:val="00DD01F8"/>
    <w:rsid w:val="00DD024E"/>
    <w:rsid w:val="00DD0625"/>
    <w:rsid w:val="00DD0919"/>
    <w:rsid w:val="00DD097B"/>
    <w:rsid w:val="00DD09EA"/>
    <w:rsid w:val="00DD0A19"/>
    <w:rsid w:val="00DD0B00"/>
    <w:rsid w:val="00DD0B9D"/>
    <w:rsid w:val="00DD0C23"/>
    <w:rsid w:val="00DD0F2F"/>
    <w:rsid w:val="00DD10FE"/>
    <w:rsid w:val="00DD1437"/>
    <w:rsid w:val="00DD1448"/>
    <w:rsid w:val="00DD15DD"/>
    <w:rsid w:val="00DD1887"/>
    <w:rsid w:val="00DD1A55"/>
    <w:rsid w:val="00DD1CBE"/>
    <w:rsid w:val="00DD1DE9"/>
    <w:rsid w:val="00DD1EBC"/>
    <w:rsid w:val="00DD1EF9"/>
    <w:rsid w:val="00DD20E9"/>
    <w:rsid w:val="00DD20F8"/>
    <w:rsid w:val="00DD21E6"/>
    <w:rsid w:val="00DD21E9"/>
    <w:rsid w:val="00DD2333"/>
    <w:rsid w:val="00DD23EE"/>
    <w:rsid w:val="00DD2471"/>
    <w:rsid w:val="00DD2488"/>
    <w:rsid w:val="00DD2564"/>
    <w:rsid w:val="00DD27C6"/>
    <w:rsid w:val="00DD28F9"/>
    <w:rsid w:val="00DD2967"/>
    <w:rsid w:val="00DD2ADF"/>
    <w:rsid w:val="00DD2B04"/>
    <w:rsid w:val="00DD2BD3"/>
    <w:rsid w:val="00DD2C2E"/>
    <w:rsid w:val="00DD2E77"/>
    <w:rsid w:val="00DD2EAF"/>
    <w:rsid w:val="00DD2F1D"/>
    <w:rsid w:val="00DD3034"/>
    <w:rsid w:val="00DD30A0"/>
    <w:rsid w:val="00DD30CF"/>
    <w:rsid w:val="00DD321F"/>
    <w:rsid w:val="00DD3229"/>
    <w:rsid w:val="00DD3345"/>
    <w:rsid w:val="00DD33A2"/>
    <w:rsid w:val="00DD3423"/>
    <w:rsid w:val="00DD344D"/>
    <w:rsid w:val="00DD3572"/>
    <w:rsid w:val="00DD38B0"/>
    <w:rsid w:val="00DD3918"/>
    <w:rsid w:val="00DD3984"/>
    <w:rsid w:val="00DD3CFE"/>
    <w:rsid w:val="00DD3DA2"/>
    <w:rsid w:val="00DD3E0E"/>
    <w:rsid w:val="00DD40A2"/>
    <w:rsid w:val="00DD47A6"/>
    <w:rsid w:val="00DD47B7"/>
    <w:rsid w:val="00DD49E5"/>
    <w:rsid w:val="00DD4A74"/>
    <w:rsid w:val="00DD4CEF"/>
    <w:rsid w:val="00DD4E57"/>
    <w:rsid w:val="00DD4ECB"/>
    <w:rsid w:val="00DD4F01"/>
    <w:rsid w:val="00DD4F74"/>
    <w:rsid w:val="00DD5071"/>
    <w:rsid w:val="00DD51F4"/>
    <w:rsid w:val="00DD51FE"/>
    <w:rsid w:val="00DD52F1"/>
    <w:rsid w:val="00DD5524"/>
    <w:rsid w:val="00DD56F9"/>
    <w:rsid w:val="00DD5AC7"/>
    <w:rsid w:val="00DD5D1D"/>
    <w:rsid w:val="00DD5F34"/>
    <w:rsid w:val="00DD5F63"/>
    <w:rsid w:val="00DD602D"/>
    <w:rsid w:val="00DD6172"/>
    <w:rsid w:val="00DD62E7"/>
    <w:rsid w:val="00DD6471"/>
    <w:rsid w:val="00DD6724"/>
    <w:rsid w:val="00DD6787"/>
    <w:rsid w:val="00DD67D8"/>
    <w:rsid w:val="00DD67DA"/>
    <w:rsid w:val="00DD68F7"/>
    <w:rsid w:val="00DD695A"/>
    <w:rsid w:val="00DD69B5"/>
    <w:rsid w:val="00DD6AA1"/>
    <w:rsid w:val="00DD6AD4"/>
    <w:rsid w:val="00DD6B89"/>
    <w:rsid w:val="00DD6C0A"/>
    <w:rsid w:val="00DD6CF3"/>
    <w:rsid w:val="00DD6E14"/>
    <w:rsid w:val="00DD6F93"/>
    <w:rsid w:val="00DD6FC7"/>
    <w:rsid w:val="00DD70A8"/>
    <w:rsid w:val="00DD7188"/>
    <w:rsid w:val="00DD71EC"/>
    <w:rsid w:val="00DD7278"/>
    <w:rsid w:val="00DD72A1"/>
    <w:rsid w:val="00DD72CB"/>
    <w:rsid w:val="00DD7459"/>
    <w:rsid w:val="00DD76A5"/>
    <w:rsid w:val="00DD76E6"/>
    <w:rsid w:val="00DD77C8"/>
    <w:rsid w:val="00DD7951"/>
    <w:rsid w:val="00DD7A16"/>
    <w:rsid w:val="00DD7AC8"/>
    <w:rsid w:val="00DD7B9C"/>
    <w:rsid w:val="00DE024F"/>
    <w:rsid w:val="00DE029D"/>
    <w:rsid w:val="00DE0470"/>
    <w:rsid w:val="00DE0481"/>
    <w:rsid w:val="00DE04A6"/>
    <w:rsid w:val="00DE0615"/>
    <w:rsid w:val="00DE067B"/>
    <w:rsid w:val="00DE07E9"/>
    <w:rsid w:val="00DE08B4"/>
    <w:rsid w:val="00DE08E4"/>
    <w:rsid w:val="00DE09FA"/>
    <w:rsid w:val="00DE0BB5"/>
    <w:rsid w:val="00DE0BEC"/>
    <w:rsid w:val="00DE0C39"/>
    <w:rsid w:val="00DE0F09"/>
    <w:rsid w:val="00DE0FC7"/>
    <w:rsid w:val="00DE104A"/>
    <w:rsid w:val="00DE11C3"/>
    <w:rsid w:val="00DE14B1"/>
    <w:rsid w:val="00DE1584"/>
    <w:rsid w:val="00DE1771"/>
    <w:rsid w:val="00DE19A5"/>
    <w:rsid w:val="00DE1AD4"/>
    <w:rsid w:val="00DE1ADD"/>
    <w:rsid w:val="00DE1B63"/>
    <w:rsid w:val="00DE1BA3"/>
    <w:rsid w:val="00DE1FA2"/>
    <w:rsid w:val="00DE1FA6"/>
    <w:rsid w:val="00DE208E"/>
    <w:rsid w:val="00DE21A0"/>
    <w:rsid w:val="00DE22F0"/>
    <w:rsid w:val="00DE24BA"/>
    <w:rsid w:val="00DE287D"/>
    <w:rsid w:val="00DE2A44"/>
    <w:rsid w:val="00DE2B41"/>
    <w:rsid w:val="00DE2B98"/>
    <w:rsid w:val="00DE2D0C"/>
    <w:rsid w:val="00DE2E62"/>
    <w:rsid w:val="00DE2F78"/>
    <w:rsid w:val="00DE2FC4"/>
    <w:rsid w:val="00DE3143"/>
    <w:rsid w:val="00DE3352"/>
    <w:rsid w:val="00DE33A3"/>
    <w:rsid w:val="00DE347F"/>
    <w:rsid w:val="00DE36D7"/>
    <w:rsid w:val="00DE3735"/>
    <w:rsid w:val="00DE37B5"/>
    <w:rsid w:val="00DE393A"/>
    <w:rsid w:val="00DE3ADD"/>
    <w:rsid w:val="00DE3C17"/>
    <w:rsid w:val="00DE3DBF"/>
    <w:rsid w:val="00DE404C"/>
    <w:rsid w:val="00DE4216"/>
    <w:rsid w:val="00DE4425"/>
    <w:rsid w:val="00DE446B"/>
    <w:rsid w:val="00DE4518"/>
    <w:rsid w:val="00DE45B1"/>
    <w:rsid w:val="00DE463B"/>
    <w:rsid w:val="00DE4712"/>
    <w:rsid w:val="00DE47E1"/>
    <w:rsid w:val="00DE48BC"/>
    <w:rsid w:val="00DE499D"/>
    <w:rsid w:val="00DE4C03"/>
    <w:rsid w:val="00DE4CE5"/>
    <w:rsid w:val="00DE4EAB"/>
    <w:rsid w:val="00DE4FB8"/>
    <w:rsid w:val="00DE512D"/>
    <w:rsid w:val="00DE53B0"/>
    <w:rsid w:val="00DE53EF"/>
    <w:rsid w:val="00DE5579"/>
    <w:rsid w:val="00DE55D2"/>
    <w:rsid w:val="00DE564B"/>
    <w:rsid w:val="00DE5657"/>
    <w:rsid w:val="00DE56C2"/>
    <w:rsid w:val="00DE57B1"/>
    <w:rsid w:val="00DE57B8"/>
    <w:rsid w:val="00DE58E7"/>
    <w:rsid w:val="00DE5987"/>
    <w:rsid w:val="00DE5C2B"/>
    <w:rsid w:val="00DE5D4D"/>
    <w:rsid w:val="00DE5D91"/>
    <w:rsid w:val="00DE5DFB"/>
    <w:rsid w:val="00DE5EA8"/>
    <w:rsid w:val="00DE5FD3"/>
    <w:rsid w:val="00DE60AA"/>
    <w:rsid w:val="00DE624C"/>
    <w:rsid w:val="00DE630B"/>
    <w:rsid w:val="00DE6336"/>
    <w:rsid w:val="00DE63F7"/>
    <w:rsid w:val="00DE6490"/>
    <w:rsid w:val="00DE64FB"/>
    <w:rsid w:val="00DE64FD"/>
    <w:rsid w:val="00DE670F"/>
    <w:rsid w:val="00DE682F"/>
    <w:rsid w:val="00DE6889"/>
    <w:rsid w:val="00DE68D2"/>
    <w:rsid w:val="00DE68D8"/>
    <w:rsid w:val="00DE68EA"/>
    <w:rsid w:val="00DE69FE"/>
    <w:rsid w:val="00DE6B74"/>
    <w:rsid w:val="00DE6BAD"/>
    <w:rsid w:val="00DE6C1B"/>
    <w:rsid w:val="00DE6D75"/>
    <w:rsid w:val="00DE6DB1"/>
    <w:rsid w:val="00DE6E3A"/>
    <w:rsid w:val="00DE6E61"/>
    <w:rsid w:val="00DE6EF8"/>
    <w:rsid w:val="00DE70CC"/>
    <w:rsid w:val="00DE728A"/>
    <w:rsid w:val="00DE7432"/>
    <w:rsid w:val="00DE74A1"/>
    <w:rsid w:val="00DE74B3"/>
    <w:rsid w:val="00DE7734"/>
    <w:rsid w:val="00DE79CB"/>
    <w:rsid w:val="00DE7C1E"/>
    <w:rsid w:val="00DE7EBC"/>
    <w:rsid w:val="00DE7EDC"/>
    <w:rsid w:val="00DE7EE7"/>
    <w:rsid w:val="00DE7EEA"/>
    <w:rsid w:val="00DE7F37"/>
    <w:rsid w:val="00DE7FAD"/>
    <w:rsid w:val="00DF004D"/>
    <w:rsid w:val="00DF00BB"/>
    <w:rsid w:val="00DF0125"/>
    <w:rsid w:val="00DF0238"/>
    <w:rsid w:val="00DF0248"/>
    <w:rsid w:val="00DF0507"/>
    <w:rsid w:val="00DF05F8"/>
    <w:rsid w:val="00DF0889"/>
    <w:rsid w:val="00DF0935"/>
    <w:rsid w:val="00DF0FC3"/>
    <w:rsid w:val="00DF1137"/>
    <w:rsid w:val="00DF11DB"/>
    <w:rsid w:val="00DF13AF"/>
    <w:rsid w:val="00DF13B5"/>
    <w:rsid w:val="00DF14B2"/>
    <w:rsid w:val="00DF14CA"/>
    <w:rsid w:val="00DF14F6"/>
    <w:rsid w:val="00DF150D"/>
    <w:rsid w:val="00DF181A"/>
    <w:rsid w:val="00DF1AB7"/>
    <w:rsid w:val="00DF1B00"/>
    <w:rsid w:val="00DF1DEA"/>
    <w:rsid w:val="00DF1EDB"/>
    <w:rsid w:val="00DF1FF5"/>
    <w:rsid w:val="00DF20CE"/>
    <w:rsid w:val="00DF22A8"/>
    <w:rsid w:val="00DF22B2"/>
    <w:rsid w:val="00DF259D"/>
    <w:rsid w:val="00DF2628"/>
    <w:rsid w:val="00DF26F0"/>
    <w:rsid w:val="00DF28E1"/>
    <w:rsid w:val="00DF2D29"/>
    <w:rsid w:val="00DF2DA8"/>
    <w:rsid w:val="00DF2E6A"/>
    <w:rsid w:val="00DF2E9C"/>
    <w:rsid w:val="00DF3186"/>
    <w:rsid w:val="00DF33B1"/>
    <w:rsid w:val="00DF33C8"/>
    <w:rsid w:val="00DF33EC"/>
    <w:rsid w:val="00DF3598"/>
    <w:rsid w:val="00DF36C6"/>
    <w:rsid w:val="00DF3701"/>
    <w:rsid w:val="00DF3703"/>
    <w:rsid w:val="00DF38AA"/>
    <w:rsid w:val="00DF3C1F"/>
    <w:rsid w:val="00DF3C91"/>
    <w:rsid w:val="00DF3E19"/>
    <w:rsid w:val="00DF3EDB"/>
    <w:rsid w:val="00DF401B"/>
    <w:rsid w:val="00DF404A"/>
    <w:rsid w:val="00DF41EE"/>
    <w:rsid w:val="00DF41FA"/>
    <w:rsid w:val="00DF4282"/>
    <w:rsid w:val="00DF4369"/>
    <w:rsid w:val="00DF4438"/>
    <w:rsid w:val="00DF4502"/>
    <w:rsid w:val="00DF467D"/>
    <w:rsid w:val="00DF4B84"/>
    <w:rsid w:val="00DF4C80"/>
    <w:rsid w:val="00DF4CC0"/>
    <w:rsid w:val="00DF4FE2"/>
    <w:rsid w:val="00DF5003"/>
    <w:rsid w:val="00DF50A1"/>
    <w:rsid w:val="00DF52D2"/>
    <w:rsid w:val="00DF5353"/>
    <w:rsid w:val="00DF5494"/>
    <w:rsid w:val="00DF5573"/>
    <w:rsid w:val="00DF5764"/>
    <w:rsid w:val="00DF5826"/>
    <w:rsid w:val="00DF59B2"/>
    <w:rsid w:val="00DF5A4D"/>
    <w:rsid w:val="00DF5BE4"/>
    <w:rsid w:val="00DF5E92"/>
    <w:rsid w:val="00DF6080"/>
    <w:rsid w:val="00DF61A1"/>
    <w:rsid w:val="00DF62D9"/>
    <w:rsid w:val="00DF6310"/>
    <w:rsid w:val="00DF65C7"/>
    <w:rsid w:val="00DF663A"/>
    <w:rsid w:val="00DF66CB"/>
    <w:rsid w:val="00DF6723"/>
    <w:rsid w:val="00DF67CD"/>
    <w:rsid w:val="00DF692D"/>
    <w:rsid w:val="00DF69A1"/>
    <w:rsid w:val="00DF6AD8"/>
    <w:rsid w:val="00DF6BA2"/>
    <w:rsid w:val="00DF6CF7"/>
    <w:rsid w:val="00DF6D14"/>
    <w:rsid w:val="00DF6EAC"/>
    <w:rsid w:val="00DF71C8"/>
    <w:rsid w:val="00DF72B4"/>
    <w:rsid w:val="00DF7333"/>
    <w:rsid w:val="00DF74DF"/>
    <w:rsid w:val="00DF772D"/>
    <w:rsid w:val="00DF77E8"/>
    <w:rsid w:val="00DF7984"/>
    <w:rsid w:val="00DF7986"/>
    <w:rsid w:val="00DF7B04"/>
    <w:rsid w:val="00DF7C79"/>
    <w:rsid w:val="00DF7F31"/>
    <w:rsid w:val="00DF7F4C"/>
    <w:rsid w:val="00DF7F83"/>
    <w:rsid w:val="00DF7FBC"/>
    <w:rsid w:val="00E00148"/>
    <w:rsid w:val="00E00405"/>
    <w:rsid w:val="00E00512"/>
    <w:rsid w:val="00E00616"/>
    <w:rsid w:val="00E00708"/>
    <w:rsid w:val="00E00899"/>
    <w:rsid w:val="00E0097C"/>
    <w:rsid w:val="00E00D74"/>
    <w:rsid w:val="00E00EDE"/>
    <w:rsid w:val="00E00FC4"/>
    <w:rsid w:val="00E010EC"/>
    <w:rsid w:val="00E01177"/>
    <w:rsid w:val="00E0120E"/>
    <w:rsid w:val="00E014DB"/>
    <w:rsid w:val="00E014E2"/>
    <w:rsid w:val="00E016E5"/>
    <w:rsid w:val="00E0183B"/>
    <w:rsid w:val="00E01E19"/>
    <w:rsid w:val="00E01E4C"/>
    <w:rsid w:val="00E01E77"/>
    <w:rsid w:val="00E01EFB"/>
    <w:rsid w:val="00E01F12"/>
    <w:rsid w:val="00E02059"/>
    <w:rsid w:val="00E02184"/>
    <w:rsid w:val="00E021E4"/>
    <w:rsid w:val="00E022FB"/>
    <w:rsid w:val="00E0269B"/>
    <w:rsid w:val="00E02893"/>
    <w:rsid w:val="00E0297E"/>
    <w:rsid w:val="00E02AC1"/>
    <w:rsid w:val="00E02ACF"/>
    <w:rsid w:val="00E02D41"/>
    <w:rsid w:val="00E02EF6"/>
    <w:rsid w:val="00E0334D"/>
    <w:rsid w:val="00E03433"/>
    <w:rsid w:val="00E03647"/>
    <w:rsid w:val="00E03857"/>
    <w:rsid w:val="00E038BE"/>
    <w:rsid w:val="00E03917"/>
    <w:rsid w:val="00E03974"/>
    <w:rsid w:val="00E03D9F"/>
    <w:rsid w:val="00E03F7B"/>
    <w:rsid w:val="00E03FB3"/>
    <w:rsid w:val="00E04295"/>
    <w:rsid w:val="00E042AD"/>
    <w:rsid w:val="00E0445E"/>
    <w:rsid w:val="00E04593"/>
    <w:rsid w:val="00E0478F"/>
    <w:rsid w:val="00E04851"/>
    <w:rsid w:val="00E048BB"/>
    <w:rsid w:val="00E04945"/>
    <w:rsid w:val="00E049E0"/>
    <w:rsid w:val="00E04AF6"/>
    <w:rsid w:val="00E04BCC"/>
    <w:rsid w:val="00E04C86"/>
    <w:rsid w:val="00E04CD5"/>
    <w:rsid w:val="00E04CF1"/>
    <w:rsid w:val="00E05088"/>
    <w:rsid w:val="00E050B8"/>
    <w:rsid w:val="00E0512F"/>
    <w:rsid w:val="00E051BE"/>
    <w:rsid w:val="00E05206"/>
    <w:rsid w:val="00E053BF"/>
    <w:rsid w:val="00E05596"/>
    <w:rsid w:val="00E05652"/>
    <w:rsid w:val="00E05A7A"/>
    <w:rsid w:val="00E05B34"/>
    <w:rsid w:val="00E05E1E"/>
    <w:rsid w:val="00E05E28"/>
    <w:rsid w:val="00E0603F"/>
    <w:rsid w:val="00E0604D"/>
    <w:rsid w:val="00E0615B"/>
    <w:rsid w:val="00E06264"/>
    <w:rsid w:val="00E062E2"/>
    <w:rsid w:val="00E06365"/>
    <w:rsid w:val="00E063CE"/>
    <w:rsid w:val="00E065D2"/>
    <w:rsid w:val="00E065DC"/>
    <w:rsid w:val="00E066C4"/>
    <w:rsid w:val="00E067F7"/>
    <w:rsid w:val="00E06946"/>
    <w:rsid w:val="00E069F9"/>
    <w:rsid w:val="00E06A33"/>
    <w:rsid w:val="00E06A76"/>
    <w:rsid w:val="00E06B13"/>
    <w:rsid w:val="00E06C3F"/>
    <w:rsid w:val="00E06DBC"/>
    <w:rsid w:val="00E06FAD"/>
    <w:rsid w:val="00E07047"/>
    <w:rsid w:val="00E070A9"/>
    <w:rsid w:val="00E070CC"/>
    <w:rsid w:val="00E070CF"/>
    <w:rsid w:val="00E070F8"/>
    <w:rsid w:val="00E0714D"/>
    <w:rsid w:val="00E073A1"/>
    <w:rsid w:val="00E07553"/>
    <w:rsid w:val="00E07730"/>
    <w:rsid w:val="00E07A03"/>
    <w:rsid w:val="00E07A0F"/>
    <w:rsid w:val="00E07A7A"/>
    <w:rsid w:val="00E07B26"/>
    <w:rsid w:val="00E07C88"/>
    <w:rsid w:val="00E07D19"/>
    <w:rsid w:val="00E07D5A"/>
    <w:rsid w:val="00E07DCF"/>
    <w:rsid w:val="00E07E36"/>
    <w:rsid w:val="00E07E83"/>
    <w:rsid w:val="00E07F9B"/>
    <w:rsid w:val="00E1007E"/>
    <w:rsid w:val="00E1009D"/>
    <w:rsid w:val="00E10195"/>
    <w:rsid w:val="00E101C7"/>
    <w:rsid w:val="00E101EF"/>
    <w:rsid w:val="00E103DD"/>
    <w:rsid w:val="00E1060C"/>
    <w:rsid w:val="00E107A3"/>
    <w:rsid w:val="00E10B11"/>
    <w:rsid w:val="00E10B52"/>
    <w:rsid w:val="00E10BA1"/>
    <w:rsid w:val="00E10C59"/>
    <w:rsid w:val="00E10C6D"/>
    <w:rsid w:val="00E10F1F"/>
    <w:rsid w:val="00E1115F"/>
    <w:rsid w:val="00E11219"/>
    <w:rsid w:val="00E11286"/>
    <w:rsid w:val="00E112FA"/>
    <w:rsid w:val="00E114C2"/>
    <w:rsid w:val="00E114EE"/>
    <w:rsid w:val="00E11669"/>
    <w:rsid w:val="00E1168B"/>
    <w:rsid w:val="00E119EA"/>
    <w:rsid w:val="00E11A4A"/>
    <w:rsid w:val="00E11E73"/>
    <w:rsid w:val="00E11E8F"/>
    <w:rsid w:val="00E11EBD"/>
    <w:rsid w:val="00E120E8"/>
    <w:rsid w:val="00E12192"/>
    <w:rsid w:val="00E12199"/>
    <w:rsid w:val="00E1219E"/>
    <w:rsid w:val="00E121C7"/>
    <w:rsid w:val="00E121DE"/>
    <w:rsid w:val="00E1221C"/>
    <w:rsid w:val="00E12393"/>
    <w:rsid w:val="00E123F8"/>
    <w:rsid w:val="00E124D5"/>
    <w:rsid w:val="00E12604"/>
    <w:rsid w:val="00E12698"/>
    <w:rsid w:val="00E1280F"/>
    <w:rsid w:val="00E12943"/>
    <w:rsid w:val="00E129A7"/>
    <w:rsid w:val="00E12A1D"/>
    <w:rsid w:val="00E12A27"/>
    <w:rsid w:val="00E12A8C"/>
    <w:rsid w:val="00E12B01"/>
    <w:rsid w:val="00E12B35"/>
    <w:rsid w:val="00E12BF9"/>
    <w:rsid w:val="00E12D4A"/>
    <w:rsid w:val="00E12DE6"/>
    <w:rsid w:val="00E12F70"/>
    <w:rsid w:val="00E13044"/>
    <w:rsid w:val="00E1307A"/>
    <w:rsid w:val="00E13162"/>
    <w:rsid w:val="00E13352"/>
    <w:rsid w:val="00E13407"/>
    <w:rsid w:val="00E1349B"/>
    <w:rsid w:val="00E13826"/>
    <w:rsid w:val="00E138EE"/>
    <w:rsid w:val="00E13A25"/>
    <w:rsid w:val="00E13A2C"/>
    <w:rsid w:val="00E13B09"/>
    <w:rsid w:val="00E13C95"/>
    <w:rsid w:val="00E13D4A"/>
    <w:rsid w:val="00E13E4A"/>
    <w:rsid w:val="00E13FBE"/>
    <w:rsid w:val="00E141F0"/>
    <w:rsid w:val="00E14202"/>
    <w:rsid w:val="00E142EC"/>
    <w:rsid w:val="00E1467E"/>
    <w:rsid w:val="00E14A02"/>
    <w:rsid w:val="00E14B97"/>
    <w:rsid w:val="00E14BBA"/>
    <w:rsid w:val="00E14BD6"/>
    <w:rsid w:val="00E14D78"/>
    <w:rsid w:val="00E14EFC"/>
    <w:rsid w:val="00E15134"/>
    <w:rsid w:val="00E1516A"/>
    <w:rsid w:val="00E15399"/>
    <w:rsid w:val="00E15674"/>
    <w:rsid w:val="00E156DB"/>
    <w:rsid w:val="00E15AFE"/>
    <w:rsid w:val="00E15C23"/>
    <w:rsid w:val="00E15DA7"/>
    <w:rsid w:val="00E16080"/>
    <w:rsid w:val="00E16183"/>
    <w:rsid w:val="00E16195"/>
    <w:rsid w:val="00E16201"/>
    <w:rsid w:val="00E16213"/>
    <w:rsid w:val="00E16268"/>
    <w:rsid w:val="00E1638F"/>
    <w:rsid w:val="00E1640E"/>
    <w:rsid w:val="00E16688"/>
    <w:rsid w:val="00E1674B"/>
    <w:rsid w:val="00E167CF"/>
    <w:rsid w:val="00E16822"/>
    <w:rsid w:val="00E16AB6"/>
    <w:rsid w:val="00E16E74"/>
    <w:rsid w:val="00E16EFB"/>
    <w:rsid w:val="00E16F2A"/>
    <w:rsid w:val="00E16FEE"/>
    <w:rsid w:val="00E170F0"/>
    <w:rsid w:val="00E17332"/>
    <w:rsid w:val="00E17385"/>
    <w:rsid w:val="00E174D5"/>
    <w:rsid w:val="00E1769E"/>
    <w:rsid w:val="00E176D6"/>
    <w:rsid w:val="00E17735"/>
    <w:rsid w:val="00E1776D"/>
    <w:rsid w:val="00E1783B"/>
    <w:rsid w:val="00E178BA"/>
    <w:rsid w:val="00E17916"/>
    <w:rsid w:val="00E179A4"/>
    <w:rsid w:val="00E179FC"/>
    <w:rsid w:val="00E17A1B"/>
    <w:rsid w:val="00E17B4F"/>
    <w:rsid w:val="00E17B98"/>
    <w:rsid w:val="00E17C64"/>
    <w:rsid w:val="00E17EB6"/>
    <w:rsid w:val="00E200CA"/>
    <w:rsid w:val="00E202E9"/>
    <w:rsid w:val="00E2031A"/>
    <w:rsid w:val="00E2038C"/>
    <w:rsid w:val="00E20509"/>
    <w:rsid w:val="00E20798"/>
    <w:rsid w:val="00E20A81"/>
    <w:rsid w:val="00E20B8F"/>
    <w:rsid w:val="00E20BD1"/>
    <w:rsid w:val="00E20D17"/>
    <w:rsid w:val="00E20DF0"/>
    <w:rsid w:val="00E2107C"/>
    <w:rsid w:val="00E21098"/>
    <w:rsid w:val="00E210C5"/>
    <w:rsid w:val="00E2110E"/>
    <w:rsid w:val="00E2118D"/>
    <w:rsid w:val="00E21192"/>
    <w:rsid w:val="00E21205"/>
    <w:rsid w:val="00E21330"/>
    <w:rsid w:val="00E215C0"/>
    <w:rsid w:val="00E21667"/>
    <w:rsid w:val="00E21E44"/>
    <w:rsid w:val="00E21ED7"/>
    <w:rsid w:val="00E21F29"/>
    <w:rsid w:val="00E220A8"/>
    <w:rsid w:val="00E22253"/>
    <w:rsid w:val="00E22682"/>
    <w:rsid w:val="00E22683"/>
    <w:rsid w:val="00E22751"/>
    <w:rsid w:val="00E22780"/>
    <w:rsid w:val="00E22C61"/>
    <w:rsid w:val="00E22CD7"/>
    <w:rsid w:val="00E22F35"/>
    <w:rsid w:val="00E2308C"/>
    <w:rsid w:val="00E230F5"/>
    <w:rsid w:val="00E23108"/>
    <w:rsid w:val="00E23193"/>
    <w:rsid w:val="00E23247"/>
    <w:rsid w:val="00E23250"/>
    <w:rsid w:val="00E23285"/>
    <w:rsid w:val="00E232F7"/>
    <w:rsid w:val="00E23554"/>
    <w:rsid w:val="00E23632"/>
    <w:rsid w:val="00E2386F"/>
    <w:rsid w:val="00E2389A"/>
    <w:rsid w:val="00E23AAE"/>
    <w:rsid w:val="00E23D94"/>
    <w:rsid w:val="00E23EE4"/>
    <w:rsid w:val="00E23F50"/>
    <w:rsid w:val="00E2428B"/>
    <w:rsid w:val="00E2431A"/>
    <w:rsid w:val="00E2452D"/>
    <w:rsid w:val="00E247B4"/>
    <w:rsid w:val="00E247F6"/>
    <w:rsid w:val="00E24891"/>
    <w:rsid w:val="00E24DDD"/>
    <w:rsid w:val="00E24E41"/>
    <w:rsid w:val="00E24EF1"/>
    <w:rsid w:val="00E25034"/>
    <w:rsid w:val="00E25193"/>
    <w:rsid w:val="00E25194"/>
    <w:rsid w:val="00E252BF"/>
    <w:rsid w:val="00E25386"/>
    <w:rsid w:val="00E253C7"/>
    <w:rsid w:val="00E2544F"/>
    <w:rsid w:val="00E25548"/>
    <w:rsid w:val="00E255ED"/>
    <w:rsid w:val="00E258B7"/>
    <w:rsid w:val="00E25986"/>
    <w:rsid w:val="00E259D5"/>
    <w:rsid w:val="00E25A45"/>
    <w:rsid w:val="00E25B53"/>
    <w:rsid w:val="00E25B97"/>
    <w:rsid w:val="00E25F90"/>
    <w:rsid w:val="00E25FE2"/>
    <w:rsid w:val="00E2602D"/>
    <w:rsid w:val="00E2610C"/>
    <w:rsid w:val="00E262AB"/>
    <w:rsid w:val="00E263BC"/>
    <w:rsid w:val="00E266B8"/>
    <w:rsid w:val="00E2672E"/>
    <w:rsid w:val="00E2679F"/>
    <w:rsid w:val="00E267D4"/>
    <w:rsid w:val="00E26925"/>
    <w:rsid w:val="00E269C0"/>
    <w:rsid w:val="00E26ADC"/>
    <w:rsid w:val="00E26E74"/>
    <w:rsid w:val="00E26F18"/>
    <w:rsid w:val="00E26FAC"/>
    <w:rsid w:val="00E27037"/>
    <w:rsid w:val="00E27074"/>
    <w:rsid w:val="00E2726D"/>
    <w:rsid w:val="00E272DD"/>
    <w:rsid w:val="00E27347"/>
    <w:rsid w:val="00E27453"/>
    <w:rsid w:val="00E274E1"/>
    <w:rsid w:val="00E27558"/>
    <w:rsid w:val="00E27560"/>
    <w:rsid w:val="00E275CB"/>
    <w:rsid w:val="00E276CA"/>
    <w:rsid w:val="00E2785D"/>
    <w:rsid w:val="00E2786A"/>
    <w:rsid w:val="00E278C2"/>
    <w:rsid w:val="00E278D5"/>
    <w:rsid w:val="00E279A2"/>
    <w:rsid w:val="00E27AD5"/>
    <w:rsid w:val="00E27B0B"/>
    <w:rsid w:val="00E27BA1"/>
    <w:rsid w:val="00E27E95"/>
    <w:rsid w:val="00E27FF0"/>
    <w:rsid w:val="00E300C0"/>
    <w:rsid w:val="00E301CD"/>
    <w:rsid w:val="00E3025B"/>
    <w:rsid w:val="00E308A4"/>
    <w:rsid w:val="00E30960"/>
    <w:rsid w:val="00E30B2F"/>
    <w:rsid w:val="00E30B99"/>
    <w:rsid w:val="00E30BA1"/>
    <w:rsid w:val="00E30BCF"/>
    <w:rsid w:val="00E30C78"/>
    <w:rsid w:val="00E30DB7"/>
    <w:rsid w:val="00E30E19"/>
    <w:rsid w:val="00E30ED8"/>
    <w:rsid w:val="00E3109F"/>
    <w:rsid w:val="00E3116D"/>
    <w:rsid w:val="00E311D5"/>
    <w:rsid w:val="00E3123A"/>
    <w:rsid w:val="00E31377"/>
    <w:rsid w:val="00E314FF"/>
    <w:rsid w:val="00E31599"/>
    <w:rsid w:val="00E315B3"/>
    <w:rsid w:val="00E315CF"/>
    <w:rsid w:val="00E3161D"/>
    <w:rsid w:val="00E317A4"/>
    <w:rsid w:val="00E31B26"/>
    <w:rsid w:val="00E31B33"/>
    <w:rsid w:val="00E31B7A"/>
    <w:rsid w:val="00E31BDF"/>
    <w:rsid w:val="00E31F50"/>
    <w:rsid w:val="00E32318"/>
    <w:rsid w:val="00E3232D"/>
    <w:rsid w:val="00E3234C"/>
    <w:rsid w:val="00E324FA"/>
    <w:rsid w:val="00E325E7"/>
    <w:rsid w:val="00E327CE"/>
    <w:rsid w:val="00E32984"/>
    <w:rsid w:val="00E3299B"/>
    <w:rsid w:val="00E32A99"/>
    <w:rsid w:val="00E32ABD"/>
    <w:rsid w:val="00E3310B"/>
    <w:rsid w:val="00E3328A"/>
    <w:rsid w:val="00E33295"/>
    <w:rsid w:val="00E333AE"/>
    <w:rsid w:val="00E334BC"/>
    <w:rsid w:val="00E335A2"/>
    <w:rsid w:val="00E336E3"/>
    <w:rsid w:val="00E33BE5"/>
    <w:rsid w:val="00E33D33"/>
    <w:rsid w:val="00E33D9E"/>
    <w:rsid w:val="00E340C2"/>
    <w:rsid w:val="00E3428D"/>
    <w:rsid w:val="00E34326"/>
    <w:rsid w:val="00E344A3"/>
    <w:rsid w:val="00E34814"/>
    <w:rsid w:val="00E34847"/>
    <w:rsid w:val="00E3489A"/>
    <w:rsid w:val="00E34CFA"/>
    <w:rsid w:val="00E34D0B"/>
    <w:rsid w:val="00E34D35"/>
    <w:rsid w:val="00E34E00"/>
    <w:rsid w:val="00E351E5"/>
    <w:rsid w:val="00E35487"/>
    <w:rsid w:val="00E35551"/>
    <w:rsid w:val="00E3559C"/>
    <w:rsid w:val="00E356DA"/>
    <w:rsid w:val="00E357D1"/>
    <w:rsid w:val="00E35AF9"/>
    <w:rsid w:val="00E35B7D"/>
    <w:rsid w:val="00E35BB7"/>
    <w:rsid w:val="00E35C12"/>
    <w:rsid w:val="00E35CAF"/>
    <w:rsid w:val="00E35DF0"/>
    <w:rsid w:val="00E35E49"/>
    <w:rsid w:val="00E35E4F"/>
    <w:rsid w:val="00E35E8C"/>
    <w:rsid w:val="00E35EDB"/>
    <w:rsid w:val="00E35FB9"/>
    <w:rsid w:val="00E36133"/>
    <w:rsid w:val="00E36220"/>
    <w:rsid w:val="00E36283"/>
    <w:rsid w:val="00E36425"/>
    <w:rsid w:val="00E364CB"/>
    <w:rsid w:val="00E3661E"/>
    <w:rsid w:val="00E36639"/>
    <w:rsid w:val="00E368F6"/>
    <w:rsid w:val="00E36910"/>
    <w:rsid w:val="00E369A8"/>
    <w:rsid w:val="00E36A3A"/>
    <w:rsid w:val="00E36BCB"/>
    <w:rsid w:val="00E36BFF"/>
    <w:rsid w:val="00E36C28"/>
    <w:rsid w:val="00E36D98"/>
    <w:rsid w:val="00E36E0B"/>
    <w:rsid w:val="00E36E1A"/>
    <w:rsid w:val="00E36E81"/>
    <w:rsid w:val="00E370A2"/>
    <w:rsid w:val="00E37137"/>
    <w:rsid w:val="00E3732D"/>
    <w:rsid w:val="00E373D6"/>
    <w:rsid w:val="00E37420"/>
    <w:rsid w:val="00E37472"/>
    <w:rsid w:val="00E374B1"/>
    <w:rsid w:val="00E37662"/>
    <w:rsid w:val="00E37729"/>
    <w:rsid w:val="00E3774F"/>
    <w:rsid w:val="00E377A7"/>
    <w:rsid w:val="00E377DF"/>
    <w:rsid w:val="00E37872"/>
    <w:rsid w:val="00E379BF"/>
    <w:rsid w:val="00E37A2D"/>
    <w:rsid w:val="00E37C2C"/>
    <w:rsid w:val="00E37DDB"/>
    <w:rsid w:val="00E400D9"/>
    <w:rsid w:val="00E401B8"/>
    <w:rsid w:val="00E401D7"/>
    <w:rsid w:val="00E401FF"/>
    <w:rsid w:val="00E40400"/>
    <w:rsid w:val="00E40449"/>
    <w:rsid w:val="00E408C5"/>
    <w:rsid w:val="00E40939"/>
    <w:rsid w:val="00E409AA"/>
    <w:rsid w:val="00E40C0E"/>
    <w:rsid w:val="00E40C35"/>
    <w:rsid w:val="00E41377"/>
    <w:rsid w:val="00E41398"/>
    <w:rsid w:val="00E41676"/>
    <w:rsid w:val="00E416A2"/>
    <w:rsid w:val="00E416A6"/>
    <w:rsid w:val="00E41718"/>
    <w:rsid w:val="00E41AE6"/>
    <w:rsid w:val="00E41BC3"/>
    <w:rsid w:val="00E41CF8"/>
    <w:rsid w:val="00E41E52"/>
    <w:rsid w:val="00E41E6A"/>
    <w:rsid w:val="00E41E90"/>
    <w:rsid w:val="00E41FDE"/>
    <w:rsid w:val="00E42160"/>
    <w:rsid w:val="00E421DE"/>
    <w:rsid w:val="00E4235A"/>
    <w:rsid w:val="00E423A3"/>
    <w:rsid w:val="00E4253F"/>
    <w:rsid w:val="00E42578"/>
    <w:rsid w:val="00E4257E"/>
    <w:rsid w:val="00E4260E"/>
    <w:rsid w:val="00E42705"/>
    <w:rsid w:val="00E42757"/>
    <w:rsid w:val="00E42841"/>
    <w:rsid w:val="00E428CB"/>
    <w:rsid w:val="00E429CE"/>
    <w:rsid w:val="00E42B70"/>
    <w:rsid w:val="00E42BBA"/>
    <w:rsid w:val="00E42CF6"/>
    <w:rsid w:val="00E42D58"/>
    <w:rsid w:val="00E42F4B"/>
    <w:rsid w:val="00E42FAB"/>
    <w:rsid w:val="00E43131"/>
    <w:rsid w:val="00E4316E"/>
    <w:rsid w:val="00E43279"/>
    <w:rsid w:val="00E43487"/>
    <w:rsid w:val="00E435C6"/>
    <w:rsid w:val="00E43A18"/>
    <w:rsid w:val="00E43C94"/>
    <w:rsid w:val="00E43CE8"/>
    <w:rsid w:val="00E44083"/>
    <w:rsid w:val="00E440F3"/>
    <w:rsid w:val="00E4410B"/>
    <w:rsid w:val="00E44111"/>
    <w:rsid w:val="00E442C4"/>
    <w:rsid w:val="00E442ED"/>
    <w:rsid w:val="00E443CD"/>
    <w:rsid w:val="00E4440B"/>
    <w:rsid w:val="00E44548"/>
    <w:rsid w:val="00E4486A"/>
    <w:rsid w:val="00E44B01"/>
    <w:rsid w:val="00E44B65"/>
    <w:rsid w:val="00E44B74"/>
    <w:rsid w:val="00E44BB5"/>
    <w:rsid w:val="00E44C42"/>
    <w:rsid w:val="00E44C70"/>
    <w:rsid w:val="00E44D11"/>
    <w:rsid w:val="00E450BF"/>
    <w:rsid w:val="00E4510E"/>
    <w:rsid w:val="00E452BA"/>
    <w:rsid w:val="00E453E2"/>
    <w:rsid w:val="00E4544D"/>
    <w:rsid w:val="00E454CF"/>
    <w:rsid w:val="00E45560"/>
    <w:rsid w:val="00E455B3"/>
    <w:rsid w:val="00E455EC"/>
    <w:rsid w:val="00E455F2"/>
    <w:rsid w:val="00E45661"/>
    <w:rsid w:val="00E456F5"/>
    <w:rsid w:val="00E45739"/>
    <w:rsid w:val="00E4575C"/>
    <w:rsid w:val="00E458AB"/>
    <w:rsid w:val="00E458F6"/>
    <w:rsid w:val="00E459EA"/>
    <w:rsid w:val="00E45AE7"/>
    <w:rsid w:val="00E45C25"/>
    <w:rsid w:val="00E45CC0"/>
    <w:rsid w:val="00E45E10"/>
    <w:rsid w:val="00E4609F"/>
    <w:rsid w:val="00E4620D"/>
    <w:rsid w:val="00E46403"/>
    <w:rsid w:val="00E467BB"/>
    <w:rsid w:val="00E46907"/>
    <w:rsid w:val="00E46920"/>
    <w:rsid w:val="00E46A11"/>
    <w:rsid w:val="00E46A7F"/>
    <w:rsid w:val="00E46C8A"/>
    <w:rsid w:val="00E46CF3"/>
    <w:rsid w:val="00E47005"/>
    <w:rsid w:val="00E4730A"/>
    <w:rsid w:val="00E47514"/>
    <w:rsid w:val="00E4761F"/>
    <w:rsid w:val="00E4767E"/>
    <w:rsid w:val="00E4790F"/>
    <w:rsid w:val="00E479D1"/>
    <w:rsid w:val="00E47AD1"/>
    <w:rsid w:val="00E47C8A"/>
    <w:rsid w:val="00E47D21"/>
    <w:rsid w:val="00E50175"/>
    <w:rsid w:val="00E504A3"/>
    <w:rsid w:val="00E505E7"/>
    <w:rsid w:val="00E5067D"/>
    <w:rsid w:val="00E50778"/>
    <w:rsid w:val="00E508C1"/>
    <w:rsid w:val="00E50A41"/>
    <w:rsid w:val="00E50A74"/>
    <w:rsid w:val="00E50A7E"/>
    <w:rsid w:val="00E50B55"/>
    <w:rsid w:val="00E50C6F"/>
    <w:rsid w:val="00E50CD1"/>
    <w:rsid w:val="00E50D6C"/>
    <w:rsid w:val="00E50DC1"/>
    <w:rsid w:val="00E50EB0"/>
    <w:rsid w:val="00E50F6F"/>
    <w:rsid w:val="00E510E8"/>
    <w:rsid w:val="00E510F4"/>
    <w:rsid w:val="00E51280"/>
    <w:rsid w:val="00E5136C"/>
    <w:rsid w:val="00E51377"/>
    <w:rsid w:val="00E5138F"/>
    <w:rsid w:val="00E514FB"/>
    <w:rsid w:val="00E51507"/>
    <w:rsid w:val="00E518C3"/>
    <w:rsid w:val="00E51980"/>
    <w:rsid w:val="00E519AA"/>
    <w:rsid w:val="00E51C6A"/>
    <w:rsid w:val="00E51CD0"/>
    <w:rsid w:val="00E51CF3"/>
    <w:rsid w:val="00E51D40"/>
    <w:rsid w:val="00E51D6E"/>
    <w:rsid w:val="00E51EBE"/>
    <w:rsid w:val="00E51F68"/>
    <w:rsid w:val="00E51FA2"/>
    <w:rsid w:val="00E5222F"/>
    <w:rsid w:val="00E52404"/>
    <w:rsid w:val="00E524E0"/>
    <w:rsid w:val="00E524FA"/>
    <w:rsid w:val="00E52526"/>
    <w:rsid w:val="00E52628"/>
    <w:rsid w:val="00E526F4"/>
    <w:rsid w:val="00E526F6"/>
    <w:rsid w:val="00E52936"/>
    <w:rsid w:val="00E529BC"/>
    <w:rsid w:val="00E52A58"/>
    <w:rsid w:val="00E52ADA"/>
    <w:rsid w:val="00E52B2D"/>
    <w:rsid w:val="00E52B99"/>
    <w:rsid w:val="00E52BB4"/>
    <w:rsid w:val="00E52C56"/>
    <w:rsid w:val="00E52D45"/>
    <w:rsid w:val="00E531F8"/>
    <w:rsid w:val="00E53430"/>
    <w:rsid w:val="00E53496"/>
    <w:rsid w:val="00E534AA"/>
    <w:rsid w:val="00E535D4"/>
    <w:rsid w:val="00E5361C"/>
    <w:rsid w:val="00E537A9"/>
    <w:rsid w:val="00E5381F"/>
    <w:rsid w:val="00E53AE1"/>
    <w:rsid w:val="00E53BC5"/>
    <w:rsid w:val="00E53CB5"/>
    <w:rsid w:val="00E53D04"/>
    <w:rsid w:val="00E53DC1"/>
    <w:rsid w:val="00E53E3C"/>
    <w:rsid w:val="00E53FFF"/>
    <w:rsid w:val="00E54214"/>
    <w:rsid w:val="00E54381"/>
    <w:rsid w:val="00E5438A"/>
    <w:rsid w:val="00E543D7"/>
    <w:rsid w:val="00E5441E"/>
    <w:rsid w:val="00E54433"/>
    <w:rsid w:val="00E544AD"/>
    <w:rsid w:val="00E544BD"/>
    <w:rsid w:val="00E5454A"/>
    <w:rsid w:val="00E54650"/>
    <w:rsid w:val="00E54797"/>
    <w:rsid w:val="00E547E2"/>
    <w:rsid w:val="00E5485D"/>
    <w:rsid w:val="00E54937"/>
    <w:rsid w:val="00E549CF"/>
    <w:rsid w:val="00E54AC2"/>
    <w:rsid w:val="00E54C57"/>
    <w:rsid w:val="00E54DD9"/>
    <w:rsid w:val="00E54E70"/>
    <w:rsid w:val="00E54EAA"/>
    <w:rsid w:val="00E54EAC"/>
    <w:rsid w:val="00E54EDE"/>
    <w:rsid w:val="00E54F13"/>
    <w:rsid w:val="00E54F34"/>
    <w:rsid w:val="00E550BB"/>
    <w:rsid w:val="00E554D2"/>
    <w:rsid w:val="00E5577B"/>
    <w:rsid w:val="00E55859"/>
    <w:rsid w:val="00E558E9"/>
    <w:rsid w:val="00E55A5D"/>
    <w:rsid w:val="00E55A8B"/>
    <w:rsid w:val="00E55BFA"/>
    <w:rsid w:val="00E55C6A"/>
    <w:rsid w:val="00E55F97"/>
    <w:rsid w:val="00E561FC"/>
    <w:rsid w:val="00E562EF"/>
    <w:rsid w:val="00E564ED"/>
    <w:rsid w:val="00E564EE"/>
    <w:rsid w:val="00E56509"/>
    <w:rsid w:val="00E56559"/>
    <w:rsid w:val="00E56592"/>
    <w:rsid w:val="00E56649"/>
    <w:rsid w:val="00E56749"/>
    <w:rsid w:val="00E56775"/>
    <w:rsid w:val="00E5695A"/>
    <w:rsid w:val="00E569F6"/>
    <w:rsid w:val="00E56AF4"/>
    <w:rsid w:val="00E56BF6"/>
    <w:rsid w:val="00E56CA1"/>
    <w:rsid w:val="00E56D78"/>
    <w:rsid w:val="00E56E2F"/>
    <w:rsid w:val="00E56EC4"/>
    <w:rsid w:val="00E56F77"/>
    <w:rsid w:val="00E56F84"/>
    <w:rsid w:val="00E57017"/>
    <w:rsid w:val="00E5705A"/>
    <w:rsid w:val="00E570A5"/>
    <w:rsid w:val="00E571D9"/>
    <w:rsid w:val="00E572E0"/>
    <w:rsid w:val="00E57502"/>
    <w:rsid w:val="00E575BF"/>
    <w:rsid w:val="00E5773E"/>
    <w:rsid w:val="00E579AB"/>
    <w:rsid w:val="00E579AE"/>
    <w:rsid w:val="00E57AB6"/>
    <w:rsid w:val="00E57B16"/>
    <w:rsid w:val="00E57BC4"/>
    <w:rsid w:val="00E57C69"/>
    <w:rsid w:val="00E57EE3"/>
    <w:rsid w:val="00E6001D"/>
    <w:rsid w:val="00E6020C"/>
    <w:rsid w:val="00E602BF"/>
    <w:rsid w:val="00E602FA"/>
    <w:rsid w:val="00E60427"/>
    <w:rsid w:val="00E60638"/>
    <w:rsid w:val="00E607FA"/>
    <w:rsid w:val="00E6089E"/>
    <w:rsid w:val="00E60AE1"/>
    <w:rsid w:val="00E60B34"/>
    <w:rsid w:val="00E60F7B"/>
    <w:rsid w:val="00E61145"/>
    <w:rsid w:val="00E611CB"/>
    <w:rsid w:val="00E611F3"/>
    <w:rsid w:val="00E61251"/>
    <w:rsid w:val="00E61276"/>
    <w:rsid w:val="00E612B2"/>
    <w:rsid w:val="00E615C1"/>
    <w:rsid w:val="00E619DC"/>
    <w:rsid w:val="00E61BF0"/>
    <w:rsid w:val="00E61D0A"/>
    <w:rsid w:val="00E61ED4"/>
    <w:rsid w:val="00E61F36"/>
    <w:rsid w:val="00E62056"/>
    <w:rsid w:val="00E621F2"/>
    <w:rsid w:val="00E62257"/>
    <w:rsid w:val="00E6233E"/>
    <w:rsid w:val="00E62515"/>
    <w:rsid w:val="00E62535"/>
    <w:rsid w:val="00E62576"/>
    <w:rsid w:val="00E626FE"/>
    <w:rsid w:val="00E6280D"/>
    <w:rsid w:val="00E6296E"/>
    <w:rsid w:val="00E629D8"/>
    <w:rsid w:val="00E629E8"/>
    <w:rsid w:val="00E62B8F"/>
    <w:rsid w:val="00E62C32"/>
    <w:rsid w:val="00E62E23"/>
    <w:rsid w:val="00E62F0C"/>
    <w:rsid w:val="00E62F5A"/>
    <w:rsid w:val="00E63054"/>
    <w:rsid w:val="00E630DF"/>
    <w:rsid w:val="00E632BC"/>
    <w:rsid w:val="00E632EA"/>
    <w:rsid w:val="00E63328"/>
    <w:rsid w:val="00E6358D"/>
    <w:rsid w:val="00E635BC"/>
    <w:rsid w:val="00E63676"/>
    <w:rsid w:val="00E636BA"/>
    <w:rsid w:val="00E636BF"/>
    <w:rsid w:val="00E636CA"/>
    <w:rsid w:val="00E638D8"/>
    <w:rsid w:val="00E639BC"/>
    <w:rsid w:val="00E639F6"/>
    <w:rsid w:val="00E63A55"/>
    <w:rsid w:val="00E63B10"/>
    <w:rsid w:val="00E63DB9"/>
    <w:rsid w:val="00E63DE1"/>
    <w:rsid w:val="00E640A1"/>
    <w:rsid w:val="00E64261"/>
    <w:rsid w:val="00E642D8"/>
    <w:rsid w:val="00E642EA"/>
    <w:rsid w:val="00E64305"/>
    <w:rsid w:val="00E6453D"/>
    <w:rsid w:val="00E64653"/>
    <w:rsid w:val="00E64BAC"/>
    <w:rsid w:val="00E64E29"/>
    <w:rsid w:val="00E64EA9"/>
    <w:rsid w:val="00E65220"/>
    <w:rsid w:val="00E6523B"/>
    <w:rsid w:val="00E652A0"/>
    <w:rsid w:val="00E65478"/>
    <w:rsid w:val="00E65491"/>
    <w:rsid w:val="00E654CA"/>
    <w:rsid w:val="00E65579"/>
    <w:rsid w:val="00E656E8"/>
    <w:rsid w:val="00E65719"/>
    <w:rsid w:val="00E6588E"/>
    <w:rsid w:val="00E658B1"/>
    <w:rsid w:val="00E658E2"/>
    <w:rsid w:val="00E65C1D"/>
    <w:rsid w:val="00E65CC9"/>
    <w:rsid w:val="00E65F6C"/>
    <w:rsid w:val="00E65F85"/>
    <w:rsid w:val="00E65FF4"/>
    <w:rsid w:val="00E66011"/>
    <w:rsid w:val="00E66114"/>
    <w:rsid w:val="00E66131"/>
    <w:rsid w:val="00E6627A"/>
    <w:rsid w:val="00E66354"/>
    <w:rsid w:val="00E66374"/>
    <w:rsid w:val="00E6639F"/>
    <w:rsid w:val="00E665CF"/>
    <w:rsid w:val="00E66637"/>
    <w:rsid w:val="00E6668F"/>
    <w:rsid w:val="00E66779"/>
    <w:rsid w:val="00E667B9"/>
    <w:rsid w:val="00E66829"/>
    <w:rsid w:val="00E668D1"/>
    <w:rsid w:val="00E6693E"/>
    <w:rsid w:val="00E66970"/>
    <w:rsid w:val="00E66A62"/>
    <w:rsid w:val="00E66B4D"/>
    <w:rsid w:val="00E66FE2"/>
    <w:rsid w:val="00E67158"/>
    <w:rsid w:val="00E67159"/>
    <w:rsid w:val="00E6740C"/>
    <w:rsid w:val="00E67602"/>
    <w:rsid w:val="00E67607"/>
    <w:rsid w:val="00E677BE"/>
    <w:rsid w:val="00E67954"/>
    <w:rsid w:val="00E67C09"/>
    <w:rsid w:val="00E67C92"/>
    <w:rsid w:val="00E67D26"/>
    <w:rsid w:val="00E67E5D"/>
    <w:rsid w:val="00E70014"/>
    <w:rsid w:val="00E700E8"/>
    <w:rsid w:val="00E702D7"/>
    <w:rsid w:val="00E703DD"/>
    <w:rsid w:val="00E70597"/>
    <w:rsid w:val="00E7059C"/>
    <w:rsid w:val="00E707E2"/>
    <w:rsid w:val="00E7089F"/>
    <w:rsid w:val="00E709E5"/>
    <w:rsid w:val="00E70B27"/>
    <w:rsid w:val="00E70D44"/>
    <w:rsid w:val="00E70DB3"/>
    <w:rsid w:val="00E70DC5"/>
    <w:rsid w:val="00E70ECB"/>
    <w:rsid w:val="00E711D4"/>
    <w:rsid w:val="00E7124C"/>
    <w:rsid w:val="00E712CE"/>
    <w:rsid w:val="00E71480"/>
    <w:rsid w:val="00E7187B"/>
    <w:rsid w:val="00E719DF"/>
    <w:rsid w:val="00E71AC8"/>
    <w:rsid w:val="00E71B98"/>
    <w:rsid w:val="00E71DF9"/>
    <w:rsid w:val="00E71E6F"/>
    <w:rsid w:val="00E720C0"/>
    <w:rsid w:val="00E72136"/>
    <w:rsid w:val="00E721E3"/>
    <w:rsid w:val="00E723E8"/>
    <w:rsid w:val="00E7257D"/>
    <w:rsid w:val="00E7270A"/>
    <w:rsid w:val="00E7286F"/>
    <w:rsid w:val="00E728D3"/>
    <w:rsid w:val="00E7291B"/>
    <w:rsid w:val="00E729B5"/>
    <w:rsid w:val="00E729F4"/>
    <w:rsid w:val="00E72A5D"/>
    <w:rsid w:val="00E72B2F"/>
    <w:rsid w:val="00E72B94"/>
    <w:rsid w:val="00E72FBC"/>
    <w:rsid w:val="00E731D5"/>
    <w:rsid w:val="00E73291"/>
    <w:rsid w:val="00E733FD"/>
    <w:rsid w:val="00E73437"/>
    <w:rsid w:val="00E73524"/>
    <w:rsid w:val="00E736F4"/>
    <w:rsid w:val="00E737B1"/>
    <w:rsid w:val="00E737DB"/>
    <w:rsid w:val="00E73B8E"/>
    <w:rsid w:val="00E73BE3"/>
    <w:rsid w:val="00E73C65"/>
    <w:rsid w:val="00E73D3F"/>
    <w:rsid w:val="00E73DD4"/>
    <w:rsid w:val="00E73E3F"/>
    <w:rsid w:val="00E73FC2"/>
    <w:rsid w:val="00E7419D"/>
    <w:rsid w:val="00E744A3"/>
    <w:rsid w:val="00E74573"/>
    <w:rsid w:val="00E74650"/>
    <w:rsid w:val="00E746C3"/>
    <w:rsid w:val="00E746CD"/>
    <w:rsid w:val="00E74799"/>
    <w:rsid w:val="00E748C4"/>
    <w:rsid w:val="00E7495C"/>
    <w:rsid w:val="00E74AD1"/>
    <w:rsid w:val="00E74C06"/>
    <w:rsid w:val="00E74CFE"/>
    <w:rsid w:val="00E74D89"/>
    <w:rsid w:val="00E74E01"/>
    <w:rsid w:val="00E74E41"/>
    <w:rsid w:val="00E74F59"/>
    <w:rsid w:val="00E74F6C"/>
    <w:rsid w:val="00E74FF4"/>
    <w:rsid w:val="00E752D4"/>
    <w:rsid w:val="00E7534C"/>
    <w:rsid w:val="00E75358"/>
    <w:rsid w:val="00E75437"/>
    <w:rsid w:val="00E754F1"/>
    <w:rsid w:val="00E7561A"/>
    <w:rsid w:val="00E75741"/>
    <w:rsid w:val="00E758C5"/>
    <w:rsid w:val="00E75902"/>
    <w:rsid w:val="00E75A78"/>
    <w:rsid w:val="00E75B13"/>
    <w:rsid w:val="00E75C08"/>
    <w:rsid w:val="00E75D5F"/>
    <w:rsid w:val="00E75E31"/>
    <w:rsid w:val="00E75E55"/>
    <w:rsid w:val="00E75FCE"/>
    <w:rsid w:val="00E7626A"/>
    <w:rsid w:val="00E76341"/>
    <w:rsid w:val="00E76501"/>
    <w:rsid w:val="00E76572"/>
    <w:rsid w:val="00E765C0"/>
    <w:rsid w:val="00E76762"/>
    <w:rsid w:val="00E7682E"/>
    <w:rsid w:val="00E76B5F"/>
    <w:rsid w:val="00E76C72"/>
    <w:rsid w:val="00E76D1C"/>
    <w:rsid w:val="00E76E17"/>
    <w:rsid w:val="00E76E89"/>
    <w:rsid w:val="00E76E98"/>
    <w:rsid w:val="00E76EAD"/>
    <w:rsid w:val="00E76F12"/>
    <w:rsid w:val="00E76FE8"/>
    <w:rsid w:val="00E76FFD"/>
    <w:rsid w:val="00E77192"/>
    <w:rsid w:val="00E771C5"/>
    <w:rsid w:val="00E7741D"/>
    <w:rsid w:val="00E77442"/>
    <w:rsid w:val="00E77454"/>
    <w:rsid w:val="00E77504"/>
    <w:rsid w:val="00E776F3"/>
    <w:rsid w:val="00E7790D"/>
    <w:rsid w:val="00E7798D"/>
    <w:rsid w:val="00E77AF9"/>
    <w:rsid w:val="00E77C66"/>
    <w:rsid w:val="00E77EFE"/>
    <w:rsid w:val="00E80090"/>
    <w:rsid w:val="00E8015A"/>
    <w:rsid w:val="00E80305"/>
    <w:rsid w:val="00E803FE"/>
    <w:rsid w:val="00E80512"/>
    <w:rsid w:val="00E8083E"/>
    <w:rsid w:val="00E80943"/>
    <w:rsid w:val="00E8094D"/>
    <w:rsid w:val="00E809CB"/>
    <w:rsid w:val="00E809D3"/>
    <w:rsid w:val="00E80AD2"/>
    <w:rsid w:val="00E80B26"/>
    <w:rsid w:val="00E80BCC"/>
    <w:rsid w:val="00E80C1E"/>
    <w:rsid w:val="00E80F43"/>
    <w:rsid w:val="00E80F92"/>
    <w:rsid w:val="00E810BE"/>
    <w:rsid w:val="00E81251"/>
    <w:rsid w:val="00E81287"/>
    <w:rsid w:val="00E812D2"/>
    <w:rsid w:val="00E812E7"/>
    <w:rsid w:val="00E813B2"/>
    <w:rsid w:val="00E8141D"/>
    <w:rsid w:val="00E81590"/>
    <w:rsid w:val="00E81596"/>
    <w:rsid w:val="00E817F7"/>
    <w:rsid w:val="00E818CF"/>
    <w:rsid w:val="00E818D8"/>
    <w:rsid w:val="00E818EB"/>
    <w:rsid w:val="00E819D1"/>
    <w:rsid w:val="00E81AD8"/>
    <w:rsid w:val="00E81C60"/>
    <w:rsid w:val="00E81D20"/>
    <w:rsid w:val="00E81D83"/>
    <w:rsid w:val="00E81F17"/>
    <w:rsid w:val="00E81F3F"/>
    <w:rsid w:val="00E82118"/>
    <w:rsid w:val="00E822CF"/>
    <w:rsid w:val="00E82442"/>
    <w:rsid w:val="00E82475"/>
    <w:rsid w:val="00E8247F"/>
    <w:rsid w:val="00E825C7"/>
    <w:rsid w:val="00E8283D"/>
    <w:rsid w:val="00E828FC"/>
    <w:rsid w:val="00E82B03"/>
    <w:rsid w:val="00E82B90"/>
    <w:rsid w:val="00E82CAF"/>
    <w:rsid w:val="00E82D03"/>
    <w:rsid w:val="00E82D66"/>
    <w:rsid w:val="00E82D77"/>
    <w:rsid w:val="00E82E51"/>
    <w:rsid w:val="00E82EF6"/>
    <w:rsid w:val="00E830E0"/>
    <w:rsid w:val="00E8327D"/>
    <w:rsid w:val="00E835ED"/>
    <w:rsid w:val="00E8360B"/>
    <w:rsid w:val="00E83757"/>
    <w:rsid w:val="00E838BE"/>
    <w:rsid w:val="00E838FA"/>
    <w:rsid w:val="00E83916"/>
    <w:rsid w:val="00E83920"/>
    <w:rsid w:val="00E83956"/>
    <w:rsid w:val="00E8395B"/>
    <w:rsid w:val="00E839D8"/>
    <w:rsid w:val="00E83AC8"/>
    <w:rsid w:val="00E83C33"/>
    <w:rsid w:val="00E83CA3"/>
    <w:rsid w:val="00E83D01"/>
    <w:rsid w:val="00E83D0B"/>
    <w:rsid w:val="00E83D79"/>
    <w:rsid w:val="00E83E56"/>
    <w:rsid w:val="00E83E8E"/>
    <w:rsid w:val="00E83F47"/>
    <w:rsid w:val="00E841C3"/>
    <w:rsid w:val="00E84292"/>
    <w:rsid w:val="00E84414"/>
    <w:rsid w:val="00E84435"/>
    <w:rsid w:val="00E8453B"/>
    <w:rsid w:val="00E845A5"/>
    <w:rsid w:val="00E845E0"/>
    <w:rsid w:val="00E8476D"/>
    <w:rsid w:val="00E849F9"/>
    <w:rsid w:val="00E849FD"/>
    <w:rsid w:val="00E84BA1"/>
    <w:rsid w:val="00E84D2D"/>
    <w:rsid w:val="00E84FC3"/>
    <w:rsid w:val="00E85035"/>
    <w:rsid w:val="00E8505D"/>
    <w:rsid w:val="00E85084"/>
    <w:rsid w:val="00E850DF"/>
    <w:rsid w:val="00E85108"/>
    <w:rsid w:val="00E8521F"/>
    <w:rsid w:val="00E8534E"/>
    <w:rsid w:val="00E8541D"/>
    <w:rsid w:val="00E8545F"/>
    <w:rsid w:val="00E855A9"/>
    <w:rsid w:val="00E8569B"/>
    <w:rsid w:val="00E8592C"/>
    <w:rsid w:val="00E8593A"/>
    <w:rsid w:val="00E85A79"/>
    <w:rsid w:val="00E85A99"/>
    <w:rsid w:val="00E85ABE"/>
    <w:rsid w:val="00E85C1B"/>
    <w:rsid w:val="00E85DDD"/>
    <w:rsid w:val="00E86267"/>
    <w:rsid w:val="00E86272"/>
    <w:rsid w:val="00E8645E"/>
    <w:rsid w:val="00E86480"/>
    <w:rsid w:val="00E864B5"/>
    <w:rsid w:val="00E86519"/>
    <w:rsid w:val="00E86566"/>
    <w:rsid w:val="00E86649"/>
    <w:rsid w:val="00E86699"/>
    <w:rsid w:val="00E866ED"/>
    <w:rsid w:val="00E86777"/>
    <w:rsid w:val="00E86786"/>
    <w:rsid w:val="00E867CC"/>
    <w:rsid w:val="00E8680C"/>
    <w:rsid w:val="00E86BCC"/>
    <w:rsid w:val="00E86D40"/>
    <w:rsid w:val="00E86EDE"/>
    <w:rsid w:val="00E86F06"/>
    <w:rsid w:val="00E87057"/>
    <w:rsid w:val="00E870BD"/>
    <w:rsid w:val="00E87137"/>
    <w:rsid w:val="00E87195"/>
    <w:rsid w:val="00E872CA"/>
    <w:rsid w:val="00E872CD"/>
    <w:rsid w:val="00E872DB"/>
    <w:rsid w:val="00E87424"/>
    <w:rsid w:val="00E87436"/>
    <w:rsid w:val="00E8752F"/>
    <w:rsid w:val="00E87633"/>
    <w:rsid w:val="00E8763D"/>
    <w:rsid w:val="00E8783D"/>
    <w:rsid w:val="00E87856"/>
    <w:rsid w:val="00E8796E"/>
    <w:rsid w:val="00E87A71"/>
    <w:rsid w:val="00E87AEF"/>
    <w:rsid w:val="00E87B82"/>
    <w:rsid w:val="00E87BE7"/>
    <w:rsid w:val="00E87C8D"/>
    <w:rsid w:val="00E87CF1"/>
    <w:rsid w:val="00E87D11"/>
    <w:rsid w:val="00E87D8F"/>
    <w:rsid w:val="00E87F7A"/>
    <w:rsid w:val="00E9007E"/>
    <w:rsid w:val="00E900E1"/>
    <w:rsid w:val="00E90347"/>
    <w:rsid w:val="00E903B1"/>
    <w:rsid w:val="00E904F7"/>
    <w:rsid w:val="00E905EA"/>
    <w:rsid w:val="00E906C0"/>
    <w:rsid w:val="00E907B4"/>
    <w:rsid w:val="00E90980"/>
    <w:rsid w:val="00E90CEA"/>
    <w:rsid w:val="00E90D1D"/>
    <w:rsid w:val="00E90DE3"/>
    <w:rsid w:val="00E911DA"/>
    <w:rsid w:val="00E9120A"/>
    <w:rsid w:val="00E9123A"/>
    <w:rsid w:val="00E9130F"/>
    <w:rsid w:val="00E913F3"/>
    <w:rsid w:val="00E9142C"/>
    <w:rsid w:val="00E91509"/>
    <w:rsid w:val="00E9161C"/>
    <w:rsid w:val="00E917F0"/>
    <w:rsid w:val="00E91869"/>
    <w:rsid w:val="00E91883"/>
    <w:rsid w:val="00E91A60"/>
    <w:rsid w:val="00E91B1E"/>
    <w:rsid w:val="00E91C93"/>
    <w:rsid w:val="00E92486"/>
    <w:rsid w:val="00E92749"/>
    <w:rsid w:val="00E927B6"/>
    <w:rsid w:val="00E9288A"/>
    <w:rsid w:val="00E92958"/>
    <w:rsid w:val="00E92C8F"/>
    <w:rsid w:val="00E930A4"/>
    <w:rsid w:val="00E93158"/>
    <w:rsid w:val="00E931D7"/>
    <w:rsid w:val="00E932B4"/>
    <w:rsid w:val="00E932B7"/>
    <w:rsid w:val="00E935FD"/>
    <w:rsid w:val="00E93619"/>
    <w:rsid w:val="00E939C6"/>
    <w:rsid w:val="00E939FC"/>
    <w:rsid w:val="00E93A0D"/>
    <w:rsid w:val="00E93C00"/>
    <w:rsid w:val="00E93C17"/>
    <w:rsid w:val="00E93C5B"/>
    <w:rsid w:val="00E93C65"/>
    <w:rsid w:val="00E93C6A"/>
    <w:rsid w:val="00E93E7D"/>
    <w:rsid w:val="00E93FD2"/>
    <w:rsid w:val="00E9407D"/>
    <w:rsid w:val="00E940BC"/>
    <w:rsid w:val="00E940DC"/>
    <w:rsid w:val="00E94202"/>
    <w:rsid w:val="00E9444F"/>
    <w:rsid w:val="00E944E3"/>
    <w:rsid w:val="00E945D8"/>
    <w:rsid w:val="00E945F3"/>
    <w:rsid w:val="00E94747"/>
    <w:rsid w:val="00E9483F"/>
    <w:rsid w:val="00E94907"/>
    <w:rsid w:val="00E949BB"/>
    <w:rsid w:val="00E94CBE"/>
    <w:rsid w:val="00E95047"/>
    <w:rsid w:val="00E95076"/>
    <w:rsid w:val="00E950A8"/>
    <w:rsid w:val="00E950D8"/>
    <w:rsid w:val="00E95252"/>
    <w:rsid w:val="00E95264"/>
    <w:rsid w:val="00E952D1"/>
    <w:rsid w:val="00E953DC"/>
    <w:rsid w:val="00E954A0"/>
    <w:rsid w:val="00E954B6"/>
    <w:rsid w:val="00E9567C"/>
    <w:rsid w:val="00E9575E"/>
    <w:rsid w:val="00E9577A"/>
    <w:rsid w:val="00E9591B"/>
    <w:rsid w:val="00E9597A"/>
    <w:rsid w:val="00E95AC6"/>
    <w:rsid w:val="00E95B89"/>
    <w:rsid w:val="00E95D4A"/>
    <w:rsid w:val="00E95DA6"/>
    <w:rsid w:val="00E95E8D"/>
    <w:rsid w:val="00E95FA4"/>
    <w:rsid w:val="00E95FCF"/>
    <w:rsid w:val="00E960D0"/>
    <w:rsid w:val="00E960F4"/>
    <w:rsid w:val="00E96374"/>
    <w:rsid w:val="00E9638D"/>
    <w:rsid w:val="00E96660"/>
    <w:rsid w:val="00E969FA"/>
    <w:rsid w:val="00E96DAB"/>
    <w:rsid w:val="00E96E7B"/>
    <w:rsid w:val="00E96F75"/>
    <w:rsid w:val="00E970E1"/>
    <w:rsid w:val="00E971D6"/>
    <w:rsid w:val="00E975B8"/>
    <w:rsid w:val="00E97613"/>
    <w:rsid w:val="00E97784"/>
    <w:rsid w:val="00E97803"/>
    <w:rsid w:val="00E97831"/>
    <w:rsid w:val="00E97D83"/>
    <w:rsid w:val="00E97E83"/>
    <w:rsid w:val="00E97F58"/>
    <w:rsid w:val="00E97F5A"/>
    <w:rsid w:val="00EA028C"/>
    <w:rsid w:val="00EA0345"/>
    <w:rsid w:val="00EA05FB"/>
    <w:rsid w:val="00EA06B9"/>
    <w:rsid w:val="00EA0723"/>
    <w:rsid w:val="00EA074A"/>
    <w:rsid w:val="00EA077D"/>
    <w:rsid w:val="00EA084C"/>
    <w:rsid w:val="00EA089F"/>
    <w:rsid w:val="00EA0A8A"/>
    <w:rsid w:val="00EA0B05"/>
    <w:rsid w:val="00EA0B24"/>
    <w:rsid w:val="00EA0C7B"/>
    <w:rsid w:val="00EA0D61"/>
    <w:rsid w:val="00EA124A"/>
    <w:rsid w:val="00EA14C5"/>
    <w:rsid w:val="00EA15BD"/>
    <w:rsid w:val="00EA15D2"/>
    <w:rsid w:val="00EA1624"/>
    <w:rsid w:val="00EA1646"/>
    <w:rsid w:val="00EA16D7"/>
    <w:rsid w:val="00EA16DB"/>
    <w:rsid w:val="00EA193C"/>
    <w:rsid w:val="00EA19BC"/>
    <w:rsid w:val="00EA1A4C"/>
    <w:rsid w:val="00EA1A9D"/>
    <w:rsid w:val="00EA1CD9"/>
    <w:rsid w:val="00EA1D0C"/>
    <w:rsid w:val="00EA1DCC"/>
    <w:rsid w:val="00EA1E58"/>
    <w:rsid w:val="00EA1E61"/>
    <w:rsid w:val="00EA1F09"/>
    <w:rsid w:val="00EA1FAA"/>
    <w:rsid w:val="00EA20A5"/>
    <w:rsid w:val="00EA221B"/>
    <w:rsid w:val="00EA238C"/>
    <w:rsid w:val="00EA238E"/>
    <w:rsid w:val="00EA2622"/>
    <w:rsid w:val="00EA268D"/>
    <w:rsid w:val="00EA26EC"/>
    <w:rsid w:val="00EA2863"/>
    <w:rsid w:val="00EA2A1D"/>
    <w:rsid w:val="00EA2B19"/>
    <w:rsid w:val="00EA2E26"/>
    <w:rsid w:val="00EA2F1B"/>
    <w:rsid w:val="00EA3214"/>
    <w:rsid w:val="00EA3229"/>
    <w:rsid w:val="00EA326C"/>
    <w:rsid w:val="00EA33F9"/>
    <w:rsid w:val="00EA37D5"/>
    <w:rsid w:val="00EA3841"/>
    <w:rsid w:val="00EA3B3F"/>
    <w:rsid w:val="00EA3CF8"/>
    <w:rsid w:val="00EA3EB8"/>
    <w:rsid w:val="00EA4076"/>
    <w:rsid w:val="00EA40BB"/>
    <w:rsid w:val="00EA411A"/>
    <w:rsid w:val="00EA4124"/>
    <w:rsid w:val="00EA419F"/>
    <w:rsid w:val="00EA41E7"/>
    <w:rsid w:val="00EA4208"/>
    <w:rsid w:val="00EA430B"/>
    <w:rsid w:val="00EA4736"/>
    <w:rsid w:val="00EA4778"/>
    <w:rsid w:val="00EA4C07"/>
    <w:rsid w:val="00EA4C81"/>
    <w:rsid w:val="00EA4C9B"/>
    <w:rsid w:val="00EA4CB7"/>
    <w:rsid w:val="00EA4F96"/>
    <w:rsid w:val="00EA50A8"/>
    <w:rsid w:val="00EA50B0"/>
    <w:rsid w:val="00EA50B1"/>
    <w:rsid w:val="00EA530E"/>
    <w:rsid w:val="00EA5332"/>
    <w:rsid w:val="00EA5692"/>
    <w:rsid w:val="00EA5A34"/>
    <w:rsid w:val="00EA5B91"/>
    <w:rsid w:val="00EA5CA3"/>
    <w:rsid w:val="00EA5CAA"/>
    <w:rsid w:val="00EA5E3F"/>
    <w:rsid w:val="00EA6002"/>
    <w:rsid w:val="00EA6020"/>
    <w:rsid w:val="00EA62D2"/>
    <w:rsid w:val="00EA63D6"/>
    <w:rsid w:val="00EA6552"/>
    <w:rsid w:val="00EA668E"/>
    <w:rsid w:val="00EA669E"/>
    <w:rsid w:val="00EA681A"/>
    <w:rsid w:val="00EA6918"/>
    <w:rsid w:val="00EA69D2"/>
    <w:rsid w:val="00EA6AE0"/>
    <w:rsid w:val="00EA6B84"/>
    <w:rsid w:val="00EA6CAB"/>
    <w:rsid w:val="00EA6D8E"/>
    <w:rsid w:val="00EA6E8F"/>
    <w:rsid w:val="00EA7076"/>
    <w:rsid w:val="00EA7189"/>
    <w:rsid w:val="00EA71BE"/>
    <w:rsid w:val="00EA71FB"/>
    <w:rsid w:val="00EA7257"/>
    <w:rsid w:val="00EA7339"/>
    <w:rsid w:val="00EA7372"/>
    <w:rsid w:val="00EA7398"/>
    <w:rsid w:val="00EA74CC"/>
    <w:rsid w:val="00EA758C"/>
    <w:rsid w:val="00EA7699"/>
    <w:rsid w:val="00EA76FB"/>
    <w:rsid w:val="00EA7761"/>
    <w:rsid w:val="00EA78D0"/>
    <w:rsid w:val="00EA7979"/>
    <w:rsid w:val="00EA7A81"/>
    <w:rsid w:val="00EA7B8C"/>
    <w:rsid w:val="00EA7C42"/>
    <w:rsid w:val="00EA7D02"/>
    <w:rsid w:val="00EA7EB9"/>
    <w:rsid w:val="00EB007E"/>
    <w:rsid w:val="00EB01C6"/>
    <w:rsid w:val="00EB0220"/>
    <w:rsid w:val="00EB044E"/>
    <w:rsid w:val="00EB05CC"/>
    <w:rsid w:val="00EB0842"/>
    <w:rsid w:val="00EB08A4"/>
    <w:rsid w:val="00EB09A9"/>
    <w:rsid w:val="00EB0A02"/>
    <w:rsid w:val="00EB0A10"/>
    <w:rsid w:val="00EB0AC4"/>
    <w:rsid w:val="00EB0AE8"/>
    <w:rsid w:val="00EB0C29"/>
    <w:rsid w:val="00EB1079"/>
    <w:rsid w:val="00EB1203"/>
    <w:rsid w:val="00EB138F"/>
    <w:rsid w:val="00EB15E5"/>
    <w:rsid w:val="00EB174F"/>
    <w:rsid w:val="00EB18FD"/>
    <w:rsid w:val="00EB19F8"/>
    <w:rsid w:val="00EB1A95"/>
    <w:rsid w:val="00EB1C4C"/>
    <w:rsid w:val="00EB1FD6"/>
    <w:rsid w:val="00EB208F"/>
    <w:rsid w:val="00EB214D"/>
    <w:rsid w:val="00EB236F"/>
    <w:rsid w:val="00EB2384"/>
    <w:rsid w:val="00EB23F3"/>
    <w:rsid w:val="00EB248A"/>
    <w:rsid w:val="00EB2584"/>
    <w:rsid w:val="00EB27E5"/>
    <w:rsid w:val="00EB2B39"/>
    <w:rsid w:val="00EB2C0A"/>
    <w:rsid w:val="00EB2D52"/>
    <w:rsid w:val="00EB2D5A"/>
    <w:rsid w:val="00EB2D60"/>
    <w:rsid w:val="00EB2F13"/>
    <w:rsid w:val="00EB3088"/>
    <w:rsid w:val="00EB31F0"/>
    <w:rsid w:val="00EB329F"/>
    <w:rsid w:val="00EB32B6"/>
    <w:rsid w:val="00EB32B9"/>
    <w:rsid w:val="00EB33F5"/>
    <w:rsid w:val="00EB3446"/>
    <w:rsid w:val="00EB345E"/>
    <w:rsid w:val="00EB36CE"/>
    <w:rsid w:val="00EB37D6"/>
    <w:rsid w:val="00EB39BA"/>
    <w:rsid w:val="00EB3BE2"/>
    <w:rsid w:val="00EB3E0A"/>
    <w:rsid w:val="00EB4028"/>
    <w:rsid w:val="00EB415C"/>
    <w:rsid w:val="00EB425A"/>
    <w:rsid w:val="00EB4585"/>
    <w:rsid w:val="00EB458C"/>
    <w:rsid w:val="00EB45E2"/>
    <w:rsid w:val="00EB497F"/>
    <w:rsid w:val="00EB4B24"/>
    <w:rsid w:val="00EB5181"/>
    <w:rsid w:val="00EB51BE"/>
    <w:rsid w:val="00EB5264"/>
    <w:rsid w:val="00EB52CD"/>
    <w:rsid w:val="00EB5335"/>
    <w:rsid w:val="00EB538E"/>
    <w:rsid w:val="00EB554E"/>
    <w:rsid w:val="00EB599A"/>
    <w:rsid w:val="00EB59C9"/>
    <w:rsid w:val="00EB5A34"/>
    <w:rsid w:val="00EB5A53"/>
    <w:rsid w:val="00EB5A87"/>
    <w:rsid w:val="00EB5B67"/>
    <w:rsid w:val="00EB5BF6"/>
    <w:rsid w:val="00EB5CB5"/>
    <w:rsid w:val="00EB5CF3"/>
    <w:rsid w:val="00EB5DD8"/>
    <w:rsid w:val="00EB5DDE"/>
    <w:rsid w:val="00EB5E5D"/>
    <w:rsid w:val="00EB6213"/>
    <w:rsid w:val="00EB6235"/>
    <w:rsid w:val="00EB65B6"/>
    <w:rsid w:val="00EB6636"/>
    <w:rsid w:val="00EB66AD"/>
    <w:rsid w:val="00EB6812"/>
    <w:rsid w:val="00EB6B71"/>
    <w:rsid w:val="00EB6B89"/>
    <w:rsid w:val="00EB6C77"/>
    <w:rsid w:val="00EB6D43"/>
    <w:rsid w:val="00EB6F1B"/>
    <w:rsid w:val="00EB700F"/>
    <w:rsid w:val="00EB70DE"/>
    <w:rsid w:val="00EB714B"/>
    <w:rsid w:val="00EB7184"/>
    <w:rsid w:val="00EB722E"/>
    <w:rsid w:val="00EB788E"/>
    <w:rsid w:val="00EB792C"/>
    <w:rsid w:val="00EB7930"/>
    <w:rsid w:val="00EB7A03"/>
    <w:rsid w:val="00EB7AF2"/>
    <w:rsid w:val="00EB7BE5"/>
    <w:rsid w:val="00EB7D3E"/>
    <w:rsid w:val="00EB7DF3"/>
    <w:rsid w:val="00EB7E7E"/>
    <w:rsid w:val="00EC0215"/>
    <w:rsid w:val="00EC0387"/>
    <w:rsid w:val="00EC055B"/>
    <w:rsid w:val="00EC0568"/>
    <w:rsid w:val="00EC0595"/>
    <w:rsid w:val="00EC0609"/>
    <w:rsid w:val="00EC06FF"/>
    <w:rsid w:val="00EC078D"/>
    <w:rsid w:val="00EC0929"/>
    <w:rsid w:val="00EC096A"/>
    <w:rsid w:val="00EC0986"/>
    <w:rsid w:val="00EC0A0F"/>
    <w:rsid w:val="00EC0A7D"/>
    <w:rsid w:val="00EC0AE6"/>
    <w:rsid w:val="00EC0D1E"/>
    <w:rsid w:val="00EC0DFB"/>
    <w:rsid w:val="00EC0EB0"/>
    <w:rsid w:val="00EC0EF8"/>
    <w:rsid w:val="00EC1126"/>
    <w:rsid w:val="00EC1152"/>
    <w:rsid w:val="00EC1210"/>
    <w:rsid w:val="00EC122A"/>
    <w:rsid w:val="00EC13DC"/>
    <w:rsid w:val="00EC1406"/>
    <w:rsid w:val="00EC155D"/>
    <w:rsid w:val="00EC15D1"/>
    <w:rsid w:val="00EC15E1"/>
    <w:rsid w:val="00EC16E4"/>
    <w:rsid w:val="00EC17D5"/>
    <w:rsid w:val="00EC17E7"/>
    <w:rsid w:val="00EC19D4"/>
    <w:rsid w:val="00EC19F8"/>
    <w:rsid w:val="00EC1AE1"/>
    <w:rsid w:val="00EC1AFC"/>
    <w:rsid w:val="00EC1BC1"/>
    <w:rsid w:val="00EC1F05"/>
    <w:rsid w:val="00EC1F32"/>
    <w:rsid w:val="00EC1FCF"/>
    <w:rsid w:val="00EC2447"/>
    <w:rsid w:val="00EC24A2"/>
    <w:rsid w:val="00EC2545"/>
    <w:rsid w:val="00EC2569"/>
    <w:rsid w:val="00EC2648"/>
    <w:rsid w:val="00EC2837"/>
    <w:rsid w:val="00EC2A5B"/>
    <w:rsid w:val="00EC2AFF"/>
    <w:rsid w:val="00EC2B90"/>
    <w:rsid w:val="00EC2C34"/>
    <w:rsid w:val="00EC2D34"/>
    <w:rsid w:val="00EC2EEE"/>
    <w:rsid w:val="00EC2FC1"/>
    <w:rsid w:val="00EC2FFD"/>
    <w:rsid w:val="00EC320A"/>
    <w:rsid w:val="00EC326E"/>
    <w:rsid w:val="00EC33F7"/>
    <w:rsid w:val="00EC377B"/>
    <w:rsid w:val="00EC3798"/>
    <w:rsid w:val="00EC3950"/>
    <w:rsid w:val="00EC39BD"/>
    <w:rsid w:val="00EC3A1C"/>
    <w:rsid w:val="00EC3AFD"/>
    <w:rsid w:val="00EC3B08"/>
    <w:rsid w:val="00EC3C0D"/>
    <w:rsid w:val="00EC408D"/>
    <w:rsid w:val="00EC40AB"/>
    <w:rsid w:val="00EC4126"/>
    <w:rsid w:val="00EC43E9"/>
    <w:rsid w:val="00EC443A"/>
    <w:rsid w:val="00EC461A"/>
    <w:rsid w:val="00EC4628"/>
    <w:rsid w:val="00EC4859"/>
    <w:rsid w:val="00EC495B"/>
    <w:rsid w:val="00EC495D"/>
    <w:rsid w:val="00EC49E6"/>
    <w:rsid w:val="00EC4AAF"/>
    <w:rsid w:val="00EC4B1F"/>
    <w:rsid w:val="00EC4C3F"/>
    <w:rsid w:val="00EC4C65"/>
    <w:rsid w:val="00EC4CC6"/>
    <w:rsid w:val="00EC4E5E"/>
    <w:rsid w:val="00EC507B"/>
    <w:rsid w:val="00EC529A"/>
    <w:rsid w:val="00EC5327"/>
    <w:rsid w:val="00EC5330"/>
    <w:rsid w:val="00EC5492"/>
    <w:rsid w:val="00EC55FD"/>
    <w:rsid w:val="00EC57B2"/>
    <w:rsid w:val="00EC5921"/>
    <w:rsid w:val="00EC5AA4"/>
    <w:rsid w:val="00EC5CA4"/>
    <w:rsid w:val="00EC5D73"/>
    <w:rsid w:val="00EC5F08"/>
    <w:rsid w:val="00EC5FA6"/>
    <w:rsid w:val="00EC615E"/>
    <w:rsid w:val="00EC6294"/>
    <w:rsid w:val="00EC6589"/>
    <w:rsid w:val="00EC65F3"/>
    <w:rsid w:val="00EC66D1"/>
    <w:rsid w:val="00EC6711"/>
    <w:rsid w:val="00EC6839"/>
    <w:rsid w:val="00EC68E6"/>
    <w:rsid w:val="00EC68F3"/>
    <w:rsid w:val="00EC6907"/>
    <w:rsid w:val="00EC6A6E"/>
    <w:rsid w:val="00EC6D7D"/>
    <w:rsid w:val="00EC704B"/>
    <w:rsid w:val="00EC768B"/>
    <w:rsid w:val="00EC7A6A"/>
    <w:rsid w:val="00EC7ABA"/>
    <w:rsid w:val="00EC7B5B"/>
    <w:rsid w:val="00EC7B6F"/>
    <w:rsid w:val="00EC7B99"/>
    <w:rsid w:val="00EC7C73"/>
    <w:rsid w:val="00EC7CAC"/>
    <w:rsid w:val="00EC7D16"/>
    <w:rsid w:val="00EC7D51"/>
    <w:rsid w:val="00EC7EC6"/>
    <w:rsid w:val="00ED00DC"/>
    <w:rsid w:val="00ED02DF"/>
    <w:rsid w:val="00ED0311"/>
    <w:rsid w:val="00ED0837"/>
    <w:rsid w:val="00ED0858"/>
    <w:rsid w:val="00ED0933"/>
    <w:rsid w:val="00ED0A4E"/>
    <w:rsid w:val="00ED0AE0"/>
    <w:rsid w:val="00ED0B3A"/>
    <w:rsid w:val="00ED0C6C"/>
    <w:rsid w:val="00ED0D9E"/>
    <w:rsid w:val="00ED0ED6"/>
    <w:rsid w:val="00ED0F18"/>
    <w:rsid w:val="00ED0FA1"/>
    <w:rsid w:val="00ED10EB"/>
    <w:rsid w:val="00ED10F0"/>
    <w:rsid w:val="00ED1226"/>
    <w:rsid w:val="00ED123E"/>
    <w:rsid w:val="00ED1427"/>
    <w:rsid w:val="00ED1488"/>
    <w:rsid w:val="00ED150D"/>
    <w:rsid w:val="00ED15DD"/>
    <w:rsid w:val="00ED1732"/>
    <w:rsid w:val="00ED1ACC"/>
    <w:rsid w:val="00ED1B5D"/>
    <w:rsid w:val="00ED1C76"/>
    <w:rsid w:val="00ED1CAA"/>
    <w:rsid w:val="00ED1DE7"/>
    <w:rsid w:val="00ED1E35"/>
    <w:rsid w:val="00ED1E56"/>
    <w:rsid w:val="00ED204F"/>
    <w:rsid w:val="00ED20B9"/>
    <w:rsid w:val="00ED22F8"/>
    <w:rsid w:val="00ED25EE"/>
    <w:rsid w:val="00ED26E2"/>
    <w:rsid w:val="00ED2766"/>
    <w:rsid w:val="00ED2A9A"/>
    <w:rsid w:val="00ED2B2F"/>
    <w:rsid w:val="00ED2B92"/>
    <w:rsid w:val="00ED2CCF"/>
    <w:rsid w:val="00ED2CD0"/>
    <w:rsid w:val="00ED2DC0"/>
    <w:rsid w:val="00ED2E0E"/>
    <w:rsid w:val="00ED2F5A"/>
    <w:rsid w:val="00ED2FAE"/>
    <w:rsid w:val="00ED2FEF"/>
    <w:rsid w:val="00ED314B"/>
    <w:rsid w:val="00ED31AC"/>
    <w:rsid w:val="00ED323E"/>
    <w:rsid w:val="00ED33A4"/>
    <w:rsid w:val="00ED33CF"/>
    <w:rsid w:val="00ED34A6"/>
    <w:rsid w:val="00ED355A"/>
    <w:rsid w:val="00ED3571"/>
    <w:rsid w:val="00ED372E"/>
    <w:rsid w:val="00ED383E"/>
    <w:rsid w:val="00ED388A"/>
    <w:rsid w:val="00ED3CFC"/>
    <w:rsid w:val="00ED3D72"/>
    <w:rsid w:val="00ED3EEF"/>
    <w:rsid w:val="00ED4022"/>
    <w:rsid w:val="00ED4026"/>
    <w:rsid w:val="00ED41EE"/>
    <w:rsid w:val="00ED4275"/>
    <w:rsid w:val="00ED430C"/>
    <w:rsid w:val="00ED437A"/>
    <w:rsid w:val="00ED438E"/>
    <w:rsid w:val="00ED43FF"/>
    <w:rsid w:val="00ED4427"/>
    <w:rsid w:val="00ED4475"/>
    <w:rsid w:val="00ED47CA"/>
    <w:rsid w:val="00ED4A56"/>
    <w:rsid w:val="00ED4BC7"/>
    <w:rsid w:val="00ED4BED"/>
    <w:rsid w:val="00ED4CDF"/>
    <w:rsid w:val="00ED4D4A"/>
    <w:rsid w:val="00ED4E8D"/>
    <w:rsid w:val="00ED4E9E"/>
    <w:rsid w:val="00ED4EEE"/>
    <w:rsid w:val="00ED50EF"/>
    <w:rsid w:val="00ED53B2"/>
    <w:rsid w:val="00ED54F3"/>
    <w:rsid w:val="00ED5510"/>
    <w:rsid w:val="00ED5528"/>
    <w:rsid w:val="00ED562C"/>
    <w:rsid w:val="00ED562F"/>
    <w:rsid w:val="00ED563C"/>
    <w:rsid w:val="00ED5700"/>
    <w:rsid w:val="00ED571F"/>
    <w:rsid w:val="00ED58BA"/>
    <w:rsid w:val="00ED5961"/>
    <w:rsid w:val="00ED5A15"/>
    <w:rsid w:val="00ED5B37"/>
    <w:rsid w:val="00ED5B9D"/>
    <w:rsid w:val="00ED5C3E"/>
    <w:rsid w:val="00ED5D0C"/>
    <w:rsid w:val="00ED5D52"/>
    <w:rsid w:val="00ED5DFE"/>
    <w:rsid w:val="00ED5E1A"/>
    <w:rsid w:val="00ED5E49"/>
    <w:rsid w:val="00ED5F29"/>
    <w:rsid w:val="00ED5F5A"/>
    <w:rsid w:val="00ED5F9E"/>
    <w:rsid w:val="00ED5FE0"/>
    <w:rsid w:val="00ED603E"/>
    <w:rsid w:val="00ED60CC"/>
    <w:rsid w:val="00ED6198"/>
    <w:rsid w:val="00ED61EA"/>
    <w:rsid w:val="00ED6218"/>
    <w:rsid w:val="00ED641A"/>
    <w:rsid w:val="00ED65D9"/>
    <w:rsid w:val="00ED663E"/>
    <w:rsid w:val="00ED6658"/>
    <w:rsid w:val="00ED6996"/>
    <w:rsid w:val="00ED6B28"/>
    <w:rsid w:val="00ED71AF"/>
    <w:rsid w:val="00ED73B8"/>
    <w:rsid w:val="00ED7424"/>
    <w:rsid w:val="00ED75BF"/>
    <w:rsid w:val="00ED7619"/>
    <w:rsid w:val="00ED764A"/>
    <w:rsid w:val="00ED7710"/>
    <w:rsid w:val="00ED77BC"/>
    <w:rsid w:val="00ED77BE"/>
    <w:rsid w:val="00ED782A"/>
    <w:rsid w:val="00ED7AAD"/>
    <w:rsid w:val="00ED7B60"/>
    <w:rsid w:val="00ED7CE3"/>
    <w:rsid w:val="00ED7D07"/>
    <w:rsid w:val="00ED7EB1"/>
    <w:rsid w:val="00ED7EBC"/>
    <w:rsid w:val="00ED7EF9"/>
    <w:rsid w:val="00ED7F73"/>
    <w:rsid w:val="00ED7F9B"/>
    <w:rsid w:val="00EE000B"/>
    <w:rsid w:val="00EE0289"/>
    <w:rsid w:val="00EE0365"/>
    <w:rsid w:val="00EE0459"/>
    <w:rsid w:val="00EE0504"/>
    <w:rsid w:val="00EE050D"/>
    <w:rsid w:val="00EE08A8"/>
    <w:rsid w:val="00EE0905"/>
    <w:rsid w:val="00EE0910"/>
    <w:rsid w:val="00EE0C33"/>
    <w:rsid w:val="00EE0CBD"/>
    <w:rsid w:val="00EE0CED"/>
    <w:rsid w:val="00EE0DBC"/>
    <w:rsid w:val="00EE0F0C"/>
    <w:rsid w:val="00EE0F47"/>
    <w:rsid w:val="00EE1181"/>
    <w:rsid w:val="00EE126D"/>
    <w:rsid w:val="00EE1333"/>
    <w:rsid w:val="00EE1358"/>
    <w:rsid w:val="00EE135F"/>
    <w:rsid w:val="00EE1506"/>
    <w:rsid w:val="00EE1933"/>
    <w:rsid w:val="00EE19BB"/>
    <w:rsid w:val="00EE1A58"/>
    <w:rsid w:val="00EE1A9F"/>
    <w:rsid w:val="00EE1BC9"/>
    <w:rsid w:val="00EE1F69"/>
    <w:rsid w:val="00EE20C4"/>
    <w:rsid w:val="00EE20D1"/>
    <w:rsid w:val="00EE21E5"/>
    <w:rsid w:val="00EE2285"/>
    <w:rsid w:val="00EE23C0"/>
    <w:rsid w:val="00EE241A"/>
    <w:rsid w:val="00EE244B"/>
    <w:rsid w:val="00EE2500"/>
    <w:rsid w:val="00EE260D"/>
    <w:rsid w:val="00EE2673"/>
    <w:rsid w:val="00EE26E8"/>
    <w:rsid w:val="00EE2724"/>
    <w:rsid w:val="00EE2904"/>
    <w:rsid w:val="00EE294F"/>
    <w:rsid w:val="00EE2A7F"/>
    <w:rsid w:val="00EE2C88"/>
    <w:rsid w:val="00EE2DAF"/>
    <w:rsid w:val="00EE2DE5"/>
    <w:rsid w:val="00EE302B"/>
    <w:rsid w:val="00EE31F8"/>
    <w:rsid w:val="00EE3260"/>
    <w:rsid w:val="00EE32BF"/>
    <w:rsid w:val="00EE32D2"/>
    <w:rsid w:val="00EE343B"/>
    <w:rsid w:val="00EE34C4"/>
    <w:rsid w:val="00EE3507"/>
    <w:rsid w:val="00EE368F"/>
    <w:rsid w:val="00EE3D00"/>
    <w:rsid w:val="00EE3D04"/>
    <w:rsid w:val="00EE3E03"/>
    <w:rsid w:val="00EE3E4A"/>
    <w:rsid w:val="00EE4001"/>
    <w:rsid w:val="00EE4019"/>
    <w:rsid w:val="00EE40AC"/>
    <w:rsid w:val="00EE41F3"/>
    <w:rsid w:val="00EE460F"/>
    <w:rsid w:val="00EE4884"/>
    <w:rsid w:val="00EE4909"/>
    <w:rsid w:val="00EE4A3A"/>
    <w:rsid w:val="00EE4B0F"/>
    <w:rsid w:val="00EE4B42"/>
    <w:rsid w:val="00EE4CF3"/>
    <w:rsid w:val="00EE4E3A"/>
    <w:rsid w:val="00EE4ECD"/>
    <w:rsid w:val="00EE4F8D"/>
    <w:rsid w:val="00EE501E"/>
    <w:rsid w:val="00EE5148"/>
    <w:rsid w:val="00EE514E"/>
    <w:rsid w:val="00EE52CB"/>
    <w:rsid w:val="00EE5492"/>
    <w:rsid w:val="00EE5533"/>
    <w:rsid w:val="00EE55A2"/>
    <w:rsid w:val="00EE561D"/>
    <w:rsid w:val="00EE593D"/>
    <w:rsid w:val="00EE5974"/>
    <w:rsid w:val="00EE5A63"/>
    <w:rsid w:val="00EE5D94"/>
    <w:rsid w:val="00EE5EE2"/>
    <w:rsid w:val="00EE61AC"/>
    <w:rsid w:val="00EE6227"/>
    <w:rsid w:val="00EE6393"/>
    <w:rsid w:val="00EE639C"/>
    <w:rsid w:val="00EE63F8"/>
    <w:rsid w:val="00EE6546"/>
    <w:rsid w:val="00EE662C"/>
    <w:rsid w:val="00EE66F8"/>
    <w:rsid w:val="00EE67B5"/>
    <w:rsid w:val="00EE692B"/>
    <w:rsid w:val="00EE69BA"/>
    <w:rsid w:val="00EE6A8E"/>
    <w:rsid w:val="00EE6B3E"/>
    <w:rsid w:val="00EE6B4E"/>
    <w:rsid w:val="00EE6B6E"/>
    <w:rsid w:val="00EE6BD9"/>
    <w:rsid w:val="00EE6DCD"/>
    <w:rsid w:val="00EE6F7C"/>
    <w:rsid w:val="00EE710A"/>
    <w:rsid w:val="00EE71C4"/>
    <w:rsid w:val="00EE73EA"/>
    <w:rsid w:val="00EE7443"/>
    <w:rsid w:val="00EE744E"/>
    <w:rsid w:val="00EE76B9"/>
    <w:rsid w:val="00EE77D9"/>
    <w:rsid w:val="00EE78A7"/>
    <w:rsid w:val="00EE7B3F"/>
    <w:rsid w:val="00EE7BBA"/>
    <w:rsid w:val="00EE7F97"/>
    <w:rsid w:val="00EF0118"/>
    <w:rsid w:val="00EF0271"/>
    <w:rsid w:val="00EF03CF"/>
    <w:rsid w:val="00EF04A6"/>
    <w:rsid w:val="00EF04DE"/>
    <w:rsid w:val="00EF05EB"/>
    <w:rsid w:val="00EF0613"/>
    <w:rsid w:val="00EF0633"/>
    <w:rsid w:val="00EF0705"/>
    <w:rsid w:val="00EF074B"/>
    <w:rsid w:val="00EF0886"/>
    <w:rsid w:val="00EF08E9"/>
    <w:rsid w:val="00EF0BB3"/>
    <w:rsid w:val="00EF0BBF"/>
    <w:rsid w:val="00EF0DA8"/>
    <w:rsid w:val="00EF0FA3"/>
    <w:rsid w:val="00EF10B1"/>
    <w:rsid w:val="00EF10CD"/>
    <w:rsid w:val="00EF1226"/>
    <w:rsid w:val="00EF133A"/>
    <w:rsid w:val="00EF1724"/>
    <w:rsid w:val="00EF192B"/>
    <w:rsid w:val="00EF19E9"/>
    <w:rsid w:val="00EF1A9F"/>
    <w:rsid w:val="00EF1AE3"/>
    <w:rsid w:val="00EF1B76"/>
    <w:rsid w:val="00EF1C98"/>
    <w:rsid w:val="00EF1CBA"/>
    <w:rsid w:val="00EF1DCB"/>
    <w:rsid w:val="00EF1EE7"/>
    <w:rsid w:val="00EF2243"/>
    <w:rsid w:val="00EF244D"/>
    <w:rsid w:val="00EF2541"/>
    <w:rsid w:val="00EF2546"/>
    <w:rsid w:val="00EF2588"/>
    <w:rsid w:val="00EF259A"/>
    <w:rsid w:val="00EF25C2"/>
    <w:rsid w:val="00EF25D9"/>
    <w:rsid w:val="00EF262B"/>
    <w:rsid w:val="00EF2869"/>
    <w:rsid w:val="00EF2876"/>
    <w:rsid w:val="00EF29CD"/>
    <w:rsid w:val="00EF2A4E"/>
    <w:rsid w:val="00EF2AE2"/>
    <w:rsid w:val="00EF2B46"/>
    <w:rsid w:val="00EF2D2E"/>
    <w:rsid w:val="00EF2EAE"/>
    <w:rsid w:val="00EF308A"/>
    <w:rsid w:val="00EF30BB"/>
    <w:rsid w:val="00EF30E6"/>
    <w:rsid w:val="00EF3117"/>
    <w:rsid w:val="00EF333B"/>
    <w:rsid w:val="00EF3373"/>
    <w:rsid w:val="00EF3385"/>
    <w:rsid w:val="00EF3464"/>
    <w:rsid w:val="00EF34C2"/>
    <w:rsid w:val="00EF356F"/>
    <w:rsid w:val="00EF35AB"/>
    <w:rsid w:val="00EF35D2"/>
    <w:rsid w:val="00EF3656"/>
    <w:rsid w:val="00EF375B"/>
    <w:rsid w:val="00EF377A"/>
    <w:rsid w:val="00EF383B"/>
    <w:rsid w:val="00EF3B74"/>
    <w:rsid w:val="00EF3BE5"/>
    <w:rsid w:val="00EF3C6A"/>
    <w:rsid w:val="00EF3D09"/>
    <w:rsid w:val="00EF3D32"/>
    <w:rsid w:val="00EF3E72"/>
    <w:rsid w:val="00EF3F52"/>
    <w:rsid w:val="00EF41DE"/>
    <w:rsid w:val="00EF42EC"/>
    <w:rsid w:val="00EF453B"/>
    <w:rsid w:val="00EF456E"/>
    <w:rsid w:val="00EF45B7"/>
    <w:rsid w:val="00EF4985"/>
    <w:rsid w:val="00EF4997"/>
    <w:rsid w:val="00EF4A0C"/>
    <w:rsid w:val="00EF4AA8"/>
    <w:rsid w:val="00EF4BC2"/>
    <w:rsid w:val="00EF4D28"/>
    <w:rsid w:val="00EF4DF2"/>
    <w:rsid w:val="00EF4E05"/>
    <w:rsid w:val="00EF4F1A"/>
    <w:rsid w:val="00EF5058"/>
    <w:rsid w:val="00EF5112"/>
    <w:rsid w:val="00EF53C1"/>
    <w:rsid w:val="00EF5605"/>
    <w:rsid w:val="00EF5807"/>
    <w:rsid w:val="00EF58E2"/>
    <w:rsid w:val="00EF5A7A"/>
    <w:rsid w:val="00EF5B1A"/>
    <w:rsid w:val="00EF5B3A"/>
    <w:rsid w:val="00EF5C6B"/>
    <w:rsid w:val="00EF5C6C"/>
    <w:rsid w:val="00EF5CCA"/>
    <w:rsid w:val="00EF5DD4"/>
    <w:rsid w:val="00EF5E15"/>
    <w:rsid w:val="00EF5FD5"/>
    <w:rsid w:val="00EF6011"/>
    <w:rsid w:val="00EF60DC"/>
    <w:rsid w:val="00EF614C"/>
    <w:rsid w:val="00EF640A"/>
    <w:rsid w:val="00EF64CC"/>
    <w:rsid w:val="00EF6554"/>
    <w:rsid w:val="00EF65D8"/>
    <w:rsid w:val="00EF6600"/>
    <w:rsid w:val="00EF670B"/>
    <w:rsid w:val="00EF6742"/>
    <w:rsid w:val="00EF68C9"/>
    <w:rsid w:val="00EF6AF3"/>
    <w:rsid w:val="00EF6E7E"/>
    <w:rsid w:val="00EF6F9E"/>
    <w:rsid w:val="00EF7001"/>
    <w:rsid w:val="00EF7072"/>
    <w:rsid w:val="00EF719B"/>
    <w:rsid w:val="00EF71A5"/>
    <w:rsid w:val="00EF71BF"/>
    <w:rsid w:val="00EF72F4"/>
    <w:rsid w:val="00EF7379"/>
    <w:rsid w:val="00EF758F"/>
    <w:rsid w:val="00EF759F"/>
    <w:rsid w:val="00EF7619"/>
    <w:rsid w:val="00EF7745"/>
    <w:rsid w:val="00EF7763"/>
    <w:rsid w:val="00EF77EE"/>
    <w:rsid w:val="00EF7969"/>
    <w:rsid w:val="00EF7A63"/>
    <w:rsid w:val="00EF7B9F"/>
    <w:rsid w:val="00EF7D83"/>
    <w:rsid w:val="00EF7E7E"/>
    <w:rsid w:val="00EF7EC9"/>
    <w:rsid w:val="00EF7F46"/>
    <w:rsid w:val="00EF7F7F"/>
    <w:rsid w:val="00F00175"/>
    <w:rsid w:val="00F0018A"/>
    <w:rsid w:val="00F00449"/>
    <w:rsid w:val="00F00600"/>
    <w:rsid w:val="00F006DB"/>
    <w:rsid w:val="00F009A8"/>
    <w:rsid w:val="00F00A57"/>
    <w:rsid w:val="00F00B64"/>
    <w:rsid w:val="00F00C32"/>
    <w:rsid w:val="00F00C78"/>
    <w:rsid w:val="00F00CFD"/>
    <w:rsid w:val="00F00D04"/>
    <w:rsid w:val="00F00F55"/>
    <w:rsid w:val="00F00FAD"/>
    <w:rsid w:val="00F01063"/>
    <w:rsid w:val="00F01172"/>
    <w:rsid w:val="00F01177"/>
    <w:rsid w:val="00F0132A"/>
    <w:rsid w:val="00F0143E"/>
    <w:rsid w:val="00F01484"/>
    <w:rsid w:val="00F014DE"/>
    <w:rsid w:val="00F015C9"/>
    <w:rsid w:val="00F01603"/>
    <w:rsid w:val="00F016B3"/>
    <w:rsid w:val="00F017AB"/>
    <w:rsid w:val="00F017F9"/>
    <w:rsid w:val="00F01950"/>
    <w:rsid w:val="00F01B1A"/>
    <w:rsid w:val="00F01BDB"/>
    <w:rsid w:val="00F02299"/>
    <w:rsid w:val="00F0250A"/>
    <w:rsid w:val="00F02639"/>
    <w:rsid w:val="00F027FE"/>
    <w:rsid w:val="00F02850"/>
    <w:rsid w:val="00F02B2E"/>
    <w:rsid w:val="00F02B79"/>
    <w:rsid w:val="00F02BA6"/>
    <w:rsid w:val="00F02C60"/>
    <w:rsid w:val="00F02EC7"/>
    <w:rsid w:val="00F02FF1"/>
    <w:rsid w:val="00F030D4"/>
    <w:rsid w:val="00F030F8"/>
    <w:rsid w:val="00F0372C"/>
    <w:rsid w:val="00F037AB"/>
    <w:rsid w:val="00F037D0"/>
    <w:rsid w:val="00F039C0"/>
    <w:rsid w:val="00F03A2D"/>
    <w:rsid w:val="00F03A6E"/>
    <w:rsid w:val="00F03BD3"/>
    <w:rsid w:val="00F03D49"/>
    <w:rsid w:val="00F03D55"/>
    <w:rsid w:val="00F03E8E"/>
    <w:rsid w:val="00F0412A"/>
    <w:rsid w:val="00F041C1"/>
    <w:rsid w:val="00F041E2"/>
    <w:rsid w:val="00F04296"/>
    <w:rsid w:val="00F04392"/>
    <w:rsid w:val="00F04439"/>
    <w:rsid w:val="00F0451A"/>
    <w:rsid w:val="00F045B4"/>
    <w:rsid w:val="00F04851"/>
    <w:rsid w:val="00F04873"/>
    <w:rsid w:val="00F04AB4"/>
    <w:rsid w:val="00F04AF0"/>
    <w:rsid w:val="00F04B70"/>
    <w:rsid w:val="00F04B78"/>
    <w:rsid w:val="00F04D5D"/>
    <w:rsid w:val="00F04D60"/>
    <w:rsid w:val="00F04DAD"/>
    <w:rsid w:val="00F04DD8"/>
    <w:rsid w:val="00F04E21"/>
    <w:rsid w:val="00F04E33"/>
    <w:rsid w:val="00F04E38"/>
    <w:rsid w:val="00F04E57"/>
    <w:rsid w:val="00F04EA2"/>
    <w:rsid w:val="00F04EAE"/>
    <w:rsid w:val="00F04F4F"/>
    <w:rsid w:val="00F050E8"/>
    <w:rsid w:val="00F051AD"/>
    <w:rsid w:val="00F052F0"/>
    <w:rsid w:val="00F05457"/>
    <w:rsid w:val="00F0549B"/>
    <w:rsid w:val="00F05580"/>
    <w:rsid w:val="00F05723"/>
    <w:rsid w:val="00F05847"/>
    <w:rsid w:val="00F05A2C"/>
    <w:rsid w:val="00F05A9D"/>
    <w:rsid w:val="00F05C76"/>
    <w:rsid w:val="00F05D7B"/>
    <w:rsid w:val="00F05E7E"/>
    <w:rsid w:val="00F0600F"/>
    <w:rsid w:val="00F06010"/>
    <w:rsid w:val="00F061E5"/>
    <w:rsid w:val="00F062F1"/>
    <w:rsid w:val="00F064F2"/>
    <w:rsid w:val="00F065F3"/>
    <w:rsid w:val="00F06698"/>
    <w:rsid w:val="00F066D5"/>
    <w:rsid w:val="00F068BC"/>
    <w:rsid w:val="00F06B81"/>
    <w:rsid w:val="00F06BA6"/>
    <w:rsid w:val="00F06CB6"/>
    <w:rsid w:val="00F06D69"/>
    <w:rsid w:val="00F06E20"/>
    <w:rsid w:val="00F06E35"/>
    <w:rsid w:val="00F06ED9"/>
    <w:rsid w:val="00F07279"/>
    <w:rsid w:val="00F0733D"/>
    <w:rsid w:val="00F0765E"/>
    <w:rsid w:val="00F0775B"/>
    <w:rsid w:val="00F078AA"/>
    <w:rsid w:val="00F078BC"/>
    <w:rsid w:val="00F07905"/>
    <w:rsid w:val="00F07A40"/>
    <w:rsid w:val="00F07B64"/>
    <w:rsid w:val="00F07C5D"/>
    <w:rsid w:val="00F07ED8"/>
    <w:rsid w:val="00F07EFB"/>
    <w:rsid w:val="00F07F9E"/>
    <w:rsid w:val="00F07FCF"/>
    <w:rsid w:val="00F100B3"/>
    <w:rsid w:val="00F101E5"/>
    <w:rsid w:val="00F1036B"/>
    <w:rsid w:val="00F1037C"/>
    <w:rsid w:val="00F103C1"/>
    <w:rsid w:val="00F1049F"/>
    <w:rsid w:val="00F10618"/>
    <w:rsid w:val="00F107DC"/>
    <w:rsid w:val="00F1080F"/>
    <w:rsid w:val="00F10846"/>
    <w:rsid w:val="00F10D04"/>
    <w:rsid w:val="00F10D50"/>
    <w:rsid w:val="00F10D60"/>
    <w:rsid w:val="00F10FC9"/>
    <w:rsid w:val="00F11128"/>
    <w:rsid w:val="00F111D4"/>
    <w:rsid w:val="00F112A5"/>
    <w:rsid w:val="00F1134D"/>
    <w:rsid w:val="00F113E9"/>
    <w:rsid w:val="00F11404"/>
    <w:rsid w:val="00F115BE"/>
    <w:rsid w:val="00F11671"/>
    <w:rsid w:val="00F118C1"/>
    <w:rsid w:val="00F11AB9"/>
    <w:rsid w:val="00F11B03"/>
    <w:rsid w:val="00F11C88"/>
    <w:rsid w:val="00F11D24"/>
    <w:rsid w:val="00F11E4A"/>
    <w:rsid w:val="00F12266"/>
    <w:rsid w:val="00F1239A"/>
    <w:rsid w:val="00F1258B"/>
    <w:rsid w:val="00F12621"/>
    <w:rsid w:val="00F127FD"/>
    <w:rsid w:val="00F1284F"/>
    <w:rsid w:val="00F128AA"/>
    <w:rsid w:val="00F12A01"/>
    <w:rsid w:val="00F12AED"/>
    <w:rsid w:val="00F12B23"/>
    <w:rsid w:val="00F12D3F"/>
    <w:rsid w:val="00F12FC7"/>
    <w:rsid w:val="00F13237"/>
    <w:rsid w:val="00F132EE"/>
    <w:rsid w:val="00F13349"/>
    <w:rsid w:val="00F137A0"/>
    <w:rsid w:val="00F137F7"/>
    <w:rsid w:val="00F13A23"/>
    <w:rsid w:val="00F13ACE"/>
    <w:rsid w:val="00F13D8A"/>
    <w:rsid w:val="00F13DAA"/>
    <w:rsid w:val="00F13DDD"/>
    <w:rsid w:val="00F13E99"/>
    <w:rsid w:val="00F13EF3"/>
    <w:rsid w:val="00F14029"/>
    <w:rsid w:val="00F140B5"/>
    <w:rsid w:val="00F14216"/>
    <w:rsid w:val="00F143A8"/>
    <w:rsid w:val="00F14550"/>
    <w:rsid w:val="00F14572"/>
    <w:rsid w:val="00F14743"/>
    <w:rsid w:val="00F14923"/>
    <w:rsid w:val="00F1499F"/>
    <w:rsid w:val="00F14D0C"/>
    <w:rsid w:val="00F15003"/>
    <w:rsid w:val="00F151DE"/>
    <w:rsid w:val="00F1526B"/>
    <w:rsid w:val="00F15331"/>
    <w:rsid w:val="00F15718"/>
    <w:rsid w:val="00F157C3"/>
    <w:rsid w:val="00F15894"/>
    <w:rsid w:val="00F15907"/>
    <w:rsid w:val="00F15D37"/>
    <w:rsid w:val="00F15D52"/>
    <w:rsid w:val="00F15E59"/>
    <w:rsid w:val="00F15FAA"/>
    <w:rsid w:val="00F161BA"/>
    <w:rsid w:val="00F162DD"/>
    <w:rsid w:val="00F168D4"/>
    <w:rsid w:val="00F16932"/>
    <w:rsid w:val="00F16A83"/>
    <w:rsid w:val="00F16ADA"/>
    <w:rsid w:val="00F16DB0"/>
    <w:rsid w:val="00F16E8B"/>
    <w:rsid w:val="00F17009"/>
    <w:rsid w:val="00F1707B"/>
    <w:rsid w:val="00F1752B"/>
    <w:rsid w:val="00F17898"/>
    <w:rsid w:val="00F17991"/>
    <w:rsid w:val="00F17AA7"/>
    <w:rsid w:val="00F17B25"/>
    <w:rsid w:val="00F17D75"/>
    <w:rsid w:val="00F17E52"/>
    <w:rsid w:val="00F17F55"/>
    <w:rsid w:val="00F20279"/>
    <w:rsid w:val="00F2045C"/>
    <w:rsid w:val="00F205F4"/>
    <w:rsid w:val="00F20661"/>
    <w:rsid w:val="00F207E2"/>
    <w:rsid w:val="00F2083A"/>
    <w:rsid w:val="00F20877"/>
    <w:rsid w:val="00F208FA"/>
    <w:rsid w:val="00F209BA"/>
    <w:rsid w:val="00F209D9"/>
    <w:rsid w:val="00F209DC"/>
    <w:rsid w:val="00F20A2B"/>
    <w:rsid w:val="00F20B00"/>
    <w:rsid w:val="00F20B3E"/>
    <w:rsid w:val="00F20CA4"/>
    <w:rsid w:val="00F20FFB"/>
    <w:rsid w:val="00F21109"/>
    <w:rsid w:val="00F211B0"/>
    <w:rsid w:val="00F21354"/>
    <w:rsid w:val="00F21429"/>
    <w:rsid w:val="00F2155F"/>
    <w:rsid w:val="00F21582"/>
    <w:rsid w:val="00F215EB"/>
    <w:rsid w:val="00F2166B"/>
    <w:rsid w:val="00F216C8"/>
    <w:rsid w:val="00F21788"/>
    <w:rsid w:val="00F2180F"/>
    <w:rsid w:val="00F218E8"/>
    <w:rsid w:val="00F2199B"/>
    <w:rsid w:val="00F21BFB"/>
    <w:rsid w:val="00F21BFF"/>
    <w:rsid w:val="00F21C33"/>
    <w:rsid w:val="00F21CD8"/>
    <w:rsid w:val="00F21E07"/>
    <w:rsid w:val="00F21E7E"/>
    <w:rsid w:val="00F21F16"/>
    <w:rsid w:val="00F22060"/>
    <w:rsid w:val="00F22072"/>
    <w:rsid w:val="00F22295"/>
    <w:rsid w:val="00F222A7"/>
    <w:rsid w:val="00F222C6"/>
    <w:rsid w:val="00F222F6"/>
    <w:rsid w:val="00F223C5"/>
    <w:rsid w:val="00F223E1"/>
    <w:rsid w:val="00F226BB"/>
    <w:rsid w:val="00F22701"/>
    <w:rsid w:val="00F22737"/>
    <w:rsid w:val="00F22A87"/>
    <w:rsid w:val="00F22A93"/>
    <w:rsid w:val="00F22B28"/>
    <w:rsid w:val="00F22B80"/>
    <w:rsid w:val="00F22D08"/>
    <w:rsid w:val="00F22D55"/>
    <w:rsid w:val="00F22EDE"/>
    <w:rsid w:val="00F22F04"/>
    <w:rsid w:val="00F2313E"/>
    <w:rsid w:val="00F231C9"/>
    <w:rsid w:val="00F2327C"/>
    <w:rsid w:val="00F232D3"/>
    <w:rsid w:val="00F233B3"/>
    <w:rsid w:val="00F233B6"/>
    <w:rsid w:val="00F23415"/>
    <w:rsid w:val="00F23706"/>
    <w:rsid w:val="00F2385D"/>
    <w:rsid w:val="00F2395B"/>
    <w:rsid w:val="00F23A37"/>
    <w:rsid w:val="00F23ADC"/>
    <w:rsid w:val="00F23ADD"/>
    <w:rsid w:val="00F23B1D"/>
    <w:rsid w:val="00F23EE8"/>
    <w:rsid w:val="00F23F6C"/>
    <w:rsid w:val="00F240D7"/>
    <w:rsid w:val="00F24137"/>
    <w:rsid w:val="00F2426B"/>
    <w:rsid w:val="00F24395"/>
    <w:rsid w:val="00F243AA"/>
    <w:rsid w:val="00F243B9"/>
    <w:rsid w:val="00F243BE"/>
    <w:rsid w:val="00F243F3"/>
    <w:rsid w:val="00F245F3"/>
    <w:rsid w:val="00F24710"/>
    <w:rsid w:val="00F2489D"/>
    <w:rsid w:val="00F248F9"/>
    <w:rsid w:val="00F24943"/>
    <w:rsid w:val="00F24991"/>
    <w:rsid w:val="00F24B68"/>
    <w:rsid w:val="00F24C69"/>
    <w:rsid w:val="00F24C6B"/>
    <w:rsid w:val="00F24D86"/>
    <w:rsid w:val="00F24DA8"/>
    <w:rsid w:val="00F24EBB"/>
    <w:rsid w:val="00F250F1"/>
    <w:rsid w:val="00F25198"/>
    <w:rsid w:val="00F252DC"/>
    <w:rsid w:val="00F25552"/>
    <w:rsid w:val="00F255BC"/>
    <w:rsid w:val="00F2574D"/>
    <w:rsid w:val="00F258FF"/>
    <w:rsid w:val="00F25A27"/>
    <w:rsid w:val="00F25B5B"/>
    <w:rsid w:val="00F25BBA"/>
    <w:rsid w:val="00F25E37"/>
    <w:rsid w:val="00F25EA9"/>
    <w:rsid w:val="00F2610D"/>
    <w:rsid w:val="00F2614B"/>
    <w:rsid w:val="00F261D3"/>
    <w:rsid w:val="00F26202"/>
    <w:rsid w:val="00F26232"/>
    <w:rsid w:val="00F263C6"/>
    <w:rsid w:val="00F26562"/>
    <w:rsid w:val="00F265AC"/>
    <w:rsid w:val="00F26821"/>
    <w:rsid w:val="00F26852"/>
    <w:rsid w:val="00F269E6"/>
    <w:rsid w:val="00F26BDE"/>
    <w:rsid w:val="00F26D3C"/>
    <w:rsid w:val="00F26D64"/>
    <w:rsid w:val="00F26DA5"/>
    <w:rsid w:val="00F26E54"/>
    <w:rsid w:val="00F26F90"/>
    <w:rsid w:val="00F2700D"/>
    <w:rsid w:val="00F27702"/>
    <w:rsid w:val="00F277A7"/>
    <w:rsid w:val="00F277F3"/>
    <w:rsid w:val="00F27ABC"/>
    <w:rsid w:val="00F27ACA"/>
    <w:rsid w:val="00F27B24"/>
    <w:rsid w:val="00F27BB2"/>
    <w:rsid w:val="00F27CF1"/>
    <w:rsid w:val="00F27D80"/>
    <w:rsid w:val="00F27DB1"/>
    <w:rsid w:val="00F27FB1"/>
    <w:rsid w:val="00F302C4"/>
    <w:rsid w:val="00F3032E"/>
    <w:rsid w:val="00F30391"/>
    <w:rsid w:val="00F303E4"/>
    <w:rsid w:val="00F30487"/>
    <w:rsid w:val="00F304EA"/>
    <w:rsid w:val="00F305F1"/>
    <w:rsid w:val="00F307A8"/>
    <w:rsid w:val="00F307BC"/>
    <w:rsid w:val="00F30C59"/>
    <w:rsid w:val="00F30CE7"/>
    <w:rsid w:val="00F30CEC"/>
    <w:rsid w:val="00F30D28"/>
    <w:rsid w:val="00F30FE9"/>
    <w:rsid w:val="00F3113A"/>
    <w:rsid w:val="00F3129E"/>
    <w:rsid w:val="00F312DA"/>
    <w:rsid w:val="00F312DF"/>
    <w:rsid w:val="00F31303"/>
    <w:rsid w:val="00F313C9"/>
    <w:rsid w:val="00F315D9"/>
    <w:rsid w:val="00F31630"/>
    <w:rsid w:val="00F31633"/>
    <w:rsid w:val="00F316C8"/>
    <w:rsid w:val="00F316D5"/>
    <w:rsid w:val="00F31812"/>
    <w:rsid w:val="00F318BE"/>
    <w:rsid w:val="00F31A72"/>
    <w:rsid w:val="00F31A97"/>
    <w:rsid w:val="00F31AC0"/>
    <w:rsid w:val="00F31D0F"/>
    <w:rsid w:val="00F31EE4"/>
    <w:rsid w:val="00F31F6C"/>
    <w:rsid w:val="00F31FB8"/>
    <w:rsid w:val="00F3207F"/>
    <w:rsid w:val="00F3223D"/>
    <w:rsid w:val="00F323A0"/>
    <w:rsid w:val="00F323C7"/>
    <w:rsid w:val="00F323F1"/>
    <w:rsid w:val="00F324AD"/>
    <w:rsid w:val="00F324C4"/>
    <w:rsid w:val="00F32610"/>
    <w:rsid w:val="00F32698"/>
    <w:rsid w:val="00F328D1"/>
    <w:rsid w:val="00F329E1"/>
    <w:rsid w:val="00F32A4B"/>
    <w:rsid w:val="00F32BC8"/>
    <w:rsid w:val="00F32DF4"/>
    <w:rsid w:val="00F32EA2"/>
    <w:rsid w:val="00F32EE0"/>
    <w:rsid w:val="00F33282"/>
    <w:rsid w:val="00F3343D"/>
    <w:rsid w:val="00F334D2"/>
    <w:rsid w:val="00F334ED"/>
    <w:rsid w:val="00F3365D"/>
    <w:rsid w:val="00F336B4"/>
    <w:rsid w:val="00F33723"/>
    <w:rsid w:val="00F337B6"/>
    <w:rsid w:val="00F337C0"/>
    <w:rsid w:val="00F33846"/>
    <w:rsid w:val="00F33849"/>
    <w:rsid w:val="00F338A6"/>
    <w:rsid w:val="00F33AB1"/>
    <w:rsid w:val="00F33AB7"/>
    <w:rsid w:val="00F33E00"/>
    <w:rsid w:val="00F33E29"/>
    <w:rsid w:val="00F33E2E"/>
    <w:rsid w:val="00F33E65"/>
    <w:rsid w:val="00F34002"/>
    <w:rsid w:val="00F3400E"/>
    <w:rsid w:val="00F3401C"/>
    <w:rsid w:val="00F340DC"/>
    <w:rsid w:val="00F340EF"/>
    <w:rsid w:val="00F34200"/>
    <w:rsid w:val="00F3427B"/>
    <w:rsid w:val="00F343CE"/>
    <w:rsid w:val="00F3451E"/>
    <w:rsid w:val="00F348B9"/>
    <w:rsid w:val="00F348F6"/>
    <w:rsid w:val="00F34A02"/>
    <w:rsid w:val="00F34AB8"/>
    <w:rsid w:val="00F34BD4"/>
    <w:rsid w:val="00F34D3E"/>
    <w:rsid w:val="00F34F62"/>
    <w:rsid w:val="00F34FDB"/>
    <w:rsid w:val="00F351E9"/>
    <w:rsid w:val="00F35280"/>
    <w:rsid w:val="00F352A5"/>
    <w:rsid w:val="00F3539C"/>
    <w:rsid w:val="00F35412"/>
    <w:rsid w:val="00F35581"/>
    <w:rsid w:val="00F3589A"/>
    <w:rsid w:val="00F35A8B"/>
    <w:rsid w:val="00F35ADE"/>
    <w:rsid w:val="00F35B62"/>
    <w:rsid w:val="00F35BB0"/>
    <w:rsid w:val="00F35CFC"/>
    <w:rsid w:val="00F35D88"/>
    <w:rsid w:val="00F35E92"/>
    <w:rsid w:val="00F35F90"/>
    <w:rsid w:val="00F3606D"/>
    <w:rsid w:val="00F36113"/>
    <w:rsid w:val="00F3639C"/>
    <w:rsid w:val="00F363CE"/>
    <w:rsid w:val="00F363D3"/>
    <w:rsid w:val="00F36426"/>
    <w:rsid w:val="00F3642F"/>
    <w:rsid w:val="00F364A1"/>
    <w:rsid w:val="00F365C1"/>
    <w:rsid w:val="00F36658"/>
    <w:rsid w:val="00F367CB"/>
    <w:rsid w:val="00F367F3"/>
    <w:rsid w:val="00F36968"/>
    <w:rsid w:val="00F369B8"/>
    <w:rsid w:val="00F36C0C"/>
    <w:rsid w:val="00F36CC7"/>
    <w:rsid w:val="00F36CE3"/>
    <w:rsid w:val="00F36D89"/>
    <w:rsid w:val="00F36D96"/>
    <w:rsid w:val="00F36E35"/>
    <w:rsid w:val="00F36E82"/>
    <w:rsid w:val="00F3710D"/>
    <w:rsid w:val="00F371E8"/>
    <w:rsid w:val="00F3738B"/>
    <w:rsid w:val="00F37471"/>
    <w:rsid w:val="00F37581"/>
    <w:rsid w:val="00F37661"/>
    <w:rsid w:val="00F37674"/>
    <w:rsid w:val="00F378F6"/>
    <w:rsid w:val="00F37BF1"/>
    <w:rsid w:val="00F37C37"/>
    <w:rsid w:val="00F37EC8"/>
    <w:rsid w:val="00F37EFB"/>
    <w:rsid w:val="00F4009D"/>
    <w:rsid w:val="00F400A9"/>
    <w:rsid w:val="00F402C4"/>
    <w:rsid w:val="00F402F6"/>
    <w:rsid w:val="00F40377"/>
    <w:rsid w:val="00F40457"/>
    <w:rsid w:val="00F4050E"/>
    <w:rsid w:val="00F4057E"/>
    <w:rsid w:val="00F4064F"/>
    <w:rsid w:val="00F40675"/>
    <w:rsid w:val="00F4071B"/>
    <w:rsid w:val="00F40874"/>
    <w:rsid w:val="00F40987"/>
    <w:rsid w:val="00F409CF"/>
    <w:rsid w:val="00F40ADF"/>
    <w:rsid w:val="00F40C9E"/>
    <w:rsid w:val="00F40DC5"/>
    <w:rsid w:val="00F40DE2"/>
    <w:rsid w:val="00F40E15"/>
    <w:rsid w:val="00F40E53"/>
    <w:rsid w:val="00F40EE2"/>
    <w:rsid w:val="00F4149B"/>
    <w:rsid w:val="00F414A8"/>
    <w:rsid w:val="00F4155C"/>
    <w:rsid w:val="00F4161A"/>
    <w:rsid w:val="00F41697"/>
    <w:rsid w:val="00F41746"/>
    <w:rsid w:val="00F417B7"/>
    <w:rsid w:val="00F41965"/>
    <w:rsid w:val="00F41A24"/>
    <w:rsid w:val="00F41A37"/>
    <w:rsid w:val="00F41A3D"/>
    <w:rsid w:val="00F41AB2"/>
    <w:rsid w:val="00F41BCD"/>
    <w:rsid w:val="00F41D0F"/>
    <w:rsid w:val="00F41EFA"/>
    <w:rsid w:val="00F41F45"/>
    <w:rsid w:val="00F41FE1"/>
    <w:rsid w:val="00F4209D"/>
    <w:rsid w:val="00F421CA"/>
    <w:rsid w:val="00F42260"/>
    <w:rsid w:val="00F42263"/>
    <w:rsid w:val="00F423A3"/>
    <w:rsid w:val="00F425A5"/>
    <w:rsid w:val="00F4291C"/>
    <w:rsid w:val="00F42939"/>
    <w:rsid w:val="00F4294F"/>
    <w:rsid w:val="00F429FF"/>
    <w:rsid w:val="00F42CEF"/>
    <w:rsid w:val="00F42D8A"/>
    <w:rsid w:val="00F42F50"/>
    <w:rsid w:val="00F43071"/>
    <w:rsid w:val="00F4309E"/>
    <w:rsid w:val="00F430C8"/>
    <w:rsid w:val="00F430CB"/>
    <w:rsid w:val="00F431A3"/>
    <w:rsid w:val="00F43278"/>
    <w:rsid w:val="00F432B4"/>
    <w:rsid w:val="00F43350"/>
    <w:rsid w:val="00F43612"/>
    <w:rsid w:val="00F4362B"/>
    <w:rsid w:val="00F43853"/>
    <w:rsid w:val="00F43DD8"/>
    <w:rsid w:val="00F43DE3"/>
    <w:rsid w:val="00F43E67"/>
    <w:rsid w:val="00F4407E"/>
    <w:rsid w:val="00F441C3"/>
    <w:rsid w:val="00F44352"/>
    <w:rsid w:val="00F44614"/>
    <w:rsid w:val="00F4490C"/>
    <w:rsid w:val="00F44923"/>
    <w:rsid w:val="00F44AFA"/>
    <w:rsid w:val="00F44BE4"/>
    <w:rsid w:val="00F44D61"/>
    <w:rsid w:val="00F44F90"/>
    <w:rsid w:val="00F44FBE"/>
    <w:rsid w:val="00F45133"/>
    <w:rsid w:val="00F4515E"/>
    <w:rsid w:val="00F45292"/>
    <w:rsid w:val="00F452DD"/>
    <w:rsid w:val="00F45347"/>
    <w:rsid w:val="00F4549E"/>
    <w:rsid w:val="00F454CE"/>
    <w:rsid w:val="00F45682"/>
    <w:rsid w:val="00F456CB"/>
    <w:rsid w:val="00F456F4"/>
    <w:rsid w:val="00F4570E"/>
    <w:rsid w:val="00F45714"/>
    <w:rsid w:val="00F4586A"/>
    <w:rsid w:val="00F4586E"/>
    <w:rsid w:val="00F45A03"/>
    <w:rsid w:val="00F45A56"/>
    <w:rsid w:val="00F45AEA"/>
    <w:rsid w:val="00F45D04"/>
    <w:rsid w:val="00F45D21"/>
    <w:rsid w:val="00F45DAA"/>
    <w:rsid w:val="00F45E21"/>
    <w:rsid w:val="00F45E45"/>
    <w:rsid w:val="00F45E70"/>
    <w:rsid w:val="00F45E95"/>
    <w:rsid w:val="00F45E9F"/>
    <w:rsid w:val="00F460BC"/>
    <w:rsid w:val="00F46330"/>
    <w:rsid w:val="00F46435"/>
    <w:rsid w:val="00F466DB"/>
    <w:rsid w:val="00F467DD"/>
    <w:rsid w:val="00F469F8"/>
    <w:rsid w:val="00F46A2F"/>
    <w:rsid w:val="00F46AAD"/>
    <w:rsid w:val="00F46AE1"/>
    <w:rsid w:val="00F46B67"/>
    <w:rsid w:val="00F46C44"/>
    <w:rsid w:val="00F46D71"/>
    <w:rsid w:val="00F46DFF"/>
    <w:rsid w:val="00F46E23"/>
    <w:rsid w:val="00F46E94"/>
    <w:rsid w:val="00F46E9A"/>
    <w:rsid w:val="00F47161"/>
    <w:rsid w:val="00F4729A"/>
    <w:rsid w:val="00F473AD"/>
    <w:rsid w:val="00F473BD"/>
    <w:rsid w:val="00F4763B"/>
    <w:rsid w:val="00F47641"/>
    <w:rsid w:val="00F476B0"/>
    <w:rsid w:val="00F476C8"/>
    <w:rsid w:val="00F476FE"/>
    <w:rsid w:val="00F47872"/>
    <w:rsid w:val="00F47916"/>
    <w:rsid w:val="00F4792E"/>
    <w:rsid w:val="00F47A0C"/>
    <w:rsid w:val="00F47A18"/>
    <w:rsid w:val="00F47A1F"/>
    <w:rsid w:val="00F47A23"/>
    <w:rsid w:val="00F47B71"/>
    <w:rsid w:val="00F47B8A"/>
    <w:rsid w:val="00F47C3B"/>
    <w:rsid w:val="00F47D98"/>
    <w:rsid w:val="00F47DAA"/>
    <w:rsid w:val="00F47F69"/>
    <w:rsid w:val="00F47FA7"/>
    <w:rsid w:val="00F50341"/>
    <w:rsid w:val="00F503B8"/>
    <w:rsid w:val="00F50462"/>
    <w:rsid w:val="00F505D4"/>
    <w:rsid w:val="00F505E7"/>
    <w:rsid w:val="00F50713"/>
    <w:rsid w:val="00F50842"/>
    <w:rsid w:val="00F50AB4"/>
    <w:rsid w:val="00F50C5B"/>
    <w:rsid w:val="00F50C9B"/>
    <w:rsid w:val="00F50D12"/>
    <w:rsid w:val="00F50D8A"/>
    <w:rsid w:val="00F50D8E"/>
    <w:rsid w:val="00F50DD4"/>
    <w:rsid w:val="00F50E6E"/>
    <w:rsid w:val="00F50F56"/>
    <w:rsid w:val="00F50FCE"/>
    <w:rsid w:val="00F51002"/>
    <w:rsid w:val="00F510DC"/>
    <w:rsid w:val="00F51103"/>
    <w:rsid w:val="00F51410"/>
    <w:rsid w:val="00F51744"/>
    <w:rsid w:val="00F51790"/>
    <w:rsid w:val="00F51793"/>
    <w:rsid w:val="00F51A35"/>
    <w:rsid w:val="00F51A58"/>
    <w:rsid w:val="00F51AA7"/>
    <w:rsid w:val="00F51AAD"/>
    <w:rsid w:val="00F51B65"/>
    <w:rsid w:val="00F51B93"/>
    <w:rsid w:val="00F51C00"/>
    <w:rsid w:val="00F51CD6"/>
    <w:rsid w:val="00F51D76"/>
    <w:rsid w:val="00F51E1A"/>
    <w:rsid w:val="00F51E63"/>
    <w:rsid w:val="00F51E7B"/>
    <w:rsid w:val="00F51F3B"/>
    <w:rsid w:val="00F52043"/>
    <w:rsid w:val="00F5213D"/>
    <w:rsid w:val="00F521CD"/>
    <w:rsid w:val="00F522D1"/>
    <w:rsid w:val="00F522D4"/>
    <w:rsid w:val="00F523C4"/>
    <w:rsid w:val="00F52486"/>
    <w:rsid w:val="00F5260B"/>
    <w:rsid w:val="00F526B2"/>
    <w:rsid w:val="00F527F0"/>
    <w:rsid w:val="00F52921"/>
    <w:rsid w:val="00F5298A"/>
    <w:rsid w:val="00F529A9"/>
    <w:rsid w:val="00F52DAB"/>
    <w:rsid w:val="00F53004"/>
    <w:rsid w:val="00F5305F"/>
    <w:rsid w:val="00F530EF"/>
    <w:rsid w:val="00F5313A"/>
    <w:rsid w:val="00F531B1"/>
    <w:rsid w:val="00F531E1"/>
    <w:rsid w:val="00F53229"/>
    <w:rsid w:val="00F5334F"/>
    <w:rsid w:val="00F5349A"/>
    <w:rsid w:val="00F534CB"/>
    <w:rsid w:val="00F536D3"/>
    <w:rsid w:val="00F539DB"/>
    <w:rsid w:val="00F53A5B"/>
    <w:rsid w:val="00F53B6A"/>
    <w:rsid w:val="00F53C5A"/>
    <w:rsid w:val="00F53D25"/>
    <w:rsid w:val="00F53D8E"/>
    <w:rsid w:val="00F53F82"/>
    <w:rsid w:val="00F53FE7"/>
    <w:rsid w:val="00F5407C"/>
    <w:rsid w:val="00F5418C"/>
    <w:rsid w:val="00F5426F"/>
    <w:rsid w:val="00F5427C"/>
    <w:rsid w:val="00F5435B"/>
    <w:rsid w:val="00F543C0"/>
    <w:rsid w:val="00F54421"/>
    <w:rsid w:val="00F544CE"/>
    <w:rsid w:val="00F544D4"/>
    <w:rsid w:val="00F54548"/>
    <w:rsid w:val="00F5469C"/>
    <w:rsid w:val="00F546A7"/>
    <w:rsid w:val="00F547B8"/>
    <w:rsid w:val="00F549BF"/>
    <w:rsid w:val="00F54ADE"/>
    <w:rsid w:val="00F54AE1"/>
    <w:rsid w:val="00F54B77"/>
    <w:rsid w:val="00F54C02"/>
    <w:rsid w:val="00F54D4E"/>
    <w:rsid w:val="00F54D69"/>
    <w:rsid w:val="00F54EEC"/>
    <w:rsid w:val="00F5508B"/>
    <w:rsid w:val="00F551D4"/>
    <w:rsid w:val="00F552B5"/>
    <w:rsid w:val="00F55452"/>
    <w:rsid w:val="00F555CA"/>
    <w:rsid w:val="00F555CC"/>
    <w:rsid w:val="00F556F9"/>
    <w:rsid w:val="00F556FD"/>
    <w:rsid w:val="00F55710"/>
    <w:rsid w:val="00F55724"/>
    <w:rsid w:val="00F55805"/>
    <w:rsid w:val="00F55917"/>
    <w:rsid w:val="00F5598E"/>
    <w:rsid w:val="00F55DA7"/>
    <w:rsid w:val="00F55E86"/>
    <w:rsid w:val="00F5611A"/>
    <w:rsid w:val="00F561B5"/>
    <w:rsid w:val="00F5620A"/>
    <w:rsid w:val="00F5624E"/>
    <w:rsid w:val="00F562BE"/>
    <w:rsid w:val="00F56324"/>
    <w:rsid w:val="00F56471"/>
    <w:rsid w:val="00F56677"/>
    <w:rsid w:val="00F56811"/>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453"/>
    <w:rsid w:val="00F57619"/>
    <w:rsid w:val="00F576D0"/>
    <w:rsid w:val="00F576FA"/>
    <w:rsid w:val="00F57B2D"/>
    <w:rsid w:val="00F57C35"/>
    <w:rsid w:val="00F57D0F"/>
    <w:rsid w:val="00F57DE4"/>
    <w:rsid w:val="00F57F43"/>
    <w:rsid w:val="00F60093"/>
    <w:rsid w:val="00F6009E"/>
    <w:rsid w:val="00F605C3"/>
    <w:rsid w:val="00F6061B"/>
    <w:rsid w:val="00F6082C"/>
    <w:rsid w:val="00F6091D"/>
    <w:rsid w:val="00F60A24"/>
    <w:rsid w:val="00F60AE8"/>
    <w:rsid w:val="00F60D3E"/>
    <w:rsid w:val="00F60E37"/>
    <w:rsid w:val="00F60E47"/>
    <w:rsid w:val="00F60EB0"/>
    <w:rsid w:val="00F60F2C"/>
    <w:rsid w:val="00F61095"/>
    <w:rsid w:val="00F6111A"/>
    <w:rsid w:val="00F6129A"/>
    <w:rsid w:val="00F61379"/>
    <w:rsid w:val="00F613F8"/>
    <w:rsid w:val="00F6153B"/>
    <w:rsid w:val="00F61578"/>
    <w:rsid w:val="00F61601"/>
    <w:rsid w:val="00F61660"/>
    <w:rsid w:val="00F616BE"/>
    <w:rsid w:val="00F61722"/>
    <w:rsid w:val="00F617BF"/>
    <w:rsid w:val="00F61BE1"/>
    <w:rsid w:val="00F61D71"/>
    <w:rsid w:val="00F61DE2"/>
    <w:rsid w:val="00F61E4E"/>
    <w:rsid w:val="00F61E51"/>
    <w:rsid w:val="00F61FB1"/>
    <w:rsid w:val="00F620B7"/>
    <w:rsid w:val="00F62244"/>
    <w:rsid w:val="00F622FC"/>
    <w:rsid w:val="00F624ED"/>
    <w:rsid w:val="00F6262A"/>
    <w:rsid w:val="00F62649"/>
    <w:rsid w:val="00F62691"/>
    <w:rsid w:val="00F6274F"/>
    <w:rsid w:val="00F628FC"/>
    <w:rsid w:val="00F62A77"/>
    <w:rsid w:val="00F62CEE"/>
    <w:rsid w:val="00F62DB1"/>
    <w:rsid w:val="00F62DE3"/>
    <w:rsid w:val="00F62E24"/>
    <w:rsid w:val="00F630A7"/>
    <w:rsid w:val="00F63405"/>
    <w:rsid w:val="00F636D3"/>
    <w:rsid w:val="00F63722"/>
    <w:rsid w:val="00F637B2"/>
    <w:rsid w:val="00F6382E"/>
    <w:rsid w:val="00F638A7"/>
    <w:rsid w:val="00F6394B"/>
    <w:rsid w:val="00F63A93"/>
    <w:rsid w:val="00F63AE5"/>
    <w:rsid w:val="00F63B46"/>
    <w:rsid w:val="00F63B53"/>
    <w:rsid w:val="00F63BC8"/>
    <w:rsid w:val="00F63C9C"/>
    <w:rsid w:val="00F63E16"/>
    <w:rsid w:val="00F63E64"/>
    <w:rsid w:val="00F63EFE"/>
    <w:rsid w:val="00F64115"/>
    <w:rsid w:val="00F64149"/>
    <w:rsid w:val="00F64457"/>
    <w:rsid w:val="00F64612"/>
    <w:rsid w:val="00F646CA"/>
    <w:rsid w:val="00F64818"/>
    <w:rsid w:val="00F6490C"/>
    <w:rsid w:val="00F6498C"/>
    <w:rsid w:val="00F64CFA"/>
    <w:rsid w:val="00F64D00"/>
    <w:rsid w:val="00F64EC5"/>
    <w:rsid w:val="00F64F26"/>
    <w:rsid w:val="00F64F57"/>
    <w:rsid w:val="00F65016"/>
    <w:rsid w:val="00F6503F"/>
    <w:rsid w:val="00F65047"/>
    <w:rsid w:val="00F65075"/>
    <w:rsid w:val="00F650E2"/>
    <w:rsid w:val="00F6514A"/>
    <w:rsid w:val="00F65405"/>
    <w:rsid w:val="00F656CA"/>
    <w:rsid w:val="00F656E0"/>
    <w:rsid w:val="00F65763"/>
    <w:rsid w:val="00F65877"/>
    <w:rsid w:val="00F65B09"/>
    <w:rsid w:val="00F65B1B"/>
    <w:rsid w:val="00F65DB6"/>
    <w:rsid w:val="00F65DF3"/>
    <w:rsid w:val="00F65E05"/>
    <w:rsid w:val="00F65E3E"/>
    <w:rsid w:val="00F65EF2"/>
    <w:rsid w:val="00F65F3C"/>
    <w:rsid w:val="00F65F9A"/>
    <w:rsid w:val="00F66104"/>
    <w:rsid w:val="00F66108"/>
    <w:rsid w:val="00F6612E"/>
    <w:rsid w:val="00F661D2"/>
    <w:rsid w:val="00F66411"/>
    <w:rsid w:val="00F664C8"/>
    <w:rsid w:val="00F666DF"/>
    <w:rsid w:val="00F666E8"/>
    <w:rsid w:val="00F6674E"/>
    <w:rsid w:val="00F667E7"/>
    <w:rsid w:val="00F66818"/>
    <w:rsid w:val="00F66A57"/>
    <w:rsid w:val="00F66C99"/>
    <w:rsid w:val="00F66E4A"/>
    <w:rsid w:val="00F67192"/>
    <w:rsid w:val="00F673B0"/>
    <w:rsid w:val="00F673E5"/>
    <w:rsid w:val="00F67446"/>
    <w:rsid w:val="00F674E8"/>
    <w:rsid w:val="00F675E0"/>
    <w:rsid w:val="00F678C8"/>
    <w:rsid w:val="00F67A15"/>
    <w:rsid w:val="00F67A46"/>
    <w:rsid w:val="00F67A95"/>
    <w:rsid w:val="00F67CFA"/>
    <w:rsid w:val="00F67E05"/>
    <w:rsid w:val="00F67E70"/>
    <w:rsid w:val="00F67E99"/>
    <w:rsid w:val="00F67EA8"/>
    <w:rsid w:val="00F67F13"/>
    <w:rsid w:val="00F702CC"/>
    <w:rsid w:val="00F703B2"/>
    <w:rsid w:val="00F703D1"/>
    <w:rsid w:val="00F705A3"/>
    <w:rsid w:val="00F705D6"/>
    <w:rsid w:val="00F70636"/>
    <w:rsid w:val="00F706F3"/>
    <w:rsid w:val="00F708F9"/>
    <w:rsid w:val="00F70B44"/>
    <w:rsid w:val="00F70B59"/>
    <w:rsid w:val="00F70D4E"/>
    <w:rsid w:val="00F70D65"/>
    <w:rsid w:val="00F70E41"/>
    <w:rsid w:val="00F7101E"/>
    <w:rsid w:val="00F713A2"/>
    <w:rsid w:val="00F714C3"/>
    <w:rsid w:val="00F71714"/>
    <w:rsid w:val="00F7172C"/>
    <w:rsid w:val="00F7176D"/>
    <w:rsid w:val="00F71C12"/>
    <w:rsid w:val="00F71C17"/>
    <w:rsid w:val="00F71CEC"/>
    <w:rsid w:val="00F71FE0"/>
    <w:rsid w:val="00F72158"/>
    <w:rsid w:val="00F72205"/>
    <w:rsid w:val="00F722D4"/>
    <w:rsid w:val="00F72382"/>
    <w:rsid w:val="00F723F3"/>
    <w:rsid w:val="00F72515"/>
    <w:rsid w:val="00F726BB"/>
    <w:rsid w:val="00F72935"/>
    <w:rsid w:val="00F7295F"/>
    <w:rsid w:val="00F72B51"/>
    <w:rsid w:val="00F72C15"/>
    <w:rsid w:val="00F72C45"/>
    <w:rsid w:val="00F72C62"/>
    <w:rsid w:val="00F72C77"/>
    <w:rsid w:val="00F72D2E"/>
    <w:rsid w:val="00F72D6F"/>
    <w:rsid w:val="00F72D91"/>
    <w:rsid w:val="00F72F6A"/>
    <w:rsid w:val="00F73001"/>
    <w:rsid w:val="00F731A1"/>
    <w:rsid w:val="00F73301"/>
    <w:rsid w:val="00F73404"/>
    <w:rsid w:val="00F7357F"/>
    <w:rsid w:val="00F736D6"/>
    <w:rsid w:val="00F73780"/>
    <w:rsid w:val="00F738E7"/>
    <w:rsid w:val="00F73B9F"/>
    <w:rsid w:val="00F73C1E"/>
    <w:rsid w:val="00F73C9A"/>
    <w:rsid w:val="00F73CB3"/>
    <w:rsid w:val="00F73CFC"/>
    <w:rsid w:val="00F73D10"/>
    <w:rsid w:val="00F73D7F"/>
    <w:rsid w:val="00F73F19"/>
    <w:rsid w:val="00F73F3A"/>
    <w:rsid w:val="00F73FC3"/>
    <w:rsid w:val="00F740E1"/>
    <w:rsid w:val="00F7418B"/>
    <w:rsid w:val="00F7418E"/>
    <w:rsid w:val="00F741A0"/>
    <w:rsid w:val="00F7423C"/>
    <w:rsid w:val="00F7430D"/>
    <w:rsid w:val="00F7444F"/>
    <w:rsid w:val="00F74460"/>
    <w:rsid w:val="00F74473"/>
    <w:rsid w:val="00F744A1"/>
    <w:rsid w:val="00F744FD"/>
    <w:rsid w:val="00F746A2"/>
    <w:rsid w:val="00F7472A"/>
    <w:rsid w:val="00F74793"/>
    <w:rsid w:val="00F74920"/>
    <w:rsid w:val="00F74A45"/>
    <w:rsid w:val="00F74ADB"/>
    <w:rsid w:val="00F74AF3"/>
    <w:rsid w:val="00F74B8E"/>
    <w:rsid w:val="00F74C3B"/>
    <w:rsid w:val="00F74D4E"/>
    <w:rsid w:val="00F74E04"/>
    <w:rsid w:val="00F74E22"/>
    <w:rsid w:val="00F74F56"/>
    <w:rsid w:val="00F74F59"/>
    <w:rsid w:val="00F7506F"/>
    <w:rsid w:val="00F75089"/>
    <w:rsid w:val="00F75188"/>
    <w:rsid w:val="00F75307"/>
    <w:rsid w:val="00F7534C"/>
    <w:rsid w:val="00F7550A"/>
    <w:rsid w:val="00F755A2"/>
    <w:rsid w:val="00F75742"/>
    <w:rsid w:val="00F75F25"/>
    <w:rsid w:val="00F75FDC"/>
    <w:rsid w:val="00F761B4"/>
    <w:rsid w:val="00F762F7"/>
    <w:rsid w:val="00F7635D"/>
    <w:rsid w:val="00F7639D"/>
    <w:rsid w:val="00F763FD"/>
    <w:rsid w:val="00F76479"/>
    <w:rsid w:val="00F7670C"/>
    <w:rsid w:val="00F76871"/>
    <w:rsid w:val="00F76957"/>
    <w:rsid w:val="00F76B1B"/>
    <w:rsid w:val="00F76EF5"/>
    <w:rsid w:val="00F76F9E"/>
    <w:rsid w:val="00F77194"/>
    <w:rsid w:val="00F77411"/>
    <w:rsid w:val="00F7775E"/>
    <w:rsid w:val="00F777B8"/>
    <w:rsid w:val="00F777DA"/>
    <w:rsid w:val="00F777FA"/>
    <w:rsid w:val="00F778BF"/>
    <w:rsid w:val="00F77B4D"/>
    <w:rsid w:val="00F77C0E"/>
    <w:rsid w:val="00F77DB1"/>
    <w:rsid w:val="00F77DED"/>
    <w:rsid w:val="00F800D1"/>
    <w:rsid w:val="00F803BB"/>
    <w:rsid w:val="00F803F2"/>
    <w:rsid w:val="00F80416"/>
    <w:rsid w:val="00F8041E"/>
    <w:rsid w:val="00F807FE"/>
    <w:rsid w:val="00F8081D"/>
    <w:rsid w:val="00F80979"/>
    <w:rsid w:val="00F80D2D"/>
    <w:rsid w:val="00F80D3E"/>
    <w:rsid w:val="00F80D5C"/>
    <w:rsid w:val="00F80DFE"/>
    <w:rsid w:val="00F80EB4"/>
    <w:rsid w:val="00F80EDF"/>
    <w:rsid w:val="00F80F21"/>
    <w:rsid w:val="00F810B5"/>
    <w:rsid w:val="00F810DE"/>
    <w:rsid w:val="00F81240"/>
    <w:rsid w:val="00F81282"/>
    <w:rsid w:val="00F8128B"/>
    <w:rsid w:val="00F812AD"/>
    <w:rsid w:val="00F81361"/>
    <w:rsid w:val="00F8136E"/>
    <w:rsid w:val="00F819B1"/>
    <w:rsid w:val="00F819C3"/>
    <w:rsid w:val="00F81A04"/>
    <w:rsid w:val="00F81A5A"/>
    <w:rsid w:val="00F81AE8"/>
    <w:rsid w:val="00F81B4B"/>
    <w:rsid w:val="00F81BBA"/>
    <w:rsid w:val="00F81BE4"/>
    <w:rsid w:val="00F81D8B"/>
    <w:rsid w:val="00F81DC3"/>
    <w:rsid w:val="00F81DED"/>
    <w:rsid w:val="00F81F22"/>
    <w:rsid w:val="00F81FA4"/>
    <w:rsid w:val="00F81FC8"/>
    <w:rsid w:val="00F820AE"/>
    <w:rsid w:val="00F821A7"/>
    <w:rsid w:val="00F8224A"/>
    <w:rsid w:val="00F82280"/>
    <w:rsid w:val="00F82447"/>
    <w:rsid w:val="00F825BE"/>
    <w:rsid w:val="00F826AF"/>
    <w:rsid w:val="00F8274D"/>
    <w:rsid w:val="00F8288C"/>
    <w:rsid w:val="00F82A2C"/>
    <w:rsid w:val="00F82BBA"/>
    <w:rsid w:val="00F82C24"/>
    <w:rsid w:val="00F82C76"/>
    <w:rsid w:val="00F82E04"/>
    <w:rsid w:val="00F83099"/>
    <w:rsid w:val="00F831A5"/>
    <w:rsid w:val="00F83291"/>
    <w:rsid w:val="00F83AC2"/>
    <w:rsid w:val="00F83C9D"/>
    <w:rsid w:val="00F83DAF"/>
    <w:rsid w:val="00F83DD9"/>
    <w:rsid w:val="00F83EF5"/>
    <w:rsid w:val="00F83F12"/>
    <w:rsid w:val="00F83F80"/>
    <w:rsid w:val="00F8408A"/>
    <w:rsid w:val="00F841FE"/>
    <w:rsid w:val="00F8425C"/>
    <w:rsid w:val="00F842B1"/>
    <w:rsid w:val="00F845BF"/>
    <w:rsid w:val="00F8486B"/>
    <w:rsid w:val="00F84DA8"/>
    <w:rsid w:val="00F84F00"/>
    <w:rsid w:val="00F84FC4"/>
    <w:rsid w:val="00F8516E"/>
    <w:rsid w:val="00F85200"/>
    <w:rsid w:val="00F8522F"/>
    <w:rsid w:val="00F85288"/>
    <w:rsid w:val="00F85621"/>
    <w:rsid w:val="00F858F8"/>
    <w:rsid w:val="00F85920"/>
    <w:rsid w:val="00F85B90"/>
    <w:rsid w:val="00F85B94"/>
    <w:rsid w:val="00F85C9C"/>
    <w:rsid w:val="00F85DC3"/>
    <w:rsid w:val="00F861E8"/>
    <w:rsid w:val="00F86204"/>
    <w:rsid w:val="00F862B3"/>
    <w:rsid w:val="00F8681B"/>
    <w:rsid w:val="00F869A4"/>
    <w:rsid w:val="00F86A4D"/>
    <w:rsid w:val="00F86B26"/>
    <w:rsid w:val="00F86B45"/>
    <w:rsid w:val="00F86BB0"/>
    <w:rsid w:val="00F86BE5"/>
    <w:rsid w:val="00F86C30"/>
    <w:rsid w:val="00F8702B"/>
    <w:rsid w:val="00F87262"/>
    <w:rsid w:val="00F87337"/>
    <w:rsid w:val="00F87370"/>
    <w:rsid w:val="00F87480"/>
    <w:rsid w:val="00F87957"/>
    <w:rsid w:val="00F87AC4"/>
    <w:rsid w:val="00F87B44"/>
    <w:rsid w:val="00F87DCC"/>
    <w:rsid w:val="00F87DD7"/>
    <w:rsid w:val="00F87E9A"/>
    <w:rsid w:val="00F87EE7"/>
    <w:rsid w:val="00F87FF0"/>
    <w:rsid w:val="00F900D3"/>
    <w:rsid w:val="00F9038E"/>
    <w:rsid w:val="00F903F6"/>
    <w:rsid w:val="00F905F5"/>
    <w:rsid w:val="00F90849"/>
    <w:rsid w:val="00F9097D"/>
    <w:rsid w:val="00F90B49"/>
    <w:rsid w:val="00F90B7A"/>
    <w:rsid w:val="00F90BCE"/>
    <w:rsid w:val="00F90C49"/>
    <w:rsid w:val="00F90C6E"/>
    <w:rsid w:val="00F90F7C"/>
    <w:rsid w:val="00F910FE"/>
    <w:rsid w:val="00F9125B"/>
    <w:rsid w:val="00F91288"/>
    <w:rsid w:val="00F912E0"/>
    <w:rsid w:val="00F9156A"/>
    <w:rsid w:val="00F91773"/>
    <w:rsid w:val="00F91868"/>
    <w:rsid w:val="00F91ADD"/>
    <w:rsid w:val="00F91E5D"/>
    <w:rsid w:val="00F91F57"/>
    <w:rsid w:val="00F91F73"/>
    <w:rsid w:val="00F921A4"/>
    <w:rsid w:val="00F922F1"/>
    <w:rsid w:val="00F92302"/>
    <w:rsid w:val="00F92423"/>
    <w:rsid w:val="00F92783"/>
    <w:rsid w:val="00F92840"/>
    <w:rsid w:val="00F928DD"/>
    <w:rsid w:val="00F929C5"/>
    <w:rsid w:val="00F92A16"/>
    <w:rsid w:val="00F92A68"/>
    <w:rsid w:val="00F92CA1"/>
    <w:rsid w:val="00F92F0F"/>
    <w:rsid w:val="00F92F3E"/>
    <w:rsid w:val="00F92FEE"/>
    <w:rsid w:val="00F93581"/>
    <w:rsid w:val="00F93613"/>
    <w:rsid w:val="00F93739"/>
    <w:rsid w:val="00F938C9"/>
    <w:rsid w:val="00F939B2"/>
    <w:rsid w:val="00F93BAE"/>
    <w:rsid w:val="00F93C98"/>
    <w:rsid w:val="00F93EA6"/>
    <w:rsid w:val="00F93F69"/>
    <w:rsid w:val="00F93FBE"/>
    <w:rsid w:val="00F940C6"/>
    <w:rsid w:val="00F940E6"/>
    <w:rsid w:val="00F94169"/>
    <w:rsid w:val="00F9443F"/>
    <w:rsid w:val="00F944FA"/>
    <w:rsid w:val="00F94504"/>
    <w:rsid w:val="00F9473B"/>
    <w:rsid w:val="00F948AC"/>
    <w:rsid w:val="00F94902"/>
    <w:rsid w:val="00F949ED"/>
    <w:rsid w:val="00F94B6F"/>
    <w:rsid w:val="00F94EB2"/>
    <w:rsid w:val="00F94F39"/>
    <w:rsid w:val="00F950A9"/>
    <w:rsid w:val="00F950CF"/>
    <w:rsid w:val="00F951DB"/>
    <w:rsid w:val="00F9552D"/>
    <w:rsid w:val="00F95566"/>
    <w:rsid w:val="00F955D2"/>
    <w:rsid w:val="00F956BA"/>
    <w:rsid w:val="00F957CC"/>
    <w:rsid w:val="00F95816"/>
    <w:rsid w:val="00F95A7F"/>
    <w:rsid w:val="00F95A9C"/>
    <w:rsid w:val="00F95AF9"/>
    <w:rsid w:val="00F95B8D"/>
    <w:rsid w:val="00F95CC3"/>
    <w:rsid w:val="00F95F6E"/>
    <w:rsid w:val="00F960BC"/>
    <w:rsid w:val="00F96143"/>
    <w:rsid w:val="00F9614F"/>
    <w:rsid w:val="00F962F2"/>
    <w:rsid w:val="00F96397"/>
    <w:rsid w:val="00F963CE"/>
    <w:rsid w:val="00F96406"/>
    <w:rsid w:val="00F96471"/>
    <w:rsid w:val="00F964EB"/>
    <w:rsid w:val="00F965D2"/>
    <w:rsid w:val="00F9676C"/>
    <w:rsid w:val="00F96808"/>
    <w:rsid w:val="00F96868"/>
    <w:rsid w:val="00F96B3A"/>
    <w:rsid w:val="00F96BF1"/>
    <w:rsid w:val="00F96BF4"/>
    <w:rsid w:val="00F96C13"/>
    <w:rsid w:val="00F96E58"/>
    <w:rsid w:val="00F96E80"/>
    <w:rsid w:val="00F96FDA"/>
    <w:rsid w:val="00F9700B"/>
    <w:rsid w:val="00F97125"/>
    <w:rsid w:val="00F97445"/>
    <w:rsid w:val="00F974D0"/>
    <w:rsid w:val="00F975E8"/>
    <w:rsid w:val="00F9766A"/>
    <w:rsid w:val="00F97682"/>
    <w:rsid w:val="00F976BD"/>
    <w:rsid w:val="00F97A01"/>
    <w:rsid w:val="00F97A84"/>
    <w:rsid w:val="00F97E19"/>
    <w:rsid w:val="00FA010D"/>
    <w:rsid w:val="00FA0137"/>
    <w:rsid w:val="00FA01A6"/>
    <w:rsid w:val="00FA0223"/>
    <w:rsid w:val="00FA041B"/>
    <w:rsid w:val="00FA045F"/>
    <w:rsid w:val="00FA0520"/>
    <w:rsid w:val="00FA052F"/>
    <w:rsid w:val="00FA05A5"/>
    <w:rsid w:val="00FA069C"/>
    <w:rsid w:val="00FA073F"/>
    <w:rsid w:val="00FA077B"/>
    <w:rsid w:val="00FA0794"/>
    <w:rsid w:val="00FA0998"/>
    <w:rsid w:val="00FA09FD"/>
    <w:rsid w:val="00FA0A24"/>
    <w:rsid w:val="00FA0AD3"/>
    <w:rsid w:val="00FA0C70"/>
    <w:rsid w:val="00FA0CE7"/>
    <w:rsid w:val="00FA0E61"/>
    <w:rsid w:val="00FA10D3"/>
    <w:rsid w:val="00FA1388"/>
    <w:rsid w:val="00FA150D"/>
    <w:rsid w:val="00FA1547"/>
    <w:rsid w:val="00FA1B57"/>
    <w:rsid w:val="00FA1B7A"/>
    <w:rsid w:val="00FA1BBF"/>
    <w:rsid w:val="00FA1EB9"/>
    <w:rsid w:val="00FA1EC8"/>
    <w:rsid w:val="00FA1FDE"/>
    <w:rsid w:val="00FA1FE7"/>
    <w:rsid w:val="00FA2086"/>
    <w:rsid w:val="00FA20EA"/>
    <w:rsid w:val="00FA2123"/>
    <w:rsid w:val="00FA22AA"/>
    <w:rsid w:val="00FA22AC"/>
    <w:rsid w:val="00FA22CF"/>
    <w:rsid w:val="00FA23A1"/>
    <w:rsid w:val="00FA2448"/>
    <w:rsid w:val="00FA244C"/>
    <w:rsid w:val="00FA24D9"/>
    <w:rsid w:val="00FA24FA"/>
    <w:rsid w:val="00FA25A4"/>
    <w:rsid w:val="00FA25AF"/>
    <w:rsid w:val="00FA26D5"/>
    <w:rsid w:val="00FA28AC"/>
    <w:rsid w:val="00FA291F"/>
    <w:rsid w:val="00FA2A21"/>
    <w:rsid w:val="00FA2BA7"/>
    <w:rsid w:val="00FA2C7C"/>
    <w:rsid w:val="00FA2C9D"/>
    <w:rsid w:val="00FA2CD2"/>
    <w:rsid w:val="00FA30F9"/>
    <w:rsid w:val="00FA3155"/>
    <w:rsid w:val="00FA33C3"/>
    <w:rsid w:val="00FA33C5"/>
    <w:rsid w:val="00FA3447"/>
    <w:rsid w:val="00FA34CE"/>
    <w:rsid w:val="00FA394E"/>
    <w:rsid w:val="00FA39B7"/>
    <w:rsid w:val="00FA3A9C"/>
    <w:rsid w:val="00FA3AE9"/>
    <w:rsid w:val="00FA3BDD"/>
    <w:rsid w:val="00FA3C62"/>
    <w:rsid w:val="00FA3E4E"/>
    <w:rsid w:val="00FA3F03"/>
    <w:rsid w:val="00FA3F17"/>
    <w:rsid w:val="00FA3F44"/>
    <w:rsid w:val="00FA40C9"/>
    <w:rsid w:val="00FA40DE"/>
    <w:rsid w:val="00FA4101"/>
    <w:rsid w:val="00FA4133"/>
    <w:rsid w:val="00FA4526"/>
    <w:rsid w:val="00FA4559"/>
    <w:rsid w:val="00FA47BD"/>
    <w:rsid w:val="00FA4AD4"/>
    <w:rsid w:val="00FA4BC2"/>
    <w:rsid w:val="00FA4CE1"/>
    <w:rsid w:val="00FA4D48"/>
    <w:rsid w:val="00FA4D65"/>
    <w:rsid w:val="00FA52E2"/>
    <w:rsid w:val="00FA5333"/>
    <w:rsid w:val="00FA533F"/>
    <w:rsid w:val="00FA5390"/>
    <w:rsid w:val="00FA562A"/>
    <w:rsid w:val="00FA56DA"/>
    <w:rsid w:val="00FA57C8"/>
    <w:rsid w:val="00FA57D0"/>
    <w:rsid w:val="00FA5AFC"/>
    <w:rsid w:val="00FA5B5B"/>
    <w:rsid w:val="00FA5BA6"/>
    <w:rsid w:val="00FA5DA9"/>
    <w:rsid w:val="00FA5DC4"/>
    <w:rsid w:val="00FA5EC5"/>
    <w:rsid w:val="00FA5F19"/>
    <w:rsid w:val="00FA5F39"/>
    <w:rsid w:val="00FA5F46"/>
    <w:rsid w:val="00FA6190"/>
    <w:rsid w:val="00FA620A"/>
    <w:rsid w:val="00FA6234"/>
    <w:rsid w:val="00FA62B4"/>
    <w:rsid w:val="00FA6439"/>
    <w:rsid w:val="00FA6603"/>
    <w:rsid w:val="00FA6830"/>
    <w:rsid w:val="00FA688F"/>
    <w:rsid w:val="00FA69B3"/>
    <w:rsid w:val="00FA6CA7"/>
    <w:rsid w:val="00FA6CE1"/>
    <w:rsid w:val="00FA6F53"/>
    <w:rsid w:val="00FA6FA4"/>
    <w:rsid w:val="00FA6FF7"/>
    <w:rsid w:val="00FA711C"/>
    <w:rsid w:val="00FA718F"/>
    <w:rsid w:val="00FA71DD"/>
    <w:rsid w:val="00FA7410"/>
    <w:rsid w:val="00FA744B"/>
    <w:rsid w:val="00FA74D3"/>
    <w:rsid w:val="00FA762B"/>
    <w:rsid w:val="00FA7770"/>
    <w:rsid w:val="00FA7A62"/>
    <w:rsid w:val="00FA7A93"/>
    <w:rsid w:val="00FA7AA1"/>
    <w:rsid w:val="00FA7B0F"/>
    <w:rsid w:val="00FA7B1C"/>
    <w:rsid w:val="00FA7CDE"/>
    <w:rsid w:val="00FA7D3D"/>
    <w:rsid w:val="00FB011C"/>
    <w:rsid w:val="00FB0185"/>
    <w:rsid w:val="00FB01F8"/>
    <w:rsid w:val="00FB051C"/>
    <w:rsid w:val="00FB05B0"/>
    <w:rsid w:val="00FB0605"/>
    <w:rsid w:val="00FB06F4"/>
    <w:rsid w:val="00FB0704"/>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EDC"/>
    <w:rsid w:val="00FB1F17"/>
    <w:rsid w:val="00FB1F46"/>
    <w:rsid w:val="00FB1FBC"/>
    <w:rsid w:val="00FB204C"/>
    <w:rsid w:val="00FB204E"/>
    <w:rsid w:val="00FB207F"/>
    <w:rsid w:val="00FB2128"/>
    <w:rsid w:val="00FB220A"/>
    <w:rsid w:val="00FB2222"/>
    <w:rsid w:val="00FB224A"/>
    <w:rsid w:val="00FB255F"/>
    <w:rsid w:val="00FB25CB"/>
    <w:rsid w:val="00FB271D"/>
    <w:rsid w:val="00FB280A"/>
    <w:rsid w:val="00FB284B"/>
    <w:rsid w:val="00FB2941"/>
    <w:rsid w:val="00FB2943"/>
    <w:rsid w:val="00FB2BD1"/>
    <w:rsid w:val="00FB2C6F"/>
    <w:rsid w:val="00FB2C80"/>
    <w:rsid w:val="00FB2CB7"/>
    <w:rsid w:val="00FB2CF8"/>
    <w:rsid w:val="00FB2D43"/>
    <w:rsid w:val="00FB3012"/>
    <w:rsid w:val="00FB3069"/>
    <w:rsid w:val="00FB307A"/>
    <w:rsid w:val="00FB30AF"/>
    <w:rsid w:val="00FB3538"/>
    <w:rsid w:val="00FB356B"/>
    <w:rsid w:val="00FB3592"/>
    <w:rsid w:val="00FB35BD"/>
    <w:rsid w:val="00FB36C2"/>
    <w:rsid w:val="00FB3787"/>
    <w:rsid w:val="00FB38D6"/>
    <w:rsid w:val="00FB3AD3"/>
    <w:rsid w:val="00FB3ADC"/>
    <w:rsid w:val="00FB3B5C"/>
    <w:rsid w:val="00FB3C9D"/>
    <w:rsid w:val="00FB3CFB"/>
    <w:rsid w:val="00FB3D05"/>
    <w:rsid w:val="00FB3DD2"/>
    <w:rsid w:val="00FB40A5"/>
    <w:rsid w:val="00FB40F2"/>
    <w:rsid w:val="00FB4174"/>
    <w:rsid w:val="00FB41B5"/>
    <w:rsid w:val="00FB41FB"/>
    <w:rsid w:val="00FB4205"/>
    <w:rsid w:val="00FB43D1"/>
    <w:rsid w:val="00FB43F3"/>
    <w:rsid w:val="00FB4405"/>
    <w:rsid w:val="00FB4433"/>
    <w:rsid w:val="00FB44FE"/>
    <w:rsid w:val="00FB47CE"/>
    <w:rsid w:val="00FB4A23"/>
    <w:rsid w:val="00FB4BE3"/>
    <w:rsid w:val="00FB4C9C"/>
    <w:rsid w:val="00FB4DE7"/>
    <w:rsid w:val="00FB4E12"/>
    <w:rsid w:val="00FB4F49"/>
    <w:rsid w:val="00FB5032"/>
    <w:rsid w:val="00FB5064"/>
    <w:rsid w:val="00FB5115"/>
    <w:rsid w:val="00FB514A"/>
    <w:rsid w:val="00FB5161"/>
    <w:rsid w:val="00FB5348"/>
    <w:rsid w:val="00FB53B5"/>
    <w:rsid w:val="00FB5493"/>
    <w:rsid w:val="00FB54A6"/>
    <w:rsid w:val="00FB570E"/>
    <w:rsid w:val="00FB5A87"/>
    <w:rsid w:val="00FB5AC1"/>
    <w:rsid w:val="00FB5B0B"/>
    <w:rsid w:val="00FB5D21"/>
    <w:rsid w:val="00FB5DFD"/>
    <w:rsid w:val="00FB5E66"/>
    <w:rsid w:val="00FB6186"/>
    <w:rsid w:val="00FB61CD"/>
    <w:rsid w:val="00FB63ED"/>
    <w:rsid w:val="00FB65E6"/>
    <w:rsid w:val="00FB6635"/>
    <w:rsid w:val="00FB66E5"/>
    <w:rsid w:val="00FB6760"/>
    <w:rsid w:val="00FB6796"/>
    <w:rsid w:val="00FB68D1"/>
    <w:rsid w:val="00FB69DA"/>
    <w:rsid w:val="00FB6B2A"/>
    <w:rsid w:val="00FB6B70"/>
    <w:rsid w:val="00FB6D06"/>
    <w:rsid w:val="00FB6F45"/>
    <w:rsid w:val="00FB6F95"/>
    <w:rsid w:val="00FB705F"/>
    <w:rsid w:val="00FB70BE"/>
    <w:rsid w:val="00FB72CD"/>
    <w:rsid w:val="00FB7451"/>
    <w:rsid w:val="00FB766D"/>
    <w:rsid w:val="00FB76ED"/>
    <w:rsid w:val="00FB7715"/>
    <w:rsid w:val="00FB7888"/>
    <w:rsid w:val="00FB797B"/>
    <w:rsid w:val="00FB7B23"/>
    <w:rsid w:val="00FB7C30"/>
    <w:rsid w:val="00FB7D16"/>
    <w:rsid w:val="00FB7E46"/>
    <w:rsid w:val="00FB7E6F"/>
    <w:rsid w:val="00FB7F9F"/>
    <w:rsid w:val="00FC019F"/>
    <w:rsid w:val="00FC04AE"/>
    <w:rsid w:val="00FC0531"/>
    <w:rsid w:val="00FC05B0"/>
    <w:rsid w:val="00FC06DB"/>
    <w:rsid w:val="00FC07F7"/>
    <w:rsid w:val="00FC08B5"/>
    <w:rsid w:val="00FC094B"/>
    <w:rsid w:val="00FC09F7"/>
    <w:rsid w:val="00FC0AC5"/>
    <w:rsid w:val="00FC0BC1"/>
    <w:rsid w:val="00FC0BC6"/>
    <w:rsid w:val="00FC0D48"/>
    <w:rsid w:val="00FC0D85"/>
    <w:rsid w:val="00FC0E52"/>
    <w:rsid w:val="00FC0E86"/>
    <w:rsid w:val="00FC0EA9"/>
    <w:rsid w:val="00FC114D"/>
    <w:rsid w:val="00FC124D"/>
    <w:rsid w:val="00FC1365"/>
    <w:rsid w:val="00FC139F"/>
    <w:rsid w:val="00FC1484"/>
    <w:rsid w:val="00FC1547"/>
    <w:rsid w:val="00FC155E"/>
    <w:rsid w:val="00FC1579"/>
    <w:rsid w:val="00FC1770"/>
    <w:rsid w:val="00FC1781"/>
    <w:rsid w:val="00FC1914"/>
    <w:rsid w:val="00FC1A80"/>
    <w:rsid w:val="00FC1B2F"/>
    <w:rsid w:val="00FC1D6B"/>
    <w:rsid w:val="00FC1F08"/>
    <w:rsid w:val="00FC24E7"/>
    <w:rsid w:val="00FC26D9"/>
    <w:rsid w:val="00FC26EF"/>
    <w:rsid w:val="00FC2856"/>
    <w:rsid w:val="00FC287D"/>
    <w:rsid w:val="00FC2A03"/>
    <w:rsid w:val="00FC2B2F"/>
    <w:rsid w:val="00FC2B4F"/>
    <w:rsid w:val="00FC2B9C"/>
    <w:rsid w:val="00FC2C48"/>
    <w:rsid w:val="00FC2E1F"/>
    <w:rsid w:val="00FC2E59"/>
    <w:rsid w:val="00FC2F0B"/>
    <w:rsid w:val="00FC336F"/>
    <w:rsid w:val="00FC3416"/>
    <w:rsid w:val="00FC3578"/>
    <w:rsid w:val="00FC3697"/>
    <w:rsid w:val="00FC3756"/>
    <w:rsid w:val="00FC37AB"/>
    <w:rsid w:val="00FC3A14"/>
    <w:rsid w:val="00FC3D17"/>
    <w:rsid w:val="00FC3ED7"/>
    <w:rsid w:val="00FC40EF"/>
    <w:rsid w:val="00FC443C"/>
    <w:rsid w:val="00FC449F"/>
    <w:rsid w:val="00FC46C9"/>
    <w:rsid w:val="00FC4760"/>
    <w:rsid w:val="00FC498B"/>
    <w:rsid w:val="00FC4A58"/>
    <w:rsid w:val="00FC4A6A"/>
    <w:rsid w:val="00FC4A94"/>
    <w:rsid w:val="00FC4C8F"/>
    <w:rsid w:val="00FC4EEA"/>
    <w:rsid w:val="00FC5054"/>
    <w:rsid w:val="00FC5263"/>
    <w:rsid w:val="00FC5441"/>
    <w:rsid w:val="00FC5537"/>
    <w:rsid w:val="00FC5640"/>
    <w:rsid w:val="00FC56C0"/>
    <w:rsid w:val="00FC5785"/>
    <w:rsid w:val="00FC57EA"/>
    <w:rsid w:val="00FC57FF"/>
    <w:rsid w:val="00FC5817"/>
    <w:rsid w:val="00FC58B9"/>
    <w:rsid w:val="00FC5A9D"/>
    <w:rsid w:val="00FC5B6C"/>
    <w:rsid w:val="00FC5C60"/>
    <w:rsid w:val="00FC5CB6"/>
    <w:rsid w:val="00FC5F06"/>
    <w:rsid w:val="00FC605A"/>
    <w:rsid w:val="00FC60D2"/>
    <w:rsid w:val="00FC6118"/>
    <w:rsid w:val="00FC6178"/>
    <w:rsid w:val="00FC6205"/>
    <w:rsid w:val="00FC641F"/>
    <w:rsid w:val="00FC6435"/>
    <w:rsid w:val="00FC6622"/>
    <w:rsid w:val="00FC67B4"/>
    <w:rsid w:val="00FC695E"/>
    <w:rsid w:val="00FC6B34"/>
    <w:rsid w:val="00FC6B76"/>
    <w:rsid w:val="00FC6E71"/>
    <w:rsid w:val="00FC712C"/>
    <w:rsid w:val="00FC7278"/>
    <w:rsid w:val="00FC736F"/>
    <w:rsid w:val="00FC739E"/>
    <w:rsid w:val="00FC7490"/>
    <w:rsid w:val="00FC7565"/>
    <w:rsid w:val="00FC768B"/>
    <w:rsid w:val="00FC77B4"/>
    <w:rsid w:val="00FC77DD"/>
    <w:rsid w:val="00FC7A00"/>
    <w:rsid w:val="00FC7A86"/>
    <w:rsid w:val="00FC7ACA"/>
    <w:rsid w:val="00FC7D90"/>
    <w:rsid w:val="00FC7DFD"/>
    <w:rsid w:val="00FC7E83"/>
    <w:rsid w:val="00FD0141"/>
    <w:rsid w:val="00FD0226"/>
    <w:rsid w:val="00FD0357"/>
    <w:rsid w:val="00FD03BC"/>
    <w:rsid w:val="00FD0566"/>
    <w:rsid w:val="00FD0642"/>
    <w:rsid w:val="00FD06B3"/>
    <w:rsid w:val="00FD07A2"/>
    <w:rsid w:val="00FD0806"/>
    <w:rsid w:val="00FD0871"/>
    <w:rsid w:val="00FD0A10"/>
    <w:rsid w:val="00FD0B58"/>
    <w:rsid w:val="00FD0D03"/>
    <w:rsid w:val="00FD0E69"/>
    <w:rsid w:val="00FD0FC6"/>
    <w:rsid w:val="00FD123B"/>
    <w:rsid w:val="00FD128F"/>
    <w:rsid w:val="00FD13AB"/>
    <w:rsid w:val="00FD141C"/>
    <w:rsid w:val="00FD177A"/>
    <w:rsid w:val="00FD195A"/>
    <w:rsid w:val="00FD1A04"/>
    <w:rsid w:val="00FD1A8E"/>
    <w:rsid w:val="00FD1A9C"/>
    <w:rsid w:val="00FD1AE1"/>
    <w:rsid w:val="00FD1C74"/>
    <w:rsid w:val="00FD1D4B"/>
    <w:rsid w:val="00FD1D9C"/>
    <w:rsid w:val="00FD1DBB"/>
    <w:rsid w:val="00FD1DBF"/>
    <w:rsid w:val="00FD1FE1"/>
    <w:rsid w:val="00FD2054"/>
    <w:rsid w:val="00FD2135"/>
    <w:rsid w:val="00FD2187"/>
    <w:rsid w:val="00FD222E"/>
    <w:rsid w:val="00FD22C3"/>
    <w:rsid w:val="00FD2300"/>
    <w:rsid w:val="00FD2331"/>
    <w:rsid w:val="00FD2415"/>
    <w:rsid w:val="00FD2472"/>
    <w:rsid w:val="00FD2635"/>
    <w:rsid w:val="00FD271D"/>
    <w:rsid w:val="00FD2BFE"/>
    <w:rsid w:val="00FD2C9E"/>
    <w:rsid w:val="00FD2E0B"/>
    <w:rsid w:val="00FD2FA0"/>
    <w:rsid w:val="00FD3202"/>
    <w:rsid w:val="00FD3275"/>
    <w:rsid w:val="00FD376B"/>
    <w:rsid w:val="00FD3893"/>
    <w:rsid w:val="00FD396A"/>
    <w:rsid w:val="00FD3B34"/>
    <w:rsid w:val="00FD3D1C"/>
    <w:rsid w:val="00FD3D95"/>
    <w:rsid w:val="00FD3E43"/>
    <w:rsid w:val="00FD3E46"/>
    <w:rsid w:val="00FD3F7B"/>
    <w:rsid w:val="00FD3FE5"/>
    <w:rsid w:val="00FD41D8"/>
    <w:rsid w:val="00FD42CD"/>
    <w:rsid w:val="00FD4328"/>
    <w:rsid w:val="00FD4629"/>
    <w:rsid w:val="00FD4820"/>
    <w:rsid w:val="00FD48F8"/>
    <w:rsid w:val="00FD4B74"/>
    <w:rsid w:val="00FD4BC2"/>
    <w:rsid w:val="00FD4C08"/>
    <w:rsid w:val="00FD4CC4"/>
    <w:rsid w:val="00FD4DCB"/>
    <w:rsid w:val="00FD4EAB"/>
    <w:rsid w:val="00FD4F21"/>
    <w:rsid w:val="00FD50D7"/>
    <w:rsid w:val="00FD5176"/>
    <w:rsid w:val="00FD5177"/>
    <w:rsid w:val="00FD51AF"/>
    <w:rsid w:val="00FD5208"/>
    <w:rsid w:val="00FD5278"/>
    <w:rsid w:val="00FD52AD"/>
    <w:rsid w:val="00FD536E"/>
    <w:rsid w:val="00FD53A9"/>
    <w:rsid w:val="00FD543E"/>
    <w:rsid w:val="00FD55A9"/>
    <w:rsid w:val="00FD55D6"/>
    <w:rsid w:val="00FD5707"/>
    <w:rsid w:val="00FD5811"/>
    <w:rsid w:val="00FD593F"/>
    <w:rsid w:val="00FD5948"/>
    <w:rsid w:val="00FD59BB"/>
    <w:rsid w:val="00FD5AD8"/>
    <w:rsid w:val="00FD5CA0"/>
    <w:rsid w:val="00FD5D63"/>
    <w:rsid w:val="00FD5E2F"/>
    <w:rsid w:val="00FD609F"/>
    <w:rsid w:val="00FD6261"/>
    <w:rsid w:val="00FD62C1"/>
    <w:rsid w:val="00FD62F4"/>
    <w:rsid w:val="00FD63BB"/>
    <w:rsid w:val="00FD64E4"/>
    <w:rsid w:val="00FD663F"/>
    <w:rsid w:val="00FD666C"/>
    <w:rsid w:val="00FD6897"/>
    <w:rsid w:val="00FD6921"/>
    <w:rsid w:val="00FD6923"/>
    <w:rsid w:val="00FD6B8D"/>
    <w:rsid w:val="00FD6BFB"/>
    <w:rsid w:val="00FD6D19"/>
    <w:rsid w:val="00FD6D3E"/>
    <w:rsid w:val="00FD6DB2"/>
    <w:rsid w:val="00FD6DC3"/>
    <w:rsid w:val="00FD6FF8"/>
    <w:rsid w:val="00FD71F2"/>
    <w:rsid w:val="00FD73E8"/>
    <w:rsid w:val="00FD7565"/>
    <w:rsid w:val="00FD7597"/>
    <w:rsid w:val="00FD79BC"/>
    <w:rsid w:val="00FD7A48"/>
    <w:rsid w:val="00FD7CE0"/>
    <w:rsid w:val="00FD7D6E"/>
    <w:rsid w:val="00FD7DEA"/>
    <w:rsid w:val="00FD7EFD"/>
    <w:rsid w:val="00FE0007"/>
    <w:rsid w:val="00FE00EA"/>
    <w:rsid w:val="00FE0100"/>
    <w:rsid w:val="00FE018C"/>
    <w:rsid w:val="00FE01FF"/>
    <w:rsid w:val="00FE0475"/>
    <w:rsid w:val="00FE04AB"/>
    <w:rsid w:val="00FE0570"/>
    <w:rsid w:val="00FE05DD"/>
    <w:rsid w:val="00FE0A8E"/>
    <w:rsid w:val="00FE0C11"/>
    <w:rsid w:val="00FE0C59"/>
    <w:rsid w:val="00FE1091"/>
    <w:rsid w:val="00FE10BD"/>
    <w:rsid w:val="00FE10E1"/>
    <w:rsid w:val="00FE14D2"/>
    <w:rsid w:val="00FE15AF"/>
    <w:rsid w:val="00FE15B4"/>
    <w:rsid w:val="00FE16F2"/>
    <w:rsid w:val="00FE17C0"/>
    <w:rsid w:val="00FE17CC"/>
    <w:rsid w:val="00FE18BA"/>
    <w:rsid w:val="00FE18D7"/>
    <w:rsid w:val="00FE18FB"/>
    <w:rsid w:val="00FE1A19"/>
    <w:rsid w:val="00FE1B94"/>
    <w:rsid w:val="00FE1BFE"/>
    <w:rsid w:val="00FE1D42"/>
    <w:rsid w:val="00FE1DB7"/>
    <w:rsid w:val="00FE1F68"/>
    <w:rsid w:val="00FE21F7"/>
    <w:rsid w:val="00FE26C8"/>
    <w:rsid w:val="00FE289F"/>
    <w:rsid w:val="00FE292C"/>
    <w:rsid w:val="00FE2931"/>
    <w:rsid w:val="00FE2965"/>
    <w:rsid w:val="00FE2AB7"/>
    <w:rsid w:val="00FE2BEC"/>
    <w:rsid w:val="00FE2D24"/>
    <w:rsid w:val="00FE2DA8"/>
    <w:rsid w:val="00FE2DBF"/>
    <w:rsid w:val="00FE319E"/>
    <w:rsid w:val="00FE3216"/>
    <w:rsid w:val="00FE3317"/>
    <w:rsid w:val="00FE334E"/>
    <w:rsid w:val="00FE3514"/>
    <w:rsid w:val="00FE3602"/>
    <w:rsid w:val="00FE3709"/>
    <w:rsid w:val="00FE378C"/>
    <w:rsid w:val="00FE38A4"/>
    <w:rsid w:val="00FE3A15"/>
    <w:rsid w:val="00FE3B1A"/>
    <w:rsid w:val="00FE3E7E"/>
    <w:rsid w:val="00FE3EF0"/>
    <w:rsid w:val="00FE40A3"/>
    <w:rsid w:val="00FE41D3"/>
    <w:rsid w:val="00FE420C"/>
    <w:rsid w:val="00FE4303"/>
    <w:rsid w:val="00FE4393"/>
    <w:rsid w:val="00FE43F0"/>
    <w:rsid w:val="00FE442B"/>
    <w:rsid w:val="00FE448A"/>
    <w:rsid w:val="00FE45FA"/>
    <w:rsid w:val="00FE46B8"/>
    <w:rsid w:val="00FE478B"/>
    <w:rsid w:val="00FE4891"/>
    <w:rsid w:val="00FE4896"/>
    <w:rsid w:val="00FE4993"/>
    <w:rsid w:val="00FE4A69"/>
    <w:rsid w:val="00FE4A70"/>
    <w:rsid w:val="00FE4B7E"/>
    <w:rsid w:val="00FE4B8E"/>
    <w:rsid w:val="00FE4BAE"/>
    <w:rsid w:val="00FE4BC9"/>
    <w:rsid w:val="00FE4C7C"/>
    <w:rsid w:val="00FE4D2B"/>
    <w:rsid w:val="00FE5032"/>
    <w:rsid w:val="00FE5043"/>
    <w:rsid w:val="00FE5245"/>
    <w:rsid w:val="00FE52BF"/>
    <w:rsid w:val="00FE551E"/>
    <w:rsid w:val="00FE587E"/>
    <w:rsid w:val="00FE58D4"/>
    <w:rsid w:val="00FE5AC8"/>
    <w:rsid w:val="00FE5AF0"/>
    <w:rsid w:val="00FE5BC0"/>
    <w:rsid w:val="00FE5C9B"/>
    <w:rsid w:val="00FE5EC2"/>
    <w:rsid w:val="00FE5FA0"/>
    <w:rsid w:val="00FE60A1"/>
    <w:rsid w:val="00FE60CB"/>
    <w:rsid w:val="00FE6108"/>
    <w:rsid w:val="00FE6148"/>
    <w:rsid w:val="00FE6590"/>
    <w:rsid w:val="00FE66E9"/>
    <w:rsid w:val="00FE6815"/>
    <w:rsid w:val="00FE68C3"/>
    <w:rsid w:val="00FE698C"/>
    <w:rsid w:val="00FE6A6A"/>
    <w:rsid w:val="00FE6CED"/>
    <w:rsid w:val="00FE6EDC"/>
    <w:rsid w:val="00FE6EDD"/>
    <w:rsid w:val="00FE6EEC"/>
    <w:rsid w:val="00FE6F22"/>
    <w:rsid w:val="00FE71B4"/>
    <w:rsid w:val="00FE71EE"/>
    <w:rsid w:val="00FE72BD"/>
    <w:rsid w:val="00FE7310"/>
    <w:rsid w:val="00FE7398"/>
    <w:rsid w:val="00FE73EB"/>
    <w:rsid w:val="00FE75EB"/>
    <w:rsid w:val="00FE7747"/>
    <w:rsid w:val="00FE7979"/>
    <w:rsid w:val="00FE79EE"/>
    <w:rsid w:val="00FE7A4B"/>
    <w:rsid w:val="00FE7A92"/>
    <w:rsid w:val="00FE7BBC"/>
    <w:rsid w:val="00FE7DDB"/>
    <w:rsid w:val="00FE7DFC"/>
    <w:rsid w:val="00FE7E1D"/>
    <w:rsid w:val="00FF02D4"/>
    <w:rsid w:val="00FF085B"/>
    <w:rsid w:val="00FF085C"/>
    <w:rsid w:val="00FF0A40"/>
    <w:rsid w:val="00FF0A43"/>
    <w:rsid w:val="00FF0BFD"/>
    <w:rsid w:val="00FF0CEE"/>
    <w:rsid w:val="00FF0E1E"/>
    <w:rsid w:val="00FF0E4A"/>
    <w:rsid w:val="00FF0E6B"/>
    <w:rsid w:val="00FF0E70"/>
    <w:rsid w:val="00FF1014"/>
    <w:rsid w:val="00FF1133"/>
    <w:rsid w:val="00FF12D0"/>
    <w:rsid w:val="00FF138E"/>
    <w:rsid w:val="00FF1757"/>
    <w:rsid w:val="00FF176A"/>
    <w:rsid w:val="00FF1848"/>
    <w:rsid w:val="00FF18E4"/>
    <w:rsid w:val="00FF19BB"/>
    <w:rsid w:val="00FF19DE"/>
    <w:rsid w:val="00FF19FD"/>
    <w:rsid w:val="00FF1A41"/>
    <w:rsid w:val="00FF1A62"/>
    <w:rsid w:val="00FF1BBB"/>
    <w:rsid w:val="00FF1C2C"/>
    <w:rsid w:val="00FF1C83"/>
    <w:rsid w:val="00FF1DBB"/>
    <w:rsid w:val="00FF1DC9"/>
    <w:rsid w:val="00FF1F62"/>
    <w:rsid w:val="00FF2030"/>
    <w:rsid w:val="00FF228A"/>
    <w:rsid w:val="00FF23E3"/>
    <w:rsid w:val="00FF24BC"/>
    <w:rsid w:val="00FF253E"/>
    <w:rsid w:val="00FF261D"/>
    <w:rsid w:val="00FF2886"/>
    <w:rsid w:val="00FF2B4B"/>
    <w:rsid w:val="00FF2BAA"/>
    <w:rsid w:val="00FF2BB4"/>
    <w:rsid w:val="00FF2C3D"/>
    <w:rsid w:val="00FF319D"/>
    <w:rsid w:val="00FF31FD"/>
    <w:rsid w:val="00FF3284"/>
    <w:rsid w:val="00FF3294"/>
    <w:rsid w:val="00FF329F"/>
    <w:rsid w:val="00FF32BA"/>
    <w:rsid w:val="00FF3327"/>
    <w:rsid w:val="00FF33B3"/>
    <w:rsid w:val="00FF3517"/>
    <w:rsid w:val="00FF3536"/>
    <w:rsid w:val="00FF3596"/>
    <w:rsid w:val="00FF3670"/>
    <w:rsid w:val="00FF36B2"/>
    <w:rsid w:val="00FF389E"/>
    <w:rsid w:val="00FF3AAC"/>
    <w:rsid w:val="00FF3F75"/>
    <w:rsid w:val="00FF3FC0"/>
    <w:rsid w:val="00FF4238"/>
    <w:rsid w:val="00FF42A9"/>
    <w:rsid w:val="00FF42DF"/>
    <w:rsid w:val="00FF4306"/>
    <w:rsid w:val="00FF4636"/>
    <w:rsid w:val="00FF465B"/>
    <w:rsid w:val="00FF46E3"/>
    <w:rsid w:val="00FF485F"/>
    <w:rsid w:val="00FF48CD"/>
    <w:rsid w:val="00FF48DD"/>
    <w:rsid w:val="00FF49D6"/>
    <w:rsid w:val="00FF4A60"/>
    <w:rsid w:val="00FF4ACD"/>
    <w:rsid w:val="00FF4BE7"/>
    <w:rsid w:val="00FF4F1C"/>
    <w:rsid w:val="00FF5470"/>
    <w:rsid w:val="00FF5482"/>
    <w:rsid w:val="00FF54D7"/>
    <w:rsid w:val="00FF54E7"/>
    <w:rsid w:val="00FF55B3"/>
    <w:rsid w:val="00FF578C"/>
    <w:rsid w:val="00FF584E"/>
    <w:rsid w:val="00FF58CB"/>
    <w:rsid w:val="00FF5994"/>
    <w:rsid w:val="00FF5A95"/>
    <w:rsid w:val="00FF5AC0"/>
    <w:rsid w:val="00FF5DA6"/>
    <w:rsid w:val="00FF5F02"/>
    <w:rsid w:val="00FF60EF"/>
    <w:rsid w:val="00FF61D6"/>
    <w:rsid w:val="00FF654D"/>
    <w:rsid w:val="00FF65E1"/>
    <w:rsid w:val="00FF6719"/>
    <w:rsid w:val="00FF67B5"/>
    <w:rsid w:val="00FF6B37"/>
    <w:rsid w:val="00FF6B5D"/>
    <w:rsid w:val="00FF6C1D"/>
    <w:rsid w:val="00FF6C9C"/>
    <w:rsid w:val="00FF6E50"/>
    <w:rsid w:val="00FF6EBB"/>
    <w:rsid w:val="00FF710D"/>
    <w:rsid w:val="00FF72EA"/>
    <w:rsid w:val="00FF7410"/>
    <w:rsid w:val="00FF7574"/>
    <w:rsid w:val="00FF7584"/>
    <w:rsid w:val="00FF783B"/>
    <w:rsid w:val="00FF784A"/>
    <w:rsid w:val="00FF7894"/>
    <w:rsid w:val="00FF7980"/>
    <w:rsid w:val="00FF7AAD"/>
    <w:rsid w:val="00FF7B43"/>
    <w:rsid w:val="00FF7C5E"/>
    <w:rsid w:val="00FF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14:docId w14:val="5DC69894"/>
  <w15:chartTrackingRefBased/>
  <w15:docId w15:val="{7CB881F8-F9F2-4EEE-942E-1D18FE34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qFormat="1"/>
    <w:lsdException w:name="heading 3" w:locked="0" w:uiPriority="0" w:qFormat="1"/>
    <w:lsdException w:name="heading 4" w:locked="0" w:uiPriority="0" w:qFormat="1"/>
    <w:lsdException w:name="heading 5" w:qFormat="1"/>
    <w:lsdException w:name="heading 6" w:uiPriority="0" w:qFormat="1"/>
    <w:lsdException w:name="heading 7" w:locked="0" w:uiPriority="0" w:qFormat="1"/>
    <w:lsdException w:name="heading 8" w:uiPriority="0" w:qFormat="1"/>
    <w:lsdException w:name="heading 9" w:uiPriority="0" w:qFormat="1"/>
    <w:lsdException w:name="index 1" w:locked="0" w:semiHidden="1"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locked="0" w:semiHidden="1" w:uiPriority="0" w:unhideWhenUsed="1"/>
    <w:lsdException w:name="header" w:locked="0" w:semiHidden="1" w:unhideWhenUsed="1"/>
    <w:lsdException w:name="footer" w:locked="0" w:semiHidden="1" w:unhideWhenUsed="1" w:qFormat="1"/>
    <w:lsdException w:name="index heading" w:locked="0" w:semiHidden="1" w:uiPriority="0" w:unhideWhenUsed="1"/>
    <w:lsdException w:name="caption" w:locked="0"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iPriority="0"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ocked="0"/>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ocked="0" w:uiPriority="0"/>
    <w:lsdException w:name="Colorful List Accent 1" w:qFormat="1"/>
    <w:lsdException w:name="Colorful Grid Accent 1" w:locked="0" w:qFormat="1"/>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qFormat="1"/>
    <w:lsdException w:name="Grid Table 2" w:uiPriority="37"/>
    <w:lsdException w:name="Grid Table 3" w:uiPriority="39"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normal)"/>
    <w:qFormat/>
    <w:rsid w:val="004A6E26"/>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6"/>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uiPriority w:val="99"/>
    <w:qFormat/>
    <w:rsid w:val="004C0041"/>
    <w:pPr>
      <w:keepNext/>
      <w:numPr>
        <w:ilvl w:val="1"/>
        <w:numId w:val="6"/>
      </w:numPr>
      <w:spacing w:before="480" w:after="240" w:line="240" w:lineRule="auto"/>
      <w:ind w:left="720"/>
      <w:outlineLvl w:val="1"/>
    </w:pPr>
    <w:rPr>
      <w:rFonts w:ascii="Arial" w:hAnsi="Arial" w:cs="Arial"/>
      <w:b/>
      <w:color w:val="000033"/>
      <w:sz w:val="26"/>
      <w:szCs w:val="22"/>
    </w:rPr>
  </w:style>
  <w:style w:type="paragraph" w:styleId="Heading3">
    <w:name w:val="heading 3"/>
    <w:aliases w:val="h3"/>
    <w:basedOn w:val="Normal"/>
    <w:next w:val="Normal"/>
    <w:link w:val="Heading3Char"/>
    <w:autoRedefine/>
    <w:qFormat/>
    <w:rsid w:val="004C0041"/>
    <w:pPr>
      <w:keepNext/>
      <w:numPr>
        <w:ilvl w:val="2"/>
        <w:numId w:val="6"/>
      </w:numPr>
      <w:spacing w:before="240" w:after="240" w:line="240" w:lineRule="auto"/>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qFormat/>
    <w:locked/>
    <w:rsid w:val="00924F40"/>
    <w:pPr>
      <w:spacing w:before="240" w:after="60" w:line="240" w:lineRule="auto"/>
      <w:outlineLvl w:val="5"/>
    </w:pPr>
    <w:rPr>
      <w:bCs/>
      <w:i/>
      <w:color w:val="7F7F7F"/>
      <w:szCs w:val="22"/>
    </w:rPr>
  </w:style>
  <w:style w:type="paragraph" w:styleId="Heading7">
    <w:name w:val="heading 7"/>
    <w:aliases w:val="Appendix"/>
    <w:basedOn w:val="Normal"/>
    <w:next w:val="Normal"/>
    <w:link w:val="Heading7Char"/>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rPr>
  </w:style>
  <w:style w:type="character" w:customStyle="1" w:styleId="Heading2Char">
    <w:name w:val="Heading 2 Char"/>
    <w:link w:val="Heading2"/>
    <w:uiPriority w:val="99"/>
    <w:locked/>
    <w:rsid w:val="004C0041"/>
    <w:rPr>
      <w:rFonts w:ascii="Arial" w:hAnsi="Arial" w:cs="Arial"/>
      <w:b/>
      <w:color w:val="000033"/>
      <w:sz w:val="26"/>
      <w:szCs w:val="22"/>
      <w:lang w:val="en-GB"/>
    </w:rPr>
  </w:style>
  <w:style w:type="character" w:customStyle="1" w:styleId="Heading3Char">
    <w:name w:val="Heading 3 Char"/>
    <w:aliases w:val="h3 Char"/>
    <w:link w:val="Heading3"/>
    <w:locked/>
    <w:rsid w:val="004C0041"/>
    <w:rPr>
      <w:rFonts w:ascii="Arial" w:hAnsi="Arial" w:cs="Arial"/>
      <w:b/>
      <w:color w:val="000033"/>
      <w:sz w:val="22"/>
      <w:lang w:val="en-GB"/>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tabs>
        <w:tab w:val="left" w:pos="2693"/>
      </w:tabs>
    </w:pPr>
  </w:style>
  <w:style w:type="paragraph" w:styleId="FootnoteText">
    <w:name w:val="footnote text"/>
    <w:aliases w:val="Footnote,(NECG) Footnote Text,Footnote Text Char2,(NECG) Footnote Text Char,Footnote Text Char1 Char1,AR Footnote Text,ALTS FOOTNOTE,Footnote text,AR Footnote Text Char Char Char Char Char,fn,Footnote Text 2,FOOTNOTE,fn Char Char,f"/>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AR Footnote Text Char,ALTS FOOTNOTE Char,Footnote text Char,AR Footnote Text Char Char Char Char Char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customStyle="1" w:styleId="ColorfulGrid-Accent11">
    <w:name w:val="Colorful Grid - Accent 11"/>
    <w:basedOn w:val="Normal"/>
    <w:link w:val="ColorfulGrid-Accent1Char1"/>
    <w:uiPriority w:val="99"/>
    <w:qFormat/>
    <w:rsid w:val="00924F40"/>
    <w:pPr>
      <w:spacing w:line="240" w:lineRule="atLeast"/>
      <w:ind w:left="360" w:right="360"/>
    </w:pPr>
    <w:rPr>
      <w:sz w:val="20"/>
      <w:lang w:val="en-AU" w:eastAsia="en-AU"/>
    </w:rPr>
  </w:style>
  <w:style w:type="character" w:customStyle="1" w:styleId="ColorfulGrid-Accent1Char1">
    <w:name w:val="Colorful Grid - Accent 1 Char1"/>
    <w:link w:val="ColorfulGrid-Accent11"/>
    <w:uiPriority w:val="99"/>
    <w:locked/>
    <w:rsid w:val="00924F40"/>
    <w:rPr>
      <w:rFonts w:ascii="Times New Roman" w:hAnsi="Times New Roman" w:cs="Times New Roman"/>
    </w:rPr>
  </w:style>
  <w:style w:type="paragraph" w:customStyle="1" w:styleId="Bullet">
    <w:name w:val="Bullet"/>
    <w:basedOn w:val="Normal"/>
    <w:link w:val="BulletChar"/>
    <w:qFormat/>
    <w:rsid w:val="008B275E"/>
    <w:p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4"/>
      </w:numPr>
    </w:pPr>
  </w:style>
  <w:style w:type="paragraph" w:customStyle="1" w:styleId="TableBullet">
    <w:name w:val="Table Bullet"/>
    <w:basedOn w:val="TableTextLeft"/>
    <w:uiPriority w:val="99"/>
    <w:rsid w:val="00F7639D"/>
    <w:pPr>
      <w:numPr>
        <w:numId w:val="1"/>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qFormat/>
    <w:locked/>
    <w:rsid w:val="00C768A3"/>
    <w:pPr>
      <w:spacing w:after="200" w:line="240" w:lineRule="auto"/>
    </w:pPr>
    <w:rPr>
      <w:b/>
      <w:bCs/>
      <w:color w:val="4F81BD"/>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ColorfulGrid-Accent11"/>
    <w:uiPriority w:val="99"/>
    <w:qFormat/>
    <w:rsid w:val="00F7639D"/>
    <w:pPr>
      <w:numPr>
        <w:numId w:val="2"/>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114B"/>
    <w:rPr>
      <w:rFonts w:ascii="Tahoma" w:hAnsi="Tahoma" w:cs="Tahoma"/>
      <w:sz w:val="16"/>
      <w:szCs w:val="16"/>
      <w:lang w:val="en-GB" w:eastAsia="en-US"/>
    </w:rPr>
  </w:style>
  <w:style w:type="character" w:styleId="CommentReference">
    <w:name w:val="annotation reference"/>
    <w:uiPriority w:val="99"/>
    <w:semiHidden/>
    <w:unhideWhenUsed/>
    <w:locked/>
    <w:rsid w:val="0031462D"/>
    <w:rPr>
      <w:sz w:val="16"/>
      <w:szCs w:val="16"/>
    </w:rPr>
  </w:style>
  <w:style w:type="character" w:customStyle="1" w:styleId="MediumGrid11">
    <w:name w:val="Medium Grid 11"/>
    <w:uiPriority w:val="99"/>
    <w:semiHidden/>
    <w:locked/>
    <w:rsid w:val="0074389C"/>
    <w:rPr>
      <w:color w:val="808080"/>
    </w:rPr>
  </w:style>
  <w:style w:type="paragraph" w:customStyle="1" w:styleId="HeadingPart">
    <w:name w:val="Heading Part"/>
    <w:basedOn w:val="Heading1"/>
    <w:qFormat/>
    <w:rsid w:val="000A4D58"/>
    <w:pPr>
      <w:numPr>
        <w:numId w:val="3"/>
      </w:numPr>
      <w:tabs>
        <w:tab w:val="left" w:pos="1843"/>
      </w:tabs>
    </w:p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ftref"/>
    <w:uiPriority w:val="99"/>
    <w:unhideWhenUsed/>
    <w:rsid w:val="00FE0570"/>
    <w:rPr>
      <w:vertAlign w:val="superscript"/>
    </w:rPr>
  </w:style>
  <w:style w:type="character" w:customStyle="1" w:styleId="Italic">
    <w:name w:val="Italic"/>
    <w:uiPriority w:val="1"/>
    <w:qFormat/>
    <w:rsid w:val="00F24C6B"/>
    <w:rPr>
      <w:i/>
    </w:rPr>
  </w:style>
  <w:style w:type="character" w:customStyle="1" w:styleId="HighlightYellow">
    <w:name w:val="Highlight Yellow"/>
    <w:uiPriority w:val="1"/>
    <w:qFormat/>
    <w:rsid w:val="00A75C51"/>
    <w:rPr>
      <w:sz w:val="22"/>
      <w:szCs w:val="24"/>
      <w:bdr w:val="none" w:sz="0" w:space="0" w:color="auto"/>
      <w:shd w:val="clear" w:color="auto" w:fill="FFFF00"/>
    </w:rPr>
  </w:style>
  <w:style w:type="character" w:customStyle="1" w:styleId="HighlightGreen">
    <w:name w:val="Highlight Green"/>
    <w:uiPriority w:val="1"/>
    <w:qFormat/>
    <w:rsid w:val="00FF5F02"/>
    <w:rPr>
      <w:sz w:val="22"/>
      <w:szCs w:val="24"/>
      <w:bdr w:val="none" w:sz="0" w:space="0" w:color="auto"/>
      <w:shd w:val="clear" w:color="auto" w:fill="92D050"/>
    </w:rPr>
  </w:style>
  <w:style w:type="character" w:customStyle="1" w:styleId="HighlightBlue">
    <w:name w:val="Highlight Blue"/>
    <w:uiPriority w:val="1"/>
    <w:qFormat/>
    <w:rsid w:val="00FF5F02"/>
    <w:rPr>
      <w:sz w:val="22"/>
      <w:szCs w:val="24"/>
      <w:bdr w:val="none" w:sz="0" w:space="0" w:color="auto"/>
      <w:shd w:val="clear" w:color="auto" w:fill="00B0F0"/>
    </w:rPr>
  </w:style>
  <w:style w:type="character" w:customStyle="1" w:styleId="Bold">
    <w:name w:val="Bold"/>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ilvl w:val="0"/>
        <w:numId w:val="0"/>
      </w:numPr>
    </w:pPr>
  </w:style>
  <w:style w:type="paragraph" w:customStyle="1" w:styleId="HeadingAppendix3">
    <w:name w:val="Heading Appendix 3"/>
    <w:basedOn w:val="Heading3"/>
    <w:qFormat/>
    <w:rsid w:val="00D42FF9"/>
    <w:pPr>
      <w:numPr>
        <w:ilvl w:val="0"/>
        <w:numId w:val="0"/>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BA2FA6"/>
    <w:pPr>
      <w:numPr>
        <w:numId w:val="30"/>
      </w:numPr>
      <w:spacing w:line="240" w:lineRule="atLeast"/>
      <w:ind w:left="714" w:hanging="357"/>
    </w:pPr>
  </w:style>
  <w:style w:type="character" w:styleId="Emphasis">
    <w:name w:val="Emphasis"/>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uiPriority w:val="99"/>
    <w:rsid w:val="00DC784F"/>
    <w:rPr>
      <w:rFonts w:cs="Times New Roman"/>
    </w:rPr>
  </w:style>
  <w:style w:type="paragraph" w:customStyle="1" w:styleId="ColorfulList-Accent11">
    <w:name w:val="Colorful List - Accent 11"/>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Headereven"/>
    <w:link w:val="HeaderChar"/>
    <w:uiPriority w:val="99"/>
    <w:unhideWhenUsed/>
    <w:rsid w:val="00B1531E"/>
  </w:style>
  <w:style w:type="character" w:customStyle="1" w:styleId="HeaderChar">
    <w:name w:val="Header Char"/>
    <w:aliases w:val="Even header (essay title) Char"/>
    <w:link w:val="Header"/>
    <w:uiPriority w:val="99"/>
    <w:rsid w:val="00B1531E"/>
    <w:rPr>
      <w:rFonts w:ascii="Times New Roman" w:hAnsi="Times New Roman"/>
      <w:i/>
      <w:color w:val="808080"/>
      <w:sz w:val="18"/>
      <w:szCs w:val="18"/>
      <w:lang w:val="en-GB" w:eastAsia="en-US"/>
    </w:rPr>
  </w:style>
  <w:style w:type="character" w:styleId="HTMLCite">
    <w:name w:val="HTML Cite"/>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MS Mincho"/>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customStyle="1" w:styleId="GridTable31">
    <w:name w:val="Grid Table 31"/>
    <w:basedOn w:val="Heading1"/>
    <w:next w:val="Normal"/>
    <w:uiPriority w:val="39"/>
    <w:semiHidden/>
    <w:unhideWhenUsed/>
    <w:qFormat/>
    <w:locked/>
    <w:rsid w:val="006477A0"/>
    <w:pPr>
      <w:keepLines/>
      <w:numPr>
        <w:numId w:val="0"/>
      </w:numPr>
      <w:spacing w:before="480" w:after="0" w:line="276" w:lineRule="auto"/>
      <w:outlineLvl w:val="9"/>
    </w:pPr>
    <w:rPr>
      <w:rFonts w:ascii="Cambria" w:eastAsia="MS Gothic" w:hAnsi="Cambria"/>
      <w:bCs/>
      <w:color w:val="365F91"/>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Calibri" w:eastAsia="MS Mincho" w:hAnsi="Calibr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Calibri" w:eastAsia="MS Mincho" w:hAnsi="Calibr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Calibri" w:eastAsia="MS Mincho" w:hAnsi="Calibr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Calibri" w:eastAsia="MS Mincho" w:hAnsi="Calibr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Calibri" w:eastAsia="MS Mincho" w:hAnsi="Calibr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Calibri" w:eastAsia="MS Mincho" w:hAnsi="Calibri"/>
      <w:szCs w:val="22"/>
      <w:lang w:val="en-AU" w:eastAsia="en-AU"/>
    </w:rPr>
  </w:style>
  <w:style w:type="character" w:styleId="Strong">
    <w:name w:val="Strong"/>
    <w:uiPriority w:val="22"/>
    <w:qFormat/>
    <w:locked/>
    <w:rsid w:val="00FC0BC1"/>
    <w:rPr>
      <w:b/>
      <w:bCs/>
    </w:rPr>
  </w:style>
  <w:style w:type="paragraph" w:styleId="BodyText">
    <w:name w:val="Body Text"/>
    <w:basedOn w:val="Normal"/>
    <w:link w:val="BodyTextChar"/>
    <w:uiPriority w:val="99"/>
    <w:unhideWhenUsed/>
    <w:locked/>
    <w:rsid w:val="009F7536"/>
    <w:pPr>
      <w:spacing w:after="120"/>
    </w:pPr>
  </w:style>
  <w:style w:type="character" w:customStyle="1" w:styleId="BodyTextChar">
    <w:name w:val="Body Text Char"/>
    <w:link w:val="BodyText"/>
    <w:uiPriority w:val="99"/>
    <w:rsid w:val="009F7536"/>
    <w:rPr>
      <w:rFonts w:ascii="Times New Roman" w:hAnsi="Times New Roman"/>
      <w:sz w:val="22"/>
      <w:lang w:val="en-GB" w:eastAsia="en-US"/>
    </w:rPr>
  </w:style>
  <w:style w:type="character" w:styleId="FollowedHyperlink">
    <w:name w:val="FollowedHyperlink"/>
    <w:uiPriority w:val="99"/>
    <w:semiHidden/>
    <w:unhideWhenUsed/>
    <w:locked/>
    <w:rsid w:val="00DD695A"/>
    <w:rPr>
      <w:color w:val="800080"/>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9"/>
      </w:numPr>
    </w:pPr>
  </w:style>
  <w:style w:type="paragraph" w:customStyle="1" w:styleId="LetteredList">
    <w:name w:val="Lettered List"/>
    <w:basedOn w:val="Bullet"/>
    <w:qFormat/>
    <w:rsid w:val="009A7020"/>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7"/>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lang w:val="en-US"/>
    </w:rPr>
  </w:style>
  <w:style w:type="character" w:customStyle="1" w:styleId="EndNoteBibliographyTitleChar">
    <w:name w:val="EndNote Bibliography Title Char"/>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lang w:val="en-US"/>
    </w:rPr>
  </w:style>
  <w:style w:type="character" w:customStyle="1" w:styleId="EndNoteBibliographyChar">
    <w:name w:val="EndNote Bibliography Char"/>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eastAsia="en-US"/>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8"/>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eastAsia="en-US"/>
    </w:rPr>
  </w:style>
  <w:style w:type="character" w:customStyle="1" w:styleId="TableTextChar2">
    <w:name w:val="TableText Char2"/>
    <w:link w:val="TableText0"/>
    <w:uiPriority w:val="99"/>
    <w:locked/>
    <w:rsid w:val="00040925"/>
    <w:rPr>
      <w:rFonts w:ascii="Arial Narrow" w:hAnsi="Arial Narrow"/>
      <w:sz w:val="18"/>
      <w:lang w:val="en-GB" w:eastAsia="en-US"/>
    </w:rPr>
  </w:style>
  <w:style w:type="paragraph" w:customStyle="1" w:styleId="FigureNotes">
    <w:name w:val="FigureNotes"/>
    <w:basedOn w:val="Normal"/>
    <w:uiPriority w:val="99"/>
    <w:rsid w:val="00040925"/>
    <w:rPr>
      <w:rFonts w:ascii="Arial Narrow" w:eastAsia="Times New Roman" w:hAnsi="Arial Narrow"/>
      <w:sz w:val="16"/>
      <w:lang w:val="en-AU"/>
    </w:rPr>
  </w:style>
  <w:style w:type="paragraph" w:customStyle="1" w:styleId="Note">
    <w:name w:val="Note"/>
    <w:basedOn w:val="Normal"/>
    <w:next w:val="Normal"/>
    <w:link w:val="NoteChar"/>
    <w:qFormat/>
    <w:rsid w:val="00F40C9E"/>
    <w:pPr>
      <w:spacing w:before="200" w:after="120" w:line="276" w:lineRule="auto"/>
    </w:pPr>
    <w:rPr>
      <w:rFonts w:ascii="Arial" w:eastAsia="Calibri" w:hAnsi="Arial"/>
      <w:i/>
      <w:sz w:val="16"/>
      <w:szCs w:val="16"/>
      <w:lang w:val="en-AU"/>
    </w:rPr>
  </w:style>
  <w:style w:type="character" w:customStyle="1" w:styleId="NoteChar">
    <w:name w:val="Note Char"/>
    <w:link w:val="Note"/>
    <w:rsid w:val="00F40C9E"/>
    <w:rPr>
      <w:rFonts w:ascii="Arial" w:eastAsia="Calibri" w:hAnsi="Arial" w:cs="Times New Roman"/>
      <w:i/>
      <w:sz w:val="16"/>
      <w:szCs w:val="16"/>
      <w:lang w:eastAsia="en-US"/>
    </w:rPr>
  </w:style>
  <w:style w:type="paragraph" w:customStyle="1" w:styleId="Bulletpoint">
    <w:name w:val="Bullet point"/>
    <w:basedOn w:val="ListBullet"/>
    <w:qFormat/>
    <w:rsid w:val="00F40C9E"/>
    <w:pPr>
      <w:numPr>
        <w:numId w:val="10"/>
      </w:numPr>
      <w:tabs>
        <w:tab w:val="left" w:pos="340"/>
      </w:tabs>
      <w:spacing w:before="120" w:after="0" w:line="276" w:lineRule="auto"/>
      <w:ind w:left="357" w:hanging="357"/>
      <w:contextualSpacing w:val="0"/>
    </w:pPr>
    <w:rPr>
      <w:rFonts w:ascii="Arial" w:eastAsia="Calibri" w:hAnsi="Arial"/>
      <w:szCs w:val="22"/>
      <w:lang w:val="en-AU"/>
    </w:rPr>
  </w:style>
  <w:style w:type="numbering" w:customStyle="1" w:styleId="NoList1">
    <w:name w:val="No List1"/>
    <w:next w:val="NoList"/>
    <w:uiPriority w:val="99"/>
    <w:semiHidden/>
    <w:unhideWhenUsed/>
    <w:rsid w:val="009D43B5"/>
  </w:style>
  <w:style w:type="table" w:customStyle="1" w:styleId="TableGrid1">
    <w:name w:val="Table Grid1"/>
    <w:basedOn w:val="TableNormal"/>
    <w:next w:val="TableGrid"/>
    <w:uiPriority w:val="59"/>
    <w:locked/>
    <w:rsid w:val="009D43B5"/>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locked/>
    <w:rsid w:val="009D43B5"/>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table" w:customStyle="1" w:styleId="icrctable1">
    <w:name w:val="icrc table1"/>
    <w:basedOn w:val="TableSimple1"/>
    <w:locked/>
    <w:rsid w:val="009D43B5"/>
    <w:rPr>
      <w:rFonts w:ascii="Arial Narrow" w:hAnsi="Arial Narrow"/>
      <w:sz w:val="18"/>
      <w:lang w:val="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customStyle="1" w:styleId="TableSimple11">
    <w:name w:val="Table Simple 11"/>
    <w:basedOn w:val="TableNormal"/>
    <w:next w:val="TableSimple1"/>
    <w:locked/>
    <w:rsid w:val="009D43B5"/>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ICRC1">
    <w:name w:val="ICRC1"/>
    <w:locked/>
    <w:rsid w:val="009D43B5"/>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ColorfulList-Accent110">
    <w:name w:val="Colorful List - Accent 11"/>
    <w:basedOn w:val="Normal"/>
    <w:uiPriority w:val="99"/>
    <w:qFormat/>
    <w:locked/>
    <w:rsid w:val="00EF19E9"/>
    <w:pPr>
      <w:spacing w:after="200" w:line="276" w:lineRule="auto"/>
      <w:ind w:left="720"/>
      <w:contextualSpacing/>
    </w:pPr>
    <w:rPr>
      <w:rFonts w:eastAsia="PMingLiU"/>
      <w:szCs w:val="22"/>
      <w:lang w:eastAsia="zh-TW"/>
    </w:rPr>
  </w:style>
  <w:style w:type="paragraph" w:customStyle="1" w:styleId="ColorfulGrid-Accent110">
    <w:name w:val="Colorful Grid - Accent 11"/>
    <w:basedOn w:val="Normal"/>
    <w:link w:val="ColorfulGrid-Accent1Char"/>
    <w:uiPriority w:val="99"/>
    <w:qFormat/>
    <w:rsid w:val="00CA7AFB"/>
    <w:pPr>
      <w:spacing w:line="240" w:lineRule="atLeast"/>
      <w:ind w:left="360" w:right="360"/>
    </w:pPr>
    <w:rPr>
      <w:sz w:val="20"/>
      <w:lang w:val="en-AU" w:eastAsia="en-AU"/>
    </w:rPr>
  </w:style>
  <w:style w:type="character" w:customStyle="1" w:styleId="ColorfulGrid-Accent1Char">
    <w:name w:val="Colorful Grid - Accent 1 Char"/>
    <w:link w:val="ColorfulGrid-Accent110"/>
    <w:uiPriority w:val="99"/>
    <w:locked/>
    <w:rsid w:val="00CA7AFB"/>
    <w:rPr>
      <w:rFonts w:ascii="Times New Roman" w:hAnsi="Times New Roman"/>
      <w:lang w:eastAsia="en-AU"/>
    </w:rPr>
  </w:style>
  <w:style w:type="paragraph" w:customStyle="1" w:styleId="ColorfulShading-Accent110">
    <w:name w:val="Colorful Shading - Accent 11"/>
    <w:hidden/>
    <w:semiHidden/>
    <w:rsid w:val="00CA7AFB"/>
    <w:rPr>
      <w:rFonts w:ascii="Times New Roman" w:eastAsia="SimSun" w:hAnsi="Times New Roman"/>
      <w:sz w:val="22"/>
      <w:lang w:val="en-GB" w:eastAsia="en-US"/>
    </w:rPr>
  </w:style>
  <w:style w:type="character" w:customStyle="1" w:styleId="MediumGrid110">
    <w:name w:val="Medium Grid 11"/>
    <w:uiPriority w:val="99"/>
    <w:semiHidden/>
    <w:locked/>
    <w:rsid w:val="00CA7AFB"/>
    <w:rPr>
      <w:color w:val="808080"/>
    </w:rPr>
  </w:style>
  <w:style w:type="paragraph" w:customStyle="1" w:styleId="GridTable310">
    <w:name w:val="Grid Table 31"/>
    <w:basedOn w:val="Heading1"/>
    <w:next w:val="Normal"/>
    <w:uiPriority w:val="39"/>
    <w:semiHidden/>
    <w:unhideWhenUsed/>
    <w:qFormat/>
    <w:locked/>
    <w:rsid w:val="00CA7AFB"/>
    <w:pPr>
      <w:keepLines/>
      <w:numPr>
        <w:numId w:val="0"/>
      </w:numPr>
      <w:spacing w:before="480" w:after="0" w:line="276" w:lineRule="auto"/>
      <w:outlineLvl w:val="9"/>
    </w:pPr>
    <w:rPr>
      <w:rFonts w:ascii="Cambria" w:eastAsia="MS Gothic" w:hAnsi="Cambria"/>
      <w:bCs/>
      <w:color w:val="365F91"/>
      <w:kern w:val="0"/>
      <w:sz w:val="28"/>
      <w:szCs w:val="28"/>
      <w:lang w:val="en-US"/>
    </w:rPr>
  </w:style>
  <w:style w:type="character" w:customStyle="1" w:styleId="Network-bodytext">
    <w:name w:val="Network - body text"/>
    <w:qFormat/>
    <w:rsid w:val="00CA7AFB"/>
    <w:rPr>
      <w:rFonts w:ascii="Arial" w:hAnsi="Arial"/>
      <w:color w:val="595959"/>
      <w:spacing w:val="0"/>
      <w:kern w:val="3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09416399">
      <w:bodyDiv w:val="1"/>
      <w:marLeft w:val="0"/>
      <w:marRight w:val="0"/>
      <w:marTop w:val="0"/>
      <w:marBottom w:val="0"/>
      <w:divBdr>
        <w:top w:val="none" w:sz="0" w:space="0" w:color="auto"/>
        <w:left w:val="none" w:sz="0" w:space="0" w:color="auto"/>
        <w:bottom w:val="none" w:sz="0" w:space="0" w:color="auto"/>
        <w:right w:val="none" w:sz="0" w:space="0" w:color="auto"/>
      </w:divBdr>
    </w:div>
    <w:div w:id="212426281">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44994566">
      <w:bodyDiv w:val="1"/>
      <w:marLeft w:val="0"/>
      <w:marRight w:val="0"/>
      <w:marTop w:val="0"/>
      <w:marBottom w:val="0"/>
      <w:divBdr>
        <w:top w:val="none" w:sz="0" w:space="0" w:color="auto"/>
        <w:left w:val="none" w:sz="0" w:space="0" w:color="auto"/>
        <w:bottom w:val="none" w:sz="0" w:space="0" w:color="auto"/>
        <w:right w:val="none" w:sz="0" w:space="0" w:color="auto"/>
      </w:divBdr>
    </w:div>
    <w:div w:id="257299102">
      <w:bodyDiv w:val="1"/>
      <w:marLeft w:val="0"/>
      <w:marRight w:val="0"/>
      <w:marTop w:val="0"/>
      <w:marBottom w:val="0"/>
      <w:divBdr>
        <w:top w:val="none" w:sz="0" w:space="0" w:color="auto"/>
        <w:left w:val="none" w:sz="0" w:space="0" w:color="auto"/>
        <w:bottom w:val="none" w:sz="0" w:space="0" w:color="auto"/>
        <w:right w:val="none" w:sz="0" w:space="0" w:color="auto"/>
      </w:divBdr>
    </w:div>
    <w:div w:id="261451038">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47877329">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83791579">
      <w:bodyDiv w:val="1"/>
      <w:marLeft w:val="0"/>
      <w:marRight w:val="0"/>
      <w:marTop w:val="0"/>
      <w:marBottom w:val="0"/>
      <w:divBdr>
        <w:top w:val="none" w:sz="0" w:space="0" w:color="auto"/>
        <w:left w:val="none" w:sz="0" w:space="0" w:color="auto"/>
        <w:bottom w:val="none" w:sz="0" w:space="0" w:color="auto"/>
        <w:right w:val="none" w:sz="0" w:space="0" w:color="auto"/>
      </w:divBdr>
    </w:div>
    <w:div w:id="393817014">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43120290">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72747137">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58618760">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26429418">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049649269">
      <w:bodyDiv w:val="1"/>
      <w:marLeft w:val="0"/>
      <w:marRight w:val="0"/>
      <w:marTop w:val="0"/>
      <w:marBottom w:val="0"/>
      <w:divBdr>
        <w:top w:val="none" w:sz="0" w:space="0" w:color="auto"/>
        <w:left w:val="none" w:sz="0" w:space="0" w:color="auto"/>
        <w:bottom w:val="none" w:sz="0" w:space="0" w:color="auto"/>
        <w:right w:val="none" w:sz="0" w:space="0" w:color="auto"/>
      </w:divBdr>
    </w:div>
    <w:div w:id="1054234357">
      <w:bodyDiv w:val="1"/>
      <w:marLeft w:val="0"/>
      <w:marRight w:val="0"/>
      <w:marTop w:val="0"/>
      <w:marBottom w:val="0"/>
      <w:divBdr>
        <w:top w:val="none" w:sz="0" w:space="0" w:color="auto"/>
        <w:left w:val="none" w:sz="0" w:space="0" w:color="auto"/>
        <w:bottom w:val="none" w:sz="0" w:space="0" w:color="auto"/>
        <w:right w:val="none" w:sz="0" w:space="0" w:color="auto"/>
      </w:divBdr>
    </w:div>
    <w:div w:id="1081147996">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2400867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09241196">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363628181">
      <w:bodyDiv w:val="1"/>
      <w:marLeft w:val="0"/>
      <w:marRight w:val="0"/>
      <w:marTop w:val="0"/>
      <w:marBottom w:val="0"/>
      <w:divBdr>
        <w:top w:val="none" w:sz="0" w:space="0" w:color="auto"/>
        <w:left w:val="none" w:sz="0" w:space="0" w:color="auto"/>
        <w:bottom w:val="none" w:sz="0" w:space="0" w:color="auto"/>
        <w:right w:val="none" w:sz="0" w:space="0" w:color="auto"/>
      </w:divBdr>
    </w:div>
    <w:div w:id="1381515026">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53400624">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545366041">
      <w:bodyDiv w:val="1"/>
      <w:marLeft w:val="0"/>
      <w:marRight w:val="0"/>
      <w:marTop w:val="0"/>
      <w:marBottom w:val="0"/>
      <w:divBdr>
        <w:top w:val="none" w:sz="0" w:space="0" w:color="auto"/>
        <w:left w:val="none" w:sz="0" w:space="0" w:color="auto"/>
        <w:bottom w:val="none" w:sz="0" w:space="0" w:color="auto"/>
        <w:right w:val="none" w:sz="0" w:space="0" w:color="auto"/>
      </w:divBdr>
    </w:div>
    <w:div w:id="157905363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825198">
      <w:bodyDiv w:val="1"/>
      <w:marLeft w:val="0"/>
      <w:marRight w:val="0"/>
      <w:marTop w:val="0"/>
      <w:marBottom w:val="0"/>
      <w:divBdr>
        <w:top w:val="none" w:sz="0" w:space="0" w:color="auto"/>
        <w:left w:val="none" w:sz="0" w:space="0" w:color="auto"/>
        <w:bottom w:val="none" w:sz="0" w:space="0" w:color="auto"/>
        <w:right w:val="none" w:sz="0" w:space="0" w:color="auto"/>
      </w:divBdr>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7389420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28924365">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97144">
      <w:bodyDiv w:val="1"/>
      <w:marLeft w:val="0"/>
      <w:marRight w:val="0"/>
      <w:marTop w:val="0"/>
      <w:marBottom w:val="0"/>
      <w:divBdr>
        <w:top w:val="none" w:sz="0" w:space="0" w:color="auto"/>
        <w:left w:val="none" w:sz="0" w:space="0" w:color="auto"/>
        <w:bottom w:val="none" w:sz="0" w:space="0" w:color="auto"/>
        <w:right w:val="none" w:sz="0" w:space="0" w:color="auto"/>
      </w:divBdr>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64985108">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79742285">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09947668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chart" Target="charts/chart6.xml"/><Relationship Id="rId55" Type="http://schemas.openxmlformats.org/officeDocument/2006/relationships/header" Target="header30.xml"/><Relationship Id="rId63" Type="http://schemas.openxmlformats.org/officeDocument/2006/relationships/header" Target="header37.xml"/><Relationship Id="rId68" Type="http://schemas.openxmlformats.org/officeDocument/2006/relationships/header" Target="header41.xml"/><Relationship Id="rId76"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4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6.png"/><Relationship Id="rId37" Type="http://schemas.openxmlformats.org/officeDocument/2006/relationships/chart" Target="charts/chart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3.xml"/><Relationship Id="rId66" Type="http://schemas.openxmlformats.org/officeDocument/2006/relationships/header" Target="header39.xml"/><Relationship Id="rId74" Type="http://schemas.openxmlformats.org/officeDocument/2006/relationships/header" Target="header46.xml"/><Relationship Id="rId79"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header" Target="header35.xml"/><Relationship Id="rId65" Type="http://schemas.openxmlformats.org/officeDocument/2006/relationships/header" Target="header38.xml"/><Relationship Id="rId73" Type="http://schemas.openxmlformats.org/officeDocument/2006/relationships/header" Target="header45.xml"/><Relationship Id="rId78" Type="http://schemas.openxmlformats.org/officeDocument/2006/relationships/header" Target="header5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crc.act.gov.au" TargetMode="Externa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chart" Target="charts/chart2.xm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footer" Target="footer8.xml"/><Relationship Id="rId69" Type="http://schemas.openxmlformats.org/officeDocument/2006/relationships/header" Target="header42.xml"/><Relationship Id="rId77" Type="http://schemas.openxmlformats.org/officeDocument/2006/relationships/header" Target="header49.xml"/><Relationship Id="rId8" Type="http://schemas.openxmlformats.org/officeDocument/2006/relationships/header" Target="header1.xml"/><Relationship Id="rId51" Type="http://schemas.openxmlformats.org/officeDocument/2006/relationships/chart" Target="charts/chart7.xml"/><Relationship Id="rId72" Type="http://schemas.openxmlformats.org/officeDocument/2006/relationships/header" Target="header4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chart" Target="charts/chart5.xml"/><Relationship Id="rId46" Type="http://schemas.openxmlformats.org/officeDocument/2006/relationships/header" Target="header23.xml"/><Relationship Id="rId59" Type="http://schemas.openxmlformats.org/officeDocument/2006/relationships/header" Target="header34.xml"/><Relationship Id="rId67" Type="http://schemas.openxmlformats.org/officeDocument/2006/relationships/header" Target="header40.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hyperlink" Target="file:///C:\Users\Nicholas\AppData\Roaming\Microsoft\Word\www.sydneywater.com.au\SW\accounts-billing\understanding-your-bill\our-prices\index.htm" TargetMode="External"/><Relationship Id="rId75"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rc@act.gov.au" TargetMode="External"/><Relationship Id="rId23" Type="http://schemas.openxmlformats.org/officeDocument/2006/relationships/footer" Target="footer6.xml"/><Relationship Id="rId28" Type="http://schemas.openxmlformats.org/officeDocument/2006/relationships/header" Target="header13.xml"/><Relationship Id="rId36" Type="http://schemas.openxmlformats.org/officeDocument/2006/relationships/chart" Target="charts/chart3.xml"/><Relationship Id="rId49" Type="http://schemas.openxmlformats.org/officeDocument/2006/relationships/header" Target="header26.xml"/><Relationship Id="rId57" Type="http://schemas.openxmlformats.org/officeDocument/2006/relationships/header" Target="header3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iconwater.com.au/Water-and-Sewerage-System/Dams/Cotter-Dam.aspx" TargetMode="External"/><Relationship Id="rId1" Type="http://schemas.openxmlformats.org/officeDocument/2006/relationships/hyperlink" Target="https://www.iconwater.com.au/Water-and-Sewerage-System/Dams/Cotter-Dam.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ct.gov.au\treasury\dt\ICRC\ICRC%20RECORDS%20MANAGEMENT\UTILITIES%20&amp;%20INFRASTRUCTURE%20REGULATION\Determinations%20(Regulated%20Industries)\Water%20Price%20Review%202013-18%20Tariff%20Review%20%231310944\B%20Reports\5%20Final%20report\Data%20sheets\Water%20Supply%20and%20Usage%20Charges%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treasury\dt\ICRC\ICRC%20RECORDS%20MANAGEMENT\UTILITIES%20&amp;%20INFRASTRUCTURE%20REGULATION\Determinations%20(Regulated%20Industries)\Water%20Price%20Review%202013-18%20Tariff%20Review%20%231310944\B%20Reports\5%20Final%20report\Data%20sheets\Water%20Supply%20and%20Usage%20Charge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ct.gov.au\treasury\dt\ICRC\ICRC%20RECORDS%20MANAGEMENT\UTILITIES%20&amp;%20INFRASTRUCTURE%20REGULATION\Determinations%20(Regulated%20Industries)\Water%20Price%20Review%202013-18%20Tariff%20Review%20%231310944\B%20Reports\5%20Final%20report\Data%20sheets\Water%20Supply%20and%20Usage%20Charges%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act.gov.au\treasury\dt\ICRC\ICRC%20RECORDS%20MANAGEMENT\UTILITIES%20&amp;%20INFRASTRUCTURE%20REGULATION\Determinations%20(Regulated%20Industries)\Water%20Price%20Review%202013-18%20Tariff%20Review%20%231310944\B%20Reports\5%20Final%20report\Data%20sheets\Water%20Supply%20and%20Usage%20Charges%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ct.gov.au\treasury\dt\ICRC\ICRC%20RECORDS%20MANAGEMENT\UTILITIES%20&amp;%20INFRASTRUCTURE%20REGULATION\Determinations%20(Regulated%20Industries)\Water%20Price%20Review%202013-18%20Tariff%20Review%20%231310944\B%20Reports\5%20Final%20report\Data%20sheets\Dam%20levels%20chart%20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oleObject" Target="file:///\\act.gov.au\treasury\dt\ICRC\ICRC%20RECORDS%20MANAGEMENT\UTILITIES%20&amp;%20INFRASTRUCTURE%20REGULATION\Determinations%20(Regulated%20Industries)\Water%20Price%20Review%202013-18%20Tariff%20Review%20%231310944\E%20Modelling\2%20MargCost\ICRC_MCost_2016_modelv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1821391543139"/>
          <c:y val="0.1193745483378207"/>
          <c:w val="0.78848271358424704"/>
          <c:h val="0.59477025502555803"/>
        </c:manualLayout>
      </c:layout>
      <c:barChart>
        <c:barDir val="col"/>
        <c:grouping val="clustered"/>
        <c:varyColors val="0"/>
        <c:ser>
          <c:idx val="1"/>
          <c:order val="1"/>
          <c:spPr>
            <a:solidFill>
              <a:srgbClr val="17375E"/>
            </a:solidFill>
            <a:ln>
              <a:noFill/>
            </a:ln>
            <a:effectLst/>
          </c:spPr>
          <c:invertIfNegative val="0"/>
          <c:dPt>
            <c:idx val="2"/>
            <c:invertIfNegative val="0"/>
            <c:bubble3D val="0"/>
            <c:spPr>
              <a:solidFill>
                <a:srgbClr val="953735"/>
              </a:solidFill>
              <a:ln>
                <a:noFill/>
              </a:ln>
              <a:effectLst/>
            </c:spPr>
          </c:dPt>
          <c:dPt>
            <c:idx val="3"/>
            <c:invertIfNegative val="0"/>
            <c:bubble3D val="0"/>
            <c:spPr>
              <a:solidFill>
                <a:srgbClr val="17375E"/>
              </a:solidFill>
              <a:ln>
                <a:noFill/>
              </a:ln>
              <a:effectLst/>
            </c:spPr>
          </c:dPt>
          <c:dLbls>
            <c:dLbl>
              <c:idx val="1"/>
              <c:layout>
                <c:manualLayout>
                  <c:x val="0"/>
                  <c:y val="5.46604017822022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744953394295065E-17"/>
                  <c:y val="6.640637375949308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Sheet1!$G$4:$G$12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Sheet1!$I$4:$I$12</c:f>
              <c:numCache>
                <c:formatCode>"$"#,##0</c:formatCode>
                <c:ptCount val="9"/>
                <c:pt idx="0">
                  <c:v>228</c:v>
                </c:pt>
                <c:pt idx="1">
                  <c:v>25.69</c:v>
                </c:pt>
                <c:pt idx="2">
                  <c:v>101.48</c:v>
                </c:pt>
                <c:pt idx="3">
                  <c:v>293.06</c:v>
                </c:pt>
                <c:pt idx="4">
                  <c:v>192.48</c:v>
                </c:pt>
                <c:pt idx="5">
                  <c:v>286.39999999999998</c:v>
                </c:pt>
                <c:pt idx="6">
                  <c:v>120.8</c:v>
                </c:pt>
                <c:pt idx="7">
                  <c:v>89.98</c:v>
                </c:pt>
                <c:pt idx="8">
                  <c:v>329.48</c:v>
                </c:pt>
              </c:numCache>
            </c:numRef>
          </c:val>
        </c:ser>
        <c:dLbls>
          <c:showLegendKey val="0"/>
          <c:showVal val="0"/>
          <c:showCatName val="0"/>
          <c:showSerName val="0"/>
          <c:showPercent val="0"/>
          <c:showBubbleSize val="0"/>
        </c:dLbls>
        <c:gapWidth val="75"/>
        <c:overlap val="100"/>
        <c:axId val="179080856"/>
        <c:axId val="17908046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Sheet1!$G$4:$G$12</c15:sqref>
                        </c15:formulaRef>
                      </c:ext>
                    </c:extLst>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extLst>
                      <c:ext uri="{02D57815-91ED-43cb-92C2-25804820EDAC}">
                        <c15:formulaRef>
                          <c15:sqref>Sheet1!$H$4:$H$12</c15:sqref>
                        </c15:formulaRef>
                      </c:ext>
                    </c:extLst>
                    <c:numCache>
                      <c:formatCode>General</c:formatCode>
                      <c:ptCount val="9"/>
                    </c:numCache>
                  </c:numRef>
                </c:val>
              </c15:ser>
            </c15:filteredBarSeries>
          </c:ext>
        </c:extLst>
      </c:barChart>
      <c:catAx>
        <c:axId val="17908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080464"/>
        <c:crosses val="autoZero"/>
        <c:auto val="1"/>
        <c:lblAlgn val="ctr"/>
        <c:lblOffset val="100"/>
        <c:noMultiLvlLbl val="0"/>
      </c:catAx>
      <c:valAx>
        <c:axId val="17908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 per year</a:t>
                </a:r>
              </a:p>
            </c:rich>
          </c:tx>
          <c:layout>
            <c:manualLayout>
              <c:xMode val="edge"/>
              <c:yMode val="edge"/>
              <c:x val="6.9310944483644901E-3"/>
              <c:y val="0.2892928702214610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08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8703375993187"/>
          <c:y val="9.458994999926687E-2"/>
          <c:w val="0.85761395943358021"/>
          <c:h val="0.66142302347953108"/>
        </c:manualLayout>
      </c:layout>
      <c:barChart>
        <c:barDir val="col"/>
        <c:grouping val="clustered"/>
        <c:varyColors val="0"/>
        <c:ser>
          <c:idx val="0"/>
          <c:order val="0"/>
          <c:tx>
            <c:strRef>
              <c:f>Sheet1!$C$3</c:f>
              <c:strCache>
                <c:ptCount val="1"/>
                <c:pt idx="0">
                  <c:v>Tier 1</c:v>
                </c:pt>
              </c:strCache>
            </c:strRef>
          </c:tx>
          <c:spPr>
            <a:solidFill>
              <a:srgbClr val="953735"/>
            </a:solidFill>
            <a:ln>
              <a:noFill/>
            </a:ln>
            <a:effectLst/>
          </c:spPr>
          <c:invertIfNegative val="0"/>
          <c:dLbls>
            <c:dLbl>
              <c:idx val="0"/>
              <c:layout>
                <c:manualLayout>
                  <c:x val="-1.1792373440321694E-3"/>
                  <c:y val="-4.68122706381159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072217142701184E-2"/>
                  <c:y val="-2.6246719160110516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56218389313967E-2"/>
                  <c:y val="-9.7900262467195422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343275839709507E-2"/>
                  <c:y val="1.6797900262467192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12436778627934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091840772936312E-2"/>
                  <c:y val="-7.352810536691963E-2"/>
                </c:manualLayout>
              </c:layout>
              <c:spPr>
                <a:noFill/>
                <a:ln>
                  <a:noFill/>
                </a:ln>
                <a:effectLst/>
              </c:spPr>
              <c:txPr>
                <a:bodyPr rot="0" spcFirstLastPara="1" vertOverflow="ellipsis" vert="horz" wrap="square" lIns="38100" tIns="19050" rIns="38100" bIns="19050" anchor="t" anchorCtr="0">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6013864818024263E-2"/>
                      <c:h val="3.2473723589981116E-2"/>
                    </c:manualLayout>
                  </c15:layout>
                </c:ext>
              </c:extLst>
            </c:dLbl>
            <c:dLbl>
              <c:idx val="7"/>
              <c:layout>
                <c:manualLayout>
                  <c:x val="2.3343275839709507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5562183893139481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Sheet1!$C$4:$C$12</c:f>
              <c:numCache>
                <c:formatCode>"$"#,##0.00</c:formatCode>
                <c:ptCount val="9"/>
                <c:pt idx="0">
                  <c:v>2.39</c:v>
                </c:pt>
                <c:pt idx="1">
                  <c:v>2.25</c:v>
                </c:pt>
                <c:pt idx="2">
                  <c:v>2.61</c:v>
                </c:pt>
                <c:pt idx="3">
                  <c:v>1.92</c:v>
                </c:pt>
                <c:pt idx="4">
                  <c:v>0.76818399999999998</c:v>
                </c:pt>
                <c:pt idx="5">
                  <c:v>2.27</c:v>
                </c:pt>
                <c:pt idx="6">
                  <c:v>2.61</c:v>
                </c:pt>
                <c:pt idx="7">
                  <c:v>2</c:v>
                </c:pt>
                <c:pt idx="8">
                  <c:v>0.99539999999999995</c:v>
                </c:pt>
              </c:numCache>
            </c:numRef>
          </c:val>
        </c:ser>
        <c:ser>
          <c:idx val="1"/>
          <c:order val="1"/>
          <c:tx>
            <c:strRef>
              <c:f>Sheet1!$D$3</c:f>
              <c:strCache>
                <c:ptCount val="1"/>
                <c:pt idx="0">
                  <c:v>Tier 2</c:v>
                </c:pt>
              </c:strCache>
            </c:strRef>
          </c:tx>
          <c:spPr>
            <a:solidFill>
              <a:srgbClr val="4F81BD"/>
            </a:solidFill>
            <a:ln>
              <a:noFill/>
            </a:ln>
            <a:effectLst/>
          </c:spPr>
          <c:invertIfNegative val="0"/>
          <c:dLbls>
            <c:dLbl>
              <c:idx val="0"/>
              <c:layout>
                <c:manualLayout>
                  <c:x val="-1.0374789262093113E-2"/>
                  <c:y val="-0.121812335958005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354330708661397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045429113389405E-3"/>
                  <c:y val="8.8740038716879843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124367786279437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4840768387486244E-3"/>
                  <c:y val="-0.1281942019690977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5464920243807539E-2"/>
                      <c:h val="6.568766404199474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Sheet1!$D$4:$D$12</c:f>
              <c:numCache>
                <c:formatCode>General</c:formatCode>
                <c:ptCount val="9"/>
                <c:pt idx="0" formatCode="&quot;$&quot;#,##0.00">
                  <c:v>2.82</c:v>
                </c:pt>
                <c:pt idx="2" formatCode="&quot;$&quot;#,##0.00">
                  <c:v>5.24</c:v>
                </c:pt>
                <c:pt idx="4" formatCode="&quot;$&quot;#,##0.00">
                  <c:v>1.45364</c:v>
                </c:pt>
                <c:pt idx="5" formatCode="&quot;$&quot;#,##0.00">
                  <c:v>3.24</c:v>
                </c:pt>
                <c:pt idx="6" formatCode="&quot;$&quot;#,##0.00">
                  <c:v>3.17</c:v>
                </c:pt>
              </c:numCache>
            </c:numRef>
          </c:val>
        </c:ser>
        <c:ser>
          <c:idx val="2"/>
          <c:order val="2"/>
          <c:tx>
            <c:strRef>
              <c:f>Sheet1!$E$3</c:f>
              <c:strCache>
                <c:ptCount val="1"/>
                <c:pt idx="0">
                  <c:v>Tier 3</c:v>
                </c:pt>
              </c:strCache>
            </c:strRef>
          </c:tx>
          <c:spPr>
            <a:solidFill>
              <a:schemeClr val="tx1"/>
            </a:solidFill>
            <a:ln>
              <a:noFill/>
            </a:ln>
            <a:effectLst/>
          </c:spPr>
          <c:invertIfNegative val="0"/>
          <c:dLbls>
            <c:dLbl>
              <c:idx val="0"/>
              <c:layout>
                <c:manualLayout>
                  <c:x val="2.5040552773191047E-2"/>
                  <c:y val="-3.429888006080715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5261489194267517E-3"/>
                  <c:y val="-3.637486490659256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6013864818024263E-2"/>
                      <c:h val="3.5490314841866488E-2"/>
                    </c:manualLayout>
                  </c15:layout>
                </c:ext>
              </c:extLst>
            </c:dLbl>
            <c:dLbl>
              <c:idx val="6"/>
              <c:layout>
                <c:manualLayout>
                  <c:x val="7.5346734171226868E-4"/>
                  <c:y val="-2.8644552915048516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871309197268882E-2"/>
                      <c:h val="5.318772936188405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Sheet1!$E$4:$E$12</c:f>
              <c:numCache>
                <c:formatCode>General</c:formatCode>
                <c:ptCount val="9"/>
                <c:pt idx="0" formatCode="&quot;$&quot;#,##0.00">
                  <c:v>4.1900000000000004</c:v>
                </c:pt>
                <c:pt idx="5" formatCode="&quot;$&quot;#,##0.00">
                  <c:v>3.51</c:v>
                </c:pt>
                <c:pt idx="6" formatCode="&quot;$&quot;#,##0.00">
                  <c:v>3.7812000000000001</c:v>
                </c:pt>
              </c:numCache>
            </c:numRef>
          </c:val>
        </c:ser>
        <c:dLbls>
          <c:showLegendKey val="0"/>
          <c:showVal val="0"/>
          <c:showCatName val="0"/>
          <c:showSerName val="0"/>
          <c:showPercent val="0"/>
          <c:showBubbleSize val="0"/>
        </c:dLbls>
        <c:gapWidth val="20"/>
        <c:axId val="179079288"/>
        <c:axId val="179080072"/>
      </c:barChart>
      <c:catAx>
        <c:axId val="17907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080072"/>
        <c:crosses val="autoZero"/>
        <c:auto val="1"/>
        <c:lblAlgn val="ctr"/>
        <c:lblOffset val="100"/>
        <c:noMultiLvlLbl val="0"/>
      </c:catAx>
      <c:valAx>
        <c:axId val="179080072"/>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a:solidFill>
                      <a:sysClr val="windowText" lastClr="000000"/>
                    </a:solidFill>
                  </a:rPr>
                  <a:t>$ per kL</a:t>
                </a:r>
              </a:p>
            </c:rich>
          </c:tx>
          <c:layout>
            <c:manualLayout>
              <c:xMode val="edge"/>
              <c:yMode val="edge"/>
              <c:x val="7.810696106660844E-3"/>
              <c:y val="0.34596619992636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79079288"/>
        <c:crosses val="autoZero"/>
        <c:crossBetween val="between"/>
      </c:valAx>
      <c:spPr>
        <a:noFill/>
        <a:ln>
          <a:noFill/>
        </a:ln>
        <a:effectLst/>
      </c:spPr>
    </c:plotArea>
    <c:legend>
      <c:legendPos val="b"/>
      <c:layout>
        <c:manualLayout>
          <c:xMode val="edge"/>
          <c:yMode val="edge"/>
          <c:x val="0.33239742386630416"/>
          <c:y val="2.1789370078740159E-2"/>
          <c:w val="0.39290245962154485"/>
          <c:h val="6.168888542397547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1821391543139"/>
          <c:y val="0.1193745483378207"/>
          <c:w val="0.78848271358424704"/>
          <c:h val="0.59477025502555803"/>
        </c:manualLayout>
      </c:layout>
      <c:barChart>
        <c:barDir val="col"/>
        <c:grouping val="clustered"/>
        <c:varyColors val="0"/>
        <c:ser>
          <c:idx val="1"/>
          <c:order val="1"/>
          <c:spPr>
            <a:solidFill>
              <a:srgbClr val="17375E"/>
            </a:solidFill>
            <a:ln>
              <a:noFill/>
            </a:ln>
            <a:effectLst/>
          </c:spPr>
          <c:invertIfNegative val="0"/>
          <c:dPt>
            <c:idx val="2"/>
            <c:invertIfNegative val="0"/>
            <c:bubble3D val="0"/>
            <c:spPr>
              <a:solidFill>
                <a:srgbClr val="953735"/>
              </a:solidFill>
              <a:ln>
                <a:noFill/>
              </a:ln>
              <a:effectLst/>
            </c:spPr>
          </c:dPt>
          <c:dPt>
            <c:idx val="3"/>
            <c:invertIfNegative val="0"/>
            <c:bubble3D val="0"/>
            <c:spPr>
              <a:solidFill>
                <a:srgbClr val="17375E"/>
              </a:solidFill>
              <a:ln>
                <a:noFill/>
              </a:ln>
              <a:effectLst/>
            </c:spPr>
          </c:dPt>
          <c:dLbls>
            <c:dLbl>
              <c:idx val="1"/>
              <c:layout>
                <c:manualLayout>
                  <c:x val="0"/>
                  <c:y val="5.829346263597159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5744953394295065E-17"/>
                  <c:y val="6.64063737594930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Sheet1!$G$4:$G$12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Sheet1!$I$4:$I$12</c:f>
              <c:numCache>
                <c:formatCode>"$"#,##0</c:formatCode>
                <c:ptCount val="9"/>
                <c:pt idx="0">
                  <c:v>228</c:v>
                </c:pt>
                <c:pt idx="1">
                  <c:v>25.69</c:v>
                </c:pt>
                <c:pt idx="2">
                  <c:v>101.48</c:v>
                </c:pt>
                <c:pt idx="3">
                  <c:v>293.06</c:v>
                </c:pt>
                <c:pt idx="4">
                  <c:v>192.48</c:v>
                </c:pt>
                <c:pt idx="5">
                  <c:v>286.39999999999998</c:v>
                </c:pt>
                <c:pt idx="6">
                  <c:v>120.8</c:v>
                </c:pt>
                <c:pt idx="7">
                  <c:v>89.98</c:v>
                </c:pt>
                <c:pt idx="8">
                  <c:v>329.48</c:v>
                </c:pt>
              </c:numCache>
            </c:numRef>
          </c:val>
        </c:ser>
        <c:dLbls>
          <c:showLegendKey val="0"/>
          <c:showVal val="0"/>
          <c:showCatName val="0"/>
          <c:showSerName val="0"/>
          <c:showPercent val="0"/>
          <c:showBubbleSize val="0"/>
        </c:dLbls>
        <c:gapWidth val="75"/>
        <c:overlap val="100"/>
        <c:axId val="179081640"/>
        <c:axId val="24023166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Sheet1!$G$4:$G$12</c15:sqref>
                        </c15:formulaRef>
                      </c:ext>
                    </c:extLst>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extLst>
                      <c:ext uri="{02D57815-91ED-43cb-92C2-25804820EDAC}">
                        <c15:formulaRef>
                          <c15:sqref>Sheet1!$H$4:$H$12</c15:sqref>
                        </c15:formulaRef>
                      </c:ext>
                    </c:extLst>
                    <c:numCache>
                      <c:formatCode>General</c:formatCode>
                      <c:ptCount val="9"/>
                    </c:numCache>
                  </c:numRef>
                </c:val>
              </c15:ser>
            </c15:filteredBarSeries>
          </c:ext>
        </c:extLst>
      </c:barChart>
      <c:catAx>
        <c:axId val="1790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31664"/>
        <c:crosses val="autoZero"/>
        <c:auto val="1"/>
        <c:lblAlgn val="ctr"/>
        <c:lblOffset val="100"/>
        <c:noMultiLvlLbl val="0"/>
      </c:catAx>
      <c:valAx>
        <c:axId val="2402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 per year</a:t>
                </a:r>
              </a:p>
            </c:rich>
          </c:tx>
          <c:layout>
            <c:manualLayout>
              <c:xMode val="edge"/>
              <c:yMode val="edge"/>
              <c:x val="6.9310944483644901E-3"/>
              <c:y val="0.2892928702214610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08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8703375993187"/>
          <c:y val="9.458994999926687E-2"/>
          <c:w val="0.82725335803612798"/>
          <c:h val="0.50252695941097247"/>
        </c:manualLayout>
      </c:layout>
      <c:barChart>
        <c:barDir val="col"/>
        <c:grouping val="clustered"/>
        <c:varyColors val="0"/>
        <c:ser>
          <c:idx val="0"/>
          <c:order val="0"/>
          <c:tx>
            <c:strRef>
              <c:f>Sheet1!$C$3</c:f>
              <c:strCache>
                <c:ptCount val="1"/>
                <c:pt idx="0">
                  <c:v>Tier 1</c:v>
                </c:pt>
              </c:strCache>
            </c:strRef>
          </c:tx>
          <c:spPr>
            <a:solidFill>
              <a:srgbClr val="953735"/>
            </a:solidFill>
            <a:ln>
              <a:noFill/>
            </a:ln>
            <a:effectLst/>
          </c:spPr>
          <c:invertIfNegative val="0"/>
          <c:dLbls>
            <c:dLbl>
              <c:idx val="0"/>
              <c:layout>
                <c:manualLayout>
                  <c:x val="-1.1792373440321694E-3"/>
                  <c:y val="-4.68122706381159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072217142701184E-2"/>
                  <c:y val="-2.6246719160110516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56218389313967E-2"/>
                  <c:y val="-9.790026246719542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3343275839709507E-2"/>
                  <c:y val="1.679790026246719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112436778627934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0884167680592778E-3"/>
                  <c:y val="-0.10029207569617263"/>
                </c:manualLayout>
              </c:layout>
              <c:spPr>
                <a:noFill/>
                <a:ln>
                  <a:noFill/>
                </a:ln>
                <a:effectLst/>
              </c:spPr>
              <c:txPr>
                <a:bodyPr rot="0" spcFirstLastPara="1" vertOverflow="ellipsis" vert="horz" wrap="square" lIns="38100" tIns="19050" rIns="38100" bIns="19050" anchor="t" anchorCtr="0">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1194051407710665E-2"/>
                      <c:h val="6.6537157307891254E-2"/>
                    </c:manualLayout>
                  </c15:layout>
                </c:ext>
              </c:extLst>
            </c:dLbl>
            <c:dLbl>
              <c:idx val="7"/>
              <c:layout>
                <c:manualLayout>
                  <c:x val="2.3343275839709507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5562183893139481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Sheet1!$C$4:$C$12</c:f>
              <c:numCache>
                <c:formatCode>"$"#,##0.00</c:formatCode>
                <c:ptCount val="9"/>
                <c:pt idx="0">
                  <c:v>2.39</c:v>
                </c:pt>
                <c:pt idx="1">
                  <c:v>2.25</c:v>
                </c:pt>
                <c:pt idx="2">
                  <c:v>2.61</c:v>
                </c:pt>
                <c:pt idx="3">
                  <c:v>1.92</c:v>
                </c:pt>
                <c:pt idx="4">
                  <c:v>0.76818399999999998</c:v>
                </c:pt>
                <c:pt idx="5">
                  <c:v>2.27</c:v>
                </c:pt>
                <c:pt idx="6">
                  <c:v>2.61</c:v>
                </c:pt>
                <c:pt idx="7">
                  <c:v>2</c:v>
                </c:pt>
                <c:pt idx="8">
                  <c:v>0.99539999999999995</c:v>
                </c:pt>
              </c:numCache>
            </c:numRef>
          </c:val>
        </c:ser>
        <c:ser>
          <c:idx val="1"/>
          <c:order val="1"/>
          <c:tx>
            <c:strRef>
              <c:f>Sheet1!$D$3</c:f>
              <c:strCache>
                <c:ptCount val="1"/>
                <c:pt idx="0">
                  <c:v>Tier 2</c:v>
                </c:pt>
              </c:strCache>
            </c:strRef>
          </c:tx>
          <c:spPr>
            <a:solidFill>
              <a:srgbClr val="4F81BD"/>
            </a:solidFill>
            <a:ln>
              <a:noFill/>
            </a:ln>
            <a:effectLst/>
          </c:spPr>
          <c:invertIfNegative val="0"/>
          <c:dLbls>
            <c:dLbl>
              <c:idx val="0"/>
              <c:layout>
                <c:manualLayout>
                  <c:x val="-1.0374789262093113E-2"/>
                  <c:y val="-0.1218123359580052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35433070866139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9045429113389405E-3"/>
                  <c:y val="8.8740038716879843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1124367786279437E-2"/>
                  <c:y val="3.18766404199475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4840768387486244E-3"/>
                  <c:y val="-0.1281942019690977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5464920243807539E-2"/>
                      <c:h val="6.568766404199474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Sheet1!$D$4:$D$12</c:f>
              <c:numCache>
                <c:formatCode>General</c:formatCode>
                <c:ptCount val="9"/>
                <c:pt idx="0" formatCode="&quot;$&quot;#,##0.00">
                  <c:v>2.82</c:v>
                </c:pt>
                <c:pt idx="2" formatCode="&quot;$&quot;#,##0.00">
                  <c:v>5.24</c:v>
                </c:pt>
                <c:pt idx="4" formatCode="&quot;$&quot;#,##0.00">
                  <c:v>1.45364</c:v>
                </c:pt>
                <c:pt idx="5" formatCode="&quot;$&quot;#,##0.00">
                  <c:v>3.24</c:v>
                </c:pt>
                <c:pt idx="6" formatCode="&quot;$&quot;#,##0.00">
                  <c:v>3.17</c:v>
                </c:pt>
              </c:numCache>
            </c:numRef>
          </c:val>
        </c:ser>
        <c:ser>
          <c:idx val="2"/>
          <c:order val="2"/>
          <c:tx>
            <c:strRef>
              <c:f>Sheet1!$E$3</c:f>
              <c:strCache>
                <c:ptCount val="1"/>
                <c:pt idx="0">
                  <c:v>Tier 3</c:v>
                </c:pt>
              </c:strCache>
            </c:strRef>
          </c:tx>
          <c:spPr>
            <a:solidFill>
              <a:schemeClr val="tx1"/>
            </a:solidFill>
            <a:ln>
              <a:noFill/>
            </a:ln>
            <a:effectLst/>
          </c:spPr>
          <c:invertIfNegative val="0"/>
          <c:dLbls>
            <c:dLbl>
              <c:idx val="0"/>
              <c:layout>
                <c:manualLayout>
                  <c:x val="2.5040552773191047E-2"/>
                  <c:y val="-3.429888006080715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7356701380069426E-2"/>
                  <c:y val="-6.44646244037013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8.1314228510809952E-2"/>
                      <c:h val="5.0088702415847654E-2"/>
                    </c:manualLayout>
                  </c15:layout>
                </c:ext>
              </c:extLst>
            </c:dLbl>
            <c:dLbl>
              <c:idx val="6"/>
              <c:layout>
                <c:manualLayout>
                  <c:x val="7.5346734171226868E-4"/>
                  <c:y val="-2.8644552915048516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871309197268882E-2"/>
                      <c:h val="5.318772936188405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Sheet1!$B$4:$B$12</c:f>
              <c:strCache>
                <c:ptCount val="9"/>
                <c:pt idx="0">
                  <c:v>City West Water (Melb)</c:v>
                </c:pt>
                <c:pt idx="1">
                  <c:v>Hunter Water</c:v>
                </c:pt>
                <c:pt idx="2">
                  <c:v>Icon Water</c:v>
                </c:pt>
                <c:pt idx="3">
                  <c:v>NT PowerWater</c:v>
                </c:pt>
                <c:pt idx="4">
                  <c:v>Qld Urban Utilities</c:v>
                </c:pt>
                <c:pt idx="5">
                  <c:v>SA Water</c:v>
                </c:pt>
                <c:pt idx="6">
                  <c:v>South East Water (Melb)</c:v>
                </c:pt>
                <c:pt idx="7">
                  <c:v>Sydney Water</c:v>
                </c:pt>
                <c:pt idx="8">
                  <c:v>TasWater</c:v>
                </c:pt>
              </c:strCache>
            </c:strRef>
          </c:cat>
          <c:val>
            <c:numRef>
              <c:f>Sheet1!$E$4:$E$12</c:f>
              <c:numCache>
                <c:formatCode>General</c:formatCode>
                <c:ptCount val="9"/>
                <c:pt idx="0" formatCode="&quot;$&quot;#,##0.00">
                  <c:v>4.1900000000000004</c:v>
                </c:pt>
                <c:pt idx="5" formatCode="&quot;$&quot;#,##0.00">
                  <c:v>3.51</c:v>
                </c:pt>
                <c:pt idx="6" formatCode="&quot;$&quot;#,##0.00">
                  <c:v>3.7812000000000001</c:v>
                </c:pt>
              </c:numCache>
            </c:numRef>
          </c:val>
        </c:ser>
        <c:dLbls>
          <c:showLegendKey val="0"/>
          <c:showVal val="0"/>
          <c:showCatName val="0"/>
          <c:showSerName val="0"/>
          <c:showPercent val="0"/>
          <c:showBubbleSize val="0"/>
        </c:dLbls>
        <c:gapWidth val="20"/>
        <c:axId val="240232056"/>
        <c:axId val="240233232"/>
      </c:barChart>
      <c:catAx>
        <c:axId val="24023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0233232"/>
        <c:crosses val="autoZero"/>
        <c:auto val="1"/>
        <c:lblAlgn val="ctr"/>
        <c:lblOffset val="100"/>
        <c:noMultiLvlLbl val="0"/>
      </c:catAx>
      <c:valAx>
        <c:axId val="240233232"/>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a:solidFill>
                      <a:sysClr val="windowText" lastClr="000000"/>
                    </a:solidFill>
                  </a:rPr>
                  <a:t>$ per kL</a:t>
                </a:r>
              </a:p>
            </c:rich>
          </c:tx>
          <c:layout>
            <c:manualLayout>
              <c:xMode val="edge"/>
              <c:yMode val="edge"/>
              <c:x val="1.0340709308869598E-2"/>
              <c:y val="0.185382301664846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40232056"/>
        <c:crosses val="autoZero"/>
        <c:crossBetween val="between"/>
      </c:valAx>
      <c:spPr>
        <a:noFill/>
        <a:ln>
          <a:noFill/>
        </a:ln>
        <a:effectLst/>
      </c:spPr>
    </c:plotArea>
    <c:legend>
      <c:legendPos val="b"/>
      <c:layout>
        <c:manualLayout>
          <c:xMode val="edge"/>
          <c:yMode val="edge"/>
          <c:x val="0.33239742386630416"/>
          <c:y val="2.1789370078740159E-2"/>
          <c:w val="0.39290245962154485"/>
          <c:h val="6.168888542397547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52929792991"/>
          <c:y val="8.0738753809619895E-2"/>
          <c:w val="0.75739848617941696"/>
          <c:h val="0.759229711670657"/>
        </c:manualLayout>
      </c:layout>
      <c:barChart>
        <c:barDir val="col"/>
        <c:grouping val="clustered"/>
        <c:varyColors val="0"/>
        <c:ser>
          <c:idx val="1"/>
          <c:order val="1"/>
          <c:tx>
            <c:strRef>
              <c:f>Sheet1!$C$3</c:f>
              <c:strCache>
                <c:ptCount val="1"/>
                <c:pt idx="0">
                  <c:v>Capacity</c:v>
                </c:pt>
              </c:strCache>
            </c:strRef>
          </c:tx>
          <c:spPr>
            <a:solidFill>
              <a:schemeClr val="accent1">
                <a:lumMod val="60000"/>
                <a:lumOff val="40000"/>
              </a:schemeClr>
            </a:solidFill>
            <a:ln>
              <a:noFill/>
            </a:ln>
            <a:effectLst/>
          </c:spPr>
          <c:invertIfNegative val="0"/>
          <c:cat>
            <c:strRef>
              <c:f>Sheet1!$A$4:$A$7</c:f>
              <c:strCache>
                <c:ptCount val="4"/>
                <c:pt idx="0">
                  <c:v>Bendora Dam</c:v>
                </c:pt>
                <c:pt idx="1">
                  <c:v>Corin Dam</c:v>
                </c:pt>
                <c:pt idx="2">
                  <c:v>Cotter Dam</c:v>
                </c:pt>
                <c:pt idx="3">
                  <c:v>Googong Dam</c:v>
                </c:pt>
              </c:strCache>
            </c:strRef>
          </c:cat>
          <c:val>
            <c:numRef>
              <c:f>Sheet1!$C$4:$C$7</c:f>
              <c:numCache>
                <c:formatCode>General</c:formatCode>
                <c:ptCount val="4"/>
                <c:pt idx="0">
                  <c:v>11.446</c:v>
                </c:pt>
                <c:pt idx="1">
                  <c:v>70.787000000000006</c:v>
                </c:pt>
                <c:pt idx="2">
                  <c:v>76.195999999999998</c:v>
                </c:pt>
                <c:pt idx="3">
                  <c:v>119.40900000000001</c:v>
                </c:pt>
              </c:numCache>
            </c:numRef>
          </c:val>
        </c:ser>
        <c:dLbls>
          <c:showLegendKey val="0"/>
          <c:showVal val="0"/>
          <c:showCatName val="0"/>
          <c:showSerName val="0"/>
          <c:showPercent val="0"/>
          <c:showBubbleSize val="0"/>
        </c:dLbls>
        <c:gapWidth val="150"/>
        <c:overlap val="28"/>
        <c:axId val="231044472"/>
        <c:axId val="444670568"/>
      </c:barChart>
      <c:barChart>
        <c:barDir val="col"/>
        <c:grouping val="clustered"/>
        <c:varyColors val="0"/>
        <c:ser>
          <c:idx val="0"/>
          <c:order val="0"/>
          <c:tx>
            <c:strRef>
              <c:f>Sheet1!$B$3</c:f>
              <c:strCache>
                <c:ptCount val="1"/>
                <c:pt idx="0">
                  <c:v>Volume </c:v>
                </c:pt>
              </c:strCache>
            </c:strRef>
          </c:tx>
          <c:spPr>
            <a:solidFill>
              <a:schemeClr val="accent1">
                <a:lumMod val="50000"/>
              </a:schemeClr>
            </a:solidFill>
            <a:ln>
              <a:noFill/>
            </a:ln>
            <a:effectLst/>
          </c:spPr>
          <c:invertIfNegative val="0"/>
          <c:dLbls>
            <c:dLbl>
              <c:idx val="0"/>
              <c:layout>
                <c:manualLayout>
                  <c:x val="-2.7777777777777801E-3"/>
                  <c:y val="-2.3148148148148098E-2"/>
                </c:manualLayout>
              </c:layout>
              <c:tx>
                <c:strRef>
                  <c:f>Sheet1!$D$4</c:f>
                  <c:strCache>
                    <c:ptCount val="1"/>
                    <c:pt idx="0">
                      <c:v>77%</c:v>
                    </c:pt>
                  </c:strCache>
                </c:strRef>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{BF3BF997-7AEA-4CCC-B119-346CE3EBB907}</c15:txfldGUID>
                      <c15:f>Sheet1!$D$4</c15:f>
                      <c15:dlblFieldTableCache>
                        <c:ptCount val="1"/>
                        <c:pt idx="0">
                          <c:v>77%</c:v>
                        </c:pt>
                      </c15:dlblFieldTableCache>
                    </c15:dlblFTEntry>
                  </c15:dlblFieldTable>
                  <c15:showDataLabelsRange val="0"/>
                </c:ext>
              </c:extLst>
            </c:dLbl>
            <c:dLbl>
              <c:idx val="1"/>
              <c:layout>
                <c:manualLayout>
                  <c:x val="0"/>
                  <c:y val="-9.2592592592592796E-2"/>
                </c:manualLayout>
              </c:layout>
              <c:tx>
                <c:strRef>
                  <c:f>Sheet1!$D$5</c:f>
                  <c:strCache>
                    <c:ptCount val="1"/>
                    <c:pt idx="0">
                      <c:v>75%</c:v>
                    </c:pt>
                  </c:strCache>
                </c:strRef>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{5FFA828B-067A-4613-8E87-1526DC16E035}</c15:txfldGUID>
                      <c15:f>Sheet1!$D$5</c15:f>
                      <c15:dlblFieldTableCache>
                        <c:ptCount val="1"/>
                        <c:pt idx="0">
                          <c:v>75%</c:v>
                        </c:pt>
                      </c15:dlblFieldTableCache>
                    </c15:dlblFTEntry>
                  </c15:dlblFieldTable>
                  <c15:showDataLabelsRange val="0"/>
                </c:ext>
              </c:extLst>
            </c:dLbl>
            <c:dLbl>
              <c:idx val="2"/>
              <c:tx>
                <c:strRef>
                  <c:f>Sheet1!$D$6</c:f>
                  <c:strCache>
                    <c:ptCount val="1"/>
                    <c:pt idx="0">
                      <c:v>98%</c:v>
                    </c:pt>
                  </c:strCache>
                </c:strRef>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{49CF2467-5B26-43BC-B076-5454022098C9}</c15:txfldGUID>
                      <c15:f>Sheet1!$D$6</c15:f>
                      <c15:dlblFieldTableCache>
                        <c:ptCount val="1"/>
                        <c:pt idx="0">
                          <c:v>98%</c:v>
                        </c:pt>
                      </c15:dlblFieldTableCache>
                    </c15:dlblFTEntry>
                  </c15:dlblFieldTable>
                  <c15:showDataLabelsRange val="0"/>
                </c:ext>
              </c:extLst>
            </c:dLbl>
            <c:dLbl>
              <c:idx val="3"/>
              <c:layout>
                <c:manualLayout>
                  <c:x val="-1.0185067526416E-16"/>
                  <c:y val="-3.2407407407407503E-2"/>
                </c:manualLayout>
              </c:layout>
              <c:tx>
                <c:strRef>
                  <c:f>Sheet1!$D$7</c:f>
                  <c:strCache>
                    <c:ptCount val="1"/>
                    <c:pt idx="0">
                      <c:v>94%</c:v>
                    </c:pt>
                  </c:strCache>
                </c:strRef>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{224C2B7A-0A56-4DCB-9A70-5E7C6668C911}</c15:txfldGUID>
                      <c15:f>Sheet1!$D$7</c15:f>
                      <c15:dlblFieldTableCache>
                        <c:ptCount val="1"/>
                        <c:pt idx="0">
                          <c:v>94%</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Sheet1!$A$4:$A$7</c:f>
              <c:strCache>
                <c:ptCount val="4"/>
                <c:pt idx="0">
                  <c:v>Bendora Dam</c:v>
                </c:pt>
                <c:pt idx="1">
                  <c:v>Corin Dam</c:v>
                </c:pt>
                <c:pt idx="2">
                  <c:v>Cotter Dam</c:v>
                </c:pt>
                <c:pt idx="3">
                  <c:v>Googong Dam</c:v>
                </c:pt>
              </c:strCache>
            </c:strRef>
          </c:cat>
          <c:val>
            <c:numRef>
              <c:f>Sheet1!$B$4:$B$7</c:f>
              <c:numCache>
                <c:formatCode>General</c:formatCode>
                <c:ptCount val="4"/>
                <c:pt idx="0">
                  <c:v>8.8600000000000048</c:v>
                </c:pt>
                <c:pt idx="1">
                  <c:v>53.120000000000012</c:v>
                </c:pt>
                <c:pt idx="2">
                  <c:v>74.64</c:v>
                </c:pt>
                <c:pt idx="3">
                  <c:v>111.89</c:v>
                </c:pt>
              </c:numCache>
            </c:numRef>
          </c:val>
        </c:ser>
        <c:dLbls>
          <c:showLegendKey val="0"/>
          <c:showVal val="0"/>
          <c:showCatName val="0"/>
          <c:showSerName val="0"/>
          <c:showPercent val="0"/>
          <c:showBubbleSize val="0"/>
        </c:dLbls>
        <c:gapWidth val="150"/>
        <c:overlap val="28"/>
        <c:axId val="500890072"/>
        <c:axId val="444670960"/>
      </c:barChart>
      <c:catAx>
        <c:axId val="23104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70568"/>
        <c:crosses val="autoZero"/>
        <c:auto val="1"/>
        <c:lblAlgn val="ctr"/>
        <c:lblOffset val="100"/>
        <c:noMultiLvlLbl val="0"/>
      </c:catAx>
      <c:valAx>
        <c:axId val="444670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4472"/>
        <c:crosses val="autoZero"/>
        <c:crossBetween val="between"/>
      </c:valAx>
      <c:valAx>
        <c:axId val="444670960"/>
        <c:scaling>
          <c:orientation val="minMax"/>
        </c:scaling>
        <c:delete val="1"/>
        <c:axPos val="r"/>
        <c:numFmt formatCode="General" sourceLinked="1"/>
        <c:majorTickMark val="out"/>
        <c:minorTickMark val="none"/>
        <c:tickLblPos val="none"/>
        <c:crossAx val="500890072"/>
        <c:crosses val="max"/>
        <c:crossBetween val="between"/>
      </c:valAx>
      <c:catAx>
        <c:axId val="500890072"/>
        <c:scaling>
          <c:orientation val="minMax"/>
        </c:scaling>
        <c:delete val="1"/>
        <c:axPos val="b"/>
        <c:numFmt formatCode="General" sourceLinked="1"/>
        <c:majorTickMark val="out"/>
        <c:minorTickMark val="none"/>
        <c:tickLblPos val="none"/>
        <c:crossAx val="444670960"/>
        <c:crosses val="autoZero"/>
        <c:auto val="1"/>
        <c:lblAlgn val="ctr"/>
        <c:lblOffset val="100"/>
        <c:noMultiLvlLbl val="0"/>
      </c:catAx>
      <c:spPr>
        <a:noFill/>
        <a:ln>
          <a:noFill/>
        </a:ln>
        <a:effectLst/>
      </c:spPr>
    </c:plotArea>
    <c:legend>
      <c:legendPos val="b"/>
      <c:layout>
        <c:manualLayout>
          <c:xMode val="edge"/>
          <c:yMode val="edge"/>
          <c:x val="0.21873945421065399"/>
          <c:y val="0.10421081980137099"/>
          <c:w val="0.52595682892115503"/>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ICRC_info!$B$45</c:f>
              <c:strCache>
                <c:ptCount val="1"/>
                <c:pt idx="0">
                  <c:v>$ per kL</c:v>
                </c:pt>
              </c:strCache>
            </c:strRef>
          </c:tx>
          <c:spPr>
            <a:solidFill>
              <a:schemeClr val="accent2">
                <a:lumMod val="75000"/>
              </a:schemeClr>
            </a:solidFill>
            <a:ln>
              <a:noFill/>
            </a:ln>
            <a:effectLst/>
          </c:spPr>
          <c:invertIfNegative val="0"/>
          <c:dPt>
            <c:idx val="4"/>
            <c:invertIfNegative val="0"/>
            <c:bubble3D val="0"/>
            <c:spPr>
              <a:solidFill>
                <a:schemeClr val="accent1">
                  <a:lumMod val="75000"/>
                </a:schemeClr>
              </a:solidFill>
              <a:ln>
                <a:noFill/>
              </a:ln>
              <a:effectLst/>
            </c:spPr>
          </c:dPt>
          <c:dPt>
            <c:idx val="5"/>
            <c:invertIfNegative val="0"/>
            <c:bubble3D val="0"/>
            <c:spPr>
              <a:solidFill>
                <a:schemeClr val="accent1">
                  <a:lumMod val="75000"/>
                </a:schemeClr>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(ICRC_info!$A$46:$A$49,ICRC_info!$A$51:$A$52)</c:f>
              <c:strCache>
                <c:ptCount val="6"/>
                <c:pt idx="0">
                  <c:v>Short-run marginal cost</c:v>
                </c:pt>
                <c:pt idx="1">
                  <c:v>TMC</c:v>
                </c:pt>
                <c:pt idx="2">
                  <c:v>AIC</c:v>
                </c:pt>
                <c:pt idx="3">
                  <c:v>MIC</c:v>
                </c:pt>
                <c:pt idx="4">
                  <c:v>Tier 1 price 2015-16 </c:v>
                </c:pt>
                <c:pt idx="5">
                  <c:v>Tier 2 price 2015-16 </c:v>
                </c:pt>
              </c:strCache>
              <c:extLst/>
            </c:strRef>
          </c:cat>
          <c:val>
            <c:numRef>
              <c:f>(ICRC_info!$B$46:$B$49,ICRC_info!$B$51:$B$52)</c:f>
              <c:numCache>
                <c:formatCode>0.00</c:formatCode>
                <c:ptCount val="6"/>
                <c:pt idx="0">
                  <c:v>0.72162462642239134</c:v>
                </c:pt>
                <c:pt idx="1">
                  <c:v>0.72162462642239134</c:v>
                </c:pt>
                <c:pt idx="2">
                  <c:v>1.6128655161237504</c:v>
                </c:pt>
                <c:pt idx="3">
                  <c:v>1.7366493383381056</c:v>
                </c:pt>
                <c:pt idx="4">
                  <c:v>2.6</c:v>
                </c:pt>
                <c:pt idx="5">
                  <c:v>5.22</c:v>
                </c:pt>
              </c:numCache>
              <c:extLst/>
            </c:numRef>
          </c:val>
          <c:extLst xmlns:c16r2="http://schemas.microsoft.com/office/drawing/2015/06/chart">
            <c:ext xmlns:c16="http://schemas.microsoft.com/office/drawing/2014/chart" uri="{C3380CC4-5D6E-409C-BE32-E72D297353CC}">
              <c16:uniqueId val="{00000004-7BF5-4F58-8988-E1334F1B3604}"/>
            </c:ext>
          </c:extLst>
        </c:ser>
        <c:dLbls>
          <c:dLblPos val="inEnd"/>
          <c:showLegendKey val="0"/>
          <c:showVal val="1"/>
          <c:showCatName val="0"/>
          <c:showSerName val="0"/>
          <c:showPercent val="0"/>
          <c:showBubbleSize val="0"/>
        </c:dLbls>
        <c:gapWidth val="150"/>
        <c:overlap val="100"/>
        <c:axId val="180419600"/>
        <c:axId val="185073248"/>
      </c:barChart>
      <c:catAx>
        <c:axId val="18041960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5073248"/>
        <c:crosses val="autoZero"/>
        <c:auto val="1"/>
        <c:lblAlgn val="ctr"/>
        <c:lblOffset val="100"/>
        <c:noMultiLvlLbl val="0"/>
      </c:catAx>
      <c:valAx>
        <c:axId val="18507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098415496013E-2"/>
              <c:y val="0.348318294289721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041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4448034692401"/>
          <c:y val="5.1324499092734073E-2"/>
          <c:w val="0.8334821521569945"/>
          <c:h val="0.78201666020569549"/>
        </c:manualLayout>
      </c:layout>
      <c:barChart>
        <c:barDir val="col"/>
        <c:grouping val="clustered"/>
        <c:varyColors val="0"/>
        <c:ser>
          <c:idx val="0"/>
          <c:order val="0"/>
          <c:tx>
            <c:strRef>
              <c:f>'4 Tiersplit'!$H$8</c:f>
              <c:strCache>
                <c:ptCount val="1"/>
                <c:pt idx="0">
                  <c:v>Observed</c:v>
                </c:pt>
              </c:strCache>
            </c:strRef>
          </c:tx>
          <c:invertIfNegative val="0"/>
          <c:cat>
            <c:numRef>
              <c:f>'4 Tiersplit'!$A$9:$A$15</c:f>
              <c:numCache>
                <c:formatCode>General</c:formatCode>
                <c:ptCount val="7"/>
                <c:pt idx="0">
                  <c:v>2009</c:v>
                </c:pt>
                <c:pt idx="1">
                  <c:v>2010</c:v>
                </c:pt>
                <c:pt idx="2">
                  <c:v>2011</c:v>
                </c:pt>
                <c:pt idx="3">
                  <c:v>2012</c:v>
                </c:pt>
                <c:pt idx="4">
                  <c:v>2013</c:v>
                </c:pt>
                <c:pt idx="5">
                  <c:v>2014</c:v>
                </c:pt>
                <c:pt idx="6">
                  <c:v>2015</c:v>
                </c:pt>
              </c:numCache>
            </c:numRef>
          </c:cat>
          <c:val>
            <c:numRef>
              <c:f>'4 Tiersplit'!$H$9:$H$15</c:f>
              <c:numCache>
                <c:formatCode>_(* #,##0.00_);_(* \(#,##0.00\);_(* "-"??_);_(@_)</c:formatCode>
                <c:ptCount val="7"/>
                <c:pt idx="0">
                  <c:v>53.558685491802493</c:v>
                </c:pt>
                <c:pt idx="1">
                  <c:v>56.921821057834485</c:v>
                </c:pt>
                <c:pt idx="2">
                  <c:v>61.887709884628549</c:v>
                </c:pt>
                <c:pt idx="3">
                  <c:v>61.739345660196967</c:v>
                </c:pt>
                <c:pt idx="4">
                  <c:v>56.969513448629442</c:v>
                </c:pt>
                <c:pt idx="5">
                  <c:v>56.665969278276471</c:v>
                </c:pt>
                <c:pt idx="6">
                  <c:v>60.411592949661184</c:v>
                </c:pt>
              </c:numCache>
            </c:numRef>
          </c:val>
        </c:ser>
        <c:dLbls>
          <c:showLegendKey val="0"/>
          <c:showVal val="0"/>
          <c:showCatName val="0"/>
          <c:showSerName val="0"/>
          <c:showPercent val="0"/>
          <c:showBubbleSize val="0"/>
        </c:dLbls>
        <c:gapWidth val="150"/>
        <c:axId val="374699128"/>
        <c:axId val="239823848"/>
      </c:barChart>
      <c:catAx>
        <c:axId val="374699128"/>
        <c:scaling>
          <c:orientation val="minMax"/>
        </c:scaling>
        <c:delete val="0"/>
        <c:axPos val="b"/>
        <c:title>
          <c:tx>
            <c:rich>
              <a:bodyPr/>
              <a:lstStyle/>
              <a:p>
                <a:pPr>
                  <a:defRPr/>
                </a:pPr>
                <a:r>
                  <a:rPr lang="en-US"/>
                  <a:t>Year ending 30 June</a:t>
                </a:r>
              </a:p>
            </c:rich>
          </c:tx>
          <c:overlay val="0"/>
        </c:title>
        <c:numFmt formatCode="General" sourceLinked="1"/>
        <c:majorTickMark val="out"/>
        <c:minorTickMark val="none"/>
        <c:tickLblPos val="nextTo"/>
        <c:txPr>
          <a:bodyPr/>
          <a:lstStyle/>
          <a:p>
            <a:pPr>
              <a:defRPr sz="800"/>
            </a:pPr>
            <a:endParaRPr lang="en-US"/>
          </a:p>
        </c:txPr>
        <c:crossAx val="239823848"/>
        <c:crosses val="autoZero"/>
        <c:auto val="1"/>
        <c:lblAlgn val="ctr"/>
        <c:lblOffset val="100"/>
        <c:noMultiLvlLbl val="0"/>
      </c:catAx>
      <c:valAx>
        <c:axId val="239823848"/>
        <c:scaling>
          <c:orientation val="minMax"/>
          <c:min val="52"/>
        </c:scaling>
        <c:delete val="0"/>
        <c:axPos val="l"/>
        <c:majorGridlines>
          <c:spPr>
            <a:ln w="3175">
              <a:solidFill>
                <a:schemeClr val="bg1">
                  <a:lumMod val="75000"/>
                </a:schemeClr>
              </a:solidFill>
            </a:ln>
          </c:spPr>
        </c:majorGridlines>
        <c:title>
          <c:tx>
            <c:rich>
              <a:bodyPr rot="-5400000" vert="horz"/>
              <a:lstStyle/>
              <a:p>
                <a:pPr>
                  <a:defRPr sz="800"/>
                </a:pPr>
                <a:r>
                  <a:rPr lang="en-US" sz="800"/>
                  <a:t>Tier 1 proportion %</a:t>
                </a:r>
              </a:p>
            </c:rich>
          </c:tx>
          <c:layout>
            <c:manualLayout>
              <c:xMode val="edge"/>
              <c:yMode val="edge"/>
              <c:x val="2.8909547651906044E-2"/>
              <c:y val="0.18731720456526782"/>
            </c:manualLayout>
          </c:layout>
          <c:overlay val="0"/>
        </c:title>
        <c:numFmt formatCode="_(* #,##0_);_(* \(#,##0\);_(* &quot;-&quot;_);_(@_)" sourceLinked="0"/>
        <c:majorTickMark val="out"/>
        <c:minorTickMark val="none"/>
        <c:tickLblPos val="nextTo"/>
        <c:txPr>
          <a:bodyPr/>
          <a:lstStyle/>
          <a:p>
            <a:pPr>
              <a:defRPr sz="800"/>
            </a:pPr>
            <a:endParaRPr lang="en-US"/>
          </a:p>
        </c:txPr>
        <c:crossAx val="37469912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0.27456</cdr:x>
      <cdr:y>0.39071</cdr:y>
    </cdr:from>
    <cdr:to>
      <cdr:x>0.43577</cdr:x>
      <cdr:y>0.65301</cdr:y>
    </cdr:to>
    <cdr:sp macro="" textlink="">
      <cdr:nvSpPr>
        <cdr:cNvPr id="2" name="TextBox 1"/>
        <cdr:cNvSpPr txBox="1"/>
      </cdr:nvSpPr>
      <cdr:spPr>
        <a:xfrm xmlns:a="http://schemas.openxmlformats.org/drawingml/2006/main" rot="3776441">
          <a:off x="1557338" y="13620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0.01584</cdr:x>
      <cdr:y>0.34663</cdr:y>
    </cdr:from>
    <cdr:to>
      <cdr:x>0.06286</cdr:x>
      <cdr:y>0.60892</cdr:y>
    </cdr:to>
    <cdr:sp macro="" textlink="">
      <cdr:nvSpPr>
        <cdr:cNvPr id="3" name="TextBox 2"/>
        <cdr:cNvSpPr txBox="1"/>
      </cdr:nvSpPr>
      <cdr:spPr>
        <a:xfrm xmlns:a="http://schemas.openxmlformats.org/drawingml/2006/main" rot="16200000">
          <a:off x="-165288" y="1202060"/>
          <a:ext cx="724524" cy="235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200"/>
            <a:t>Gigalitres</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2B53C-35F4-4CEE-8FD3-EB314033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36393</Words>
  <Characters>207443</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243350</CharactersWithSpaces>
  <SharedDoc>false</SharedDoc>
  <HLinks>
    <vt:vector size="810" baseType="variant">
      <vt:variant>
        <vt:i4>4325387</vt:i4>
      </vt:variant>
      <vt:variant>
        <vt:i4>941</vt:i4>
      </vt:variant>
      <vt:variant>
        <vt:i4>0</vt:i4>
      </vt:variant>
      <vt:variant>
        <vt:i4>5</vt:i4>
      </vt:variant>
      <vt:variant>
        <vt:lpwstr/>
      </vt:variant>
      <vt:variant>
        <vt:lpwstr>_ENREF_38</vt:lpwstr>
      </vt:variant>
      <vt:variant>
        <vt:i4>4325387</vt:i4>
      </vt:variant>
      <vt:variant>
        <vt:i4>935</vt:i4>
      </vt:variant>
      <vt:variant>
        <vt:i4>0</vt:i4>
      </vt:variant>
      <vt:variant>
        <vt:i4>5</vt:i4>
      </vt:variant>
      <vt:variant>
        <vt:lpwstr/>
      </vt:variant>
      <vt:variant>
        <vt:lpwstr>_ENREF_36</vt:lpwstr>
      </vt:variant>
      <vt:variant>
        <vt:i4>4325387</vt:i4>
      </vt:variant>
      <vt:variant>
        <vt:i4>929</vt:i4>
      </vt:variant>
      <vt:variant>
        <vt:i4>0</vt:i4>
      </vt:variant>
      <vt:variant>
        <vt:i4>5</vt:i4>
      </vt:variant>
      <vt:variant>
        <vt:lpwstr/>
      </vt:variant>
      <vt:variant>
        <vt:lpwstr>_ENREF_37</vt:lpwstr>
      </vt:variant>
      <vt:variant>
        <vt:i4>4325387</vt:i4>
      </vt:variant>
      <vt:variant>
        <vt:i4>923</vt:i4>
      </vt:variant>
      <vt:variant>
        <vt:i4>0</vt:i4>
      </vt:variant>
      <vt:variant>
        <vt:i4>5</vt:i4>
      </vt:variant>
      <vt:variant>
        <vt:lpwstr/>
      </vt:variant>
      <vt:variant>
        <vt:lpwstr>_ENREF_34</vt:lpwstr>
      </vt:variant>
      <vt:variant>
        <vt:i4>4194315</vt:i4>
      </vt:variant>
      <vt:variant>
        <vt:i4>918</vt:i4>
      </vt:variant>
      <vt:variant>
        <vt:i4>0</vt:i4>
      </vt:variant>
      <vt:variant>
        <vt:i4>5</vt:i4>
      </vt:variant>
      <vt:variant>
        <vt:lpwstr/>
      </vt:variant>
      <vt:variant>
        <vt:lpwstr>_ENREF_16</vt:lpwstr>
      </vt:variant>
      <vt:variant>
        <vt:i4>4194315</vt:i4>
      </vt:variant>
      <vt:variant>
        <vt:i4>915</vt:i4>
      </vt:variant>
      <vt:variant>
        <vt:i4>0</vt:i4>
      </vt:variant>
      <vt:variant>
        <vt:i4>5</vt:i4>
      </vt:variant>
      <vt:variant>
        <vt:lpwstr/>
      </vt:variant>
      <vt:variant>
        <vt:lpwstr>_ENREF_15</vt:lpwstr>
      </vt:variant>
      <vt:variant>
        <vt:i4>4653067</vt:i4>
      </vt:variant>
      <vt:variant>
        <vt:i4>911</vt:i4>
      </vt:variant>
      <vt:variant>
        <vt:i4>0</vt:i4>
      </vt:variant>
      <vt:variant>
        <vt:i4>5</vt:i4>
      </vt:variant>
      <vt:variant>
        <vt:lpwstr/>
      </vt:variant>
      <vt:variant>
        <vt:lpwstr>_ENREF_6</vt:lpwstr>
      </vt:variant>
      <vt:variant>
        <vt:i4>3539067</vt:i4>
      </vt:variant>
      <vt:variant>
        <vt:i4>906</vt:i4>
      </vt:variant>
      <vt:variant>
        <vt:i4>0</vt:i4>
      </vt:variant>
      <vt:variant>
        <vt:i4>5</vt:i4>
      </vt:variant>
      <vt:variant>
        <vt:lpwstr>C:\Users\Nicholas\AppData\Roaming\Microsoft\Word\www.sydneywater.com.au\SW\accounts-billing\understanding-your-bill\our-prices\index.htm</vt:lpwstr>
      </vt:variant>
      <vt:variant>
        <vt:lpwstr/>
      </vt:variant>
      <vt:variant>
        <vt:i4>4390923</vt:i4>
      </vt:variant>
      <vt:variant>
        <vt:i4>899</vt:i4>
      </vt:variant>
      <vt:variant>
        <vt:i4>0</vt:i4>
      </vt:variant>
      <vt:variant>
        <vt:i4>5</vt:i4>
      </vt:variant>
      <vt:variant>
        <vt:lpwstr/>
      </vt:variant>
      <vt:variant>
        <vt:lpwstr>_ENREF_29</vt:lpwstr>
      </vt:variant>
      <vt:variant>
        <vt:i4>4325387</vt:i4>
      </vt:variant>
      <vt:variant>
        <vt:i4>869</vt:i4>
      </vt:variant>
      <vt:variant>
        <vt:i4>0</vt:i4>
      </vt:variant>
      <vt:variant>
        <vt:i4>5</vt:i4>
      </vt:variant>
      <vt:variant>
        <vt:lpwstr/>
      </vt:variant>
      <vt:variant>
        <vt:lpwstr>_ENREF_35</vt:lpwstr>
      </vt:variant>
      <vt:variant>
        <vt:i4>4194315</vt:i4>
      </vt:variant>
      <vt:variant>
        <vt:i4>863</vt:i4>
      </vt:variant>
      <vt:variant>
        <vt:i4>0</vt:i4>
      </vt:variant>
      <vt:variant>
        <vt:i4>5</vt:i4>
      </vt:variant>
      <vt:variant>
        <vt:lpwstr/>
      </vt:variant>
      <vt:variant>
        <vt:lpwstr>_ENREF_13</vt:lpwstr>
      </vt:variant>
      <vt:variant>
        <vt:i4>4390923</vt:i4>
      </vt:variant>
      <vt:variant>
        <vt:i4>857</vt:i4>
      </vt:variant>
      <vt:variant>
        <vt:i4>0</vt:i4>
      </vt:variant>
      <vt:variant>
        <vt:i4>5</vt:i4>
      </vt:variant>
      <vt:variant>
        <vt:lpwstr/>
      </vt:variant>
      <vt:variant>
        <vt:lpwstr>_ENREF_25</vt:lpwstr>
      </vt:variant>
      <vt:variant>
        <vt:i4>4390923</vt:i4>
      </vt:variant>
      <vt:variant>
        <vt:i4>824</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4325387</vt:i4>
      </vt:variant>
      <vt:variant>
        <vt:i4>755</vt:i4>
      </vt:variant>
      <vt:variant>
        <vt:i4>0</vt:i4>
      </vt:variant>
      <vt:variant>
        <vt:i4>5</vt:i4>
      </vt:variant>
      <vt:variant>
        <vt:lpwstr/>
      </vt:variant>
      <vt:variant>
        <vt:lpwstr>_ENREF_38</vt:lpwstr>
      </vt:variant>
      <vt:variant>
        <vt:i4>4325387</vt:i4>
      </vt:variant>
      <vt:variant>
        <vt:i4>749</vt:i4>
      </vt:variant>
      <vt:variant>
        <vt:i4>0</vt:i4>
      </vt:variant>
      <vt:variant>
        <vt:i4>5</vt:i4>
      </vt:variant>
      <vt:variant>
        <vt:lpwstr/>
      </vt:variant>
      <vt:variant>
        <vt:lpwstr>_ENREF_36</vt:lpwstr>
      </vt:variant>
      <vt:variant>
        <vt:i4>4325387</vt:i4>
      </vt:variant>
      <vt:variant>
        <vt:i4>743</vt:i4>
      </vt:variant>
      <vt:variant>
        <vt:i4>0</vt:i4>
      </vt:variant>
      <vt:variant>
        <vt:i4>5</vt:i4>
      </vt:variant>
      <vt:variant>
        <vt:lpwstr/>
      </vt:variant>
      <vt:variant>
        <vt:lpwstr>_ENREF_37</vt:lpwstr>
      </vt:variant>
      <vt:variant>
        <vt:i4>4325387</vt:i4>
      </vt:variant>
      <vt:variant>
        <vt:i4>737</vt:i4>
      </vt:variant>
      <vt:variant>
        <vt:i4>0</vt:i4>
      </vt:variant>
      <vt:variant>
        <vt:i4>5</vt:i4>
      </vt:variant>
      <vt:variant>
        <vt:lpwstr/>
      </vt:variant>
      <vt:variant>
        <vt:lpwstr>_ENREF_34</vt:lpwstr>
      </vt:variant>
      <vt:variant>
        <vt:i4>4194315</vt:i4>
      </vt:variant>
      <vt:variant>
        <vt:i4>732</vt:i4>
      </vt:variant>
      <vt:variant>
        <vt:i4>0</vt:i4>
      </vt:variant>
      <vt:variant>
        <vt:i4>5</vt:i4>
      </vt:variant>
      <vt:variant>
        <vt:lpwstr/>
      </vt:variant>
      <vt:variant>
        <vt:lpwstr>_ENREF_16</vt:lpwstr>
      </vt:variant>
      <vt:variant>
        <vt:i4>4194315</vt:i4>
      </vt:variant>
      <vt:variant>
        <vt:i4>729</vt:i4>
      </vt:variant>
      <vt:variant>
        <vt:i4>0</vt:i4>
      </vt:variant>
      <vt:variant>
        <vt:i4>5</vt:i4>
      </vt:variant>
      <vt:variant>
        <vt:lpwstr/>
      </vt:variant>
      <vt:variant>
        <vt:lpwstr>_ENREF_15</vt:lpwstr>
      </vt:variant>
      <vt:variant>
        <vt:i4>4653067</vt:i4>
      </vt:variant>
      <vt:variant>
        <vt:i4>725</vt:i4>
      </vt:variant>
      <vt:variant>
        <vt:i4>0</vt:i4>
      </vt:variant>
      <vt:variant>
        <vt:i4>5</vt:i4>
      </vt:variant>
      <vt:variant>
        <vt:lpwstr/>
      </vt:variant>
      <vt:variant>
        <vt:lpwstr>_ENREF_6</vt:lpwstr>
      </vt:variant>
      <vt:variant>
        <vt:i4>4325387</vt:i4>
      </vt:variant>
      <vt:variant>
        <vt:i4>713</vt:i4>
      </vt:variant>
      <vt:variant>
        <vt:i4>0</vt:i4>
      </vt:variant>
      <vt:variant>
        <vt:i4>5</vt:i4>
      </vt:variant>
      <vt:variant>
        <vt:lpwstr/>
      </vt:variant>
      <vt:variant>
        <vt:lpwstr>_ENREF_38</vt:lpwstr>
      </vt:variant>
      <vt:variant>
        <vt:i4>4325387</vt:i4>
      </vt:variant>
      <vt:variant>
        <vt:i4>707</vt:i4>
      </vt:variant>
      <vt:variant>
        <vt:i4>0</vt:i4>
      </vt:variant>
      <vt:variant>
        <vt:i4>5</vt:i4>
      </vt:variant>
      <vt:variant>
        <vt:lpwstr/>
      </vt:variant>
      <vt:variant>
        <vt:lpwstr>_ENREF_36</vt:lpwstr>
      </vt:variant>
      <vt:variant>
        <vt:i4>4325387</vt:i4>
      </vt:variant>
      <vt:variant>
        <vt:i4>701</vt:i4>
      </vt:variant>
      <vt:variant>
        <vt:i4>0</vt:i4>
      </vt:variant>
      <vt:variant>
        <vt:i4>5</vt:i4>
      </vt:variant>
      <vt:variant>
        <vt:lpwstr/>
      </vt:variant>
      <vt:variant>
        <vt:lpwstr>_ENREF_37</vt:lpwstr>
      </vt:variant>
      <vt:variant>
        <vt:i4>4325387</vt:i4>
      </vt:variant>
      <vt:variant>
        <vt:i4>695</vt:i4>
      </vt:variant>
      <vt:variant>
        <vt:i4>0</vt:i4>
      </vt:variant>
      <vt:variant>
        <vt:i4>5</vt:i4>
      </vt:variant>
      <vt:variant>
        <vt:lpwstr/>
      </vt:variant>
      <vt:variant>
        <vt:lpwstr>_ENREF_34</vt:lpwstr>
      </vt:variant>
      <vt:variant>
        <vt:i4>4194315</vt:i4>
      </vt:variant>
      <vt:variant>
        <vt:i4>690</vt:i4>
      </vt:variant>
      <vt:variant>
        <vt:i4>0</vt:i4>
      </vt:variant>
      <vt:variant>
        <vt:i4>5</vt:i4>
      </vt:variant>
      <vt:variant>
        <vt:lpwstr/>
      </vt:variant>
      <vt:variant>
        <vt:lpwstr>_ENREF_16</vt:lpwstr>
      </vt:variant>
      <vt:variant>
        <vt:i4>4194315</vt:i4>
      </vt:variant>
      <vt:variant>
        <vt:i4>687</vt:i4>
      </vt:variant>
      <vt:variant>
        <vt:i4>0</vt:i4>
      </vt:variant>
      <vt:variant>
        <vt:i4>5</vt:i4>
      </vt:variant>
      <vt:variant>
        <vt:lpwstr/>
      </vt:variant>
      <vt:variant>
        <vt:lpwstr>_ENREF_15</vt:lpwstr>
      </vt:variant>
      <vt:variant>
        <vt:i4>4653067</vt:i4>
      </vt:variant>
      <vt:variant>
        <vt:i4>683</vt:i4>
      </vt:variant>
      <vt:variant>
        <vt:i4>0</vt:i4>
      </vt:variant>
      <vt:variant>
        <vt:i4>5</vt:i4>
      </vt:variant>
      <vt:variant>
        <vt:lpwstr/>
      </vt:variant>
      <vt:variant>
        <vt:lpwstr>_ENREF_6</vt:lpwstr>
      </vt:variant>
      <vt:variant>
        <vt:i4>4325387</vt:i4>
      </vt:variant>
      <vt:variant>
        <vt:i4>638</vt:i4>
      </vt:variant>
      <vt:variant>
        <vt:i4>0</vt:i4>
      </vt:variant>
      <vt:variant>
        <vt:i4>5</vt:i4>
      </vt:variant>
      <vt:variant>
        <vt:lpwstr/>
      </vt:variant>
      <vt:variant>
        <vt:lpwstr>_ENREF_38</vt:lpwstr>
      </vt:variant>
      <vt:variant>
        <vt:i4>4325387</vt:i4>
      </vt:variant>
      <vt:variant>
        <vt:i4>632</vt:i4>
      </vt:variant>
      <vt:variant>
        <vt:i4>0</vt:i4>
      </vt:variant>
      <vt:variant>
        <vt:i4>5</vt:i4>
      </vt:variant>
      <vt:variant>
        <vt:lpwstr/>
      </vt:variant>
      <vt:variant>
        <vt:lpwstr>_ENREF_36</vt:lpwstr>
      </vt:variant>
      <vt:variant>
        <vt:i4>4325387</vt:i4>
      </vt:variant>
      <vt:variant>
        <vt:i4>626</vt:i4>
      </vt:variant>
      <vt:variant>
        <vt:i4>0</vt:i4>
      </vt:variant>
      <vt:variant>
        <vt:i4>5</vt:i4>
      </vt:variant>
      <vt:variant>
        <vt:lpwstr/>
      </vt:variant>
      <vt:variant>
        <vt:lpwstr>_ENREF_37</vt:lpwstr>
      </vt:variant>
      <vt:variant>
        <vt:i4>4325387</vt:i4>
      </vt:variant>
      <vt:variant>
        <vt:i4>620</vt:i4>
      </vt:variant>
      <vt:variant>
        <vt:i4>0</vt:i4>
      </vt:variant>
      <vt:variant>
        <vt:i4>5</vt:i4>
      </vt:variant>
      <vt:variant>
        <vt:lpwstr/>
      </vt:variant>
      <vt:variant>
        <vt:lpwstr>_ENREF_34</vt:lpwstr>
      </vt:variant>
      <vt:variant>
        <vt:i4>4194315</vt:i4>
      </vt:variant>
      <vt:variant>
        <vt:i4>615</vt:i4>
      </vt:variant>
      <vt:variant>
        <vt:i4>0</vt:i4>
      </vt:variant>
      <vt:variant>
        <vt:i4>5</vt:i4>
      </vt:variant>
      <vt:variant>
        <vt:lpwstr/>
      </vt:variant>
      <vt:variant>
        <vt:lpwstr>_ENREF_16</vt:lpwstr>
      </vt:variant>
      <vt:variant>
        <vt:i4>4194315</vt:i4>
      </vt:variant>
      <vt:variant>
        <vt:i4>612</vt:i4>
      </vt:variant>
      <vt:variant>
        <vt:i4>0</vt:i4>
      </vt:variant>
      <vt:variant>
        <vt:i4>5</vt:i4>
      </vt:variant>
      <vt:variant>
        <vt:lpwstr/>
      </vt:variant>
      <vt:variant>
        <vt:lpwstr>_ENREF_15</vt:lpwstr>
      </vt:variant>
      <vt:variant>
        <vt:i4>4653067</vt:i4>
      </vt:variant>
      <vt:variant>
        <vt:i4>608</vt:i4>
      </vt:variant>
      <vt:variant>
        <vt:i4>0</vt:i4>
      </vt:variant>
      <vt:variant>
        <vt:i4>5</vt:i4>
      </vt:variant>
      <vt:variant>
        <vt:lpwstr/>
      </vt:variant>
      <vt:variant>
        <vt:lpwstr>_ENREF_6</vt:lpwstr>
      </vt:variant>
      <vt:variant>
        <vt:i4>4325387</vt:i4>
      </vt:variant>
      <vt:variant>
        <vt:i4>596</vt:i4>
      </vt:variant>
      <vt:variant>
        <vt:i4>0</vt:i4>
      </vt:variant>
      <vt:variant>
        <vt:i4>5</vt:i4>
      </vt:variant>
      <vt:variant>
        <vt:lpwstr/>
      </vt:variant>
      <vt:variant>
        <vt:lpwstr>_ENREF_38</vt:lpwstr>
      </vt:variant>
      <vt:variant>
        <vt:i4>4325387</vt:i4>
      </vt:variant>
      <vt:variant>
        <vt:i4>590</vt:i4>
      </vt:variant>
      <vt:variant>
        <vt:i4>0</vt:i4>
      </vt:variant>
      <vt:variant>
        <vt:i4>5</vt:i4>
      </vt:variant>
      <vt:variant>
        <vt:lpwstr/>
      </vt:variant>
      <vt:variant>
        <vt:lpwstr>_ENREF_36</vt:lpwstr>
      </vt:variant>
      <vt:variant>
        <vt:i4>4325387</vt:i4>
      </vt:variant>
      <vt:variant>
        <vt:i4>584</vt:i4>
      </vt:variant>
      <vt:variant>
        <vt:i4>0</vt:i4>
      </vt:variant>
      <vt:variant>
        <vt:i4>5</vt:i4>
      </vt:variant>
      <vt:variant>
        <vt:lpwstr/>
      </vt:variant>
      <vt:variant>
        <vt:lpwstr>_ENREF_37</vt:lpwstr>
      </vt:variant>
      <vt:variant>
        <vt:i4>4325387</vt:i4>
      </vt:variant>
      <vt:variant>
        <vt:i4>578</vt:i4>
      </vt:variant>
      <vt:variant>
        <vt:i4>0</vt:i4>
      </vt:variant>
      <vt:variant>
        <vt:i4>5</vt:i4>
      </vt:variant>
      <vt:variant>
        <vt:lpwstr/>
      </vt:variant>
      <vt:variant>
        <vt:lpwstr>_ENREF_34</vt:lpwstr>
      </vt:variant>
      <vt:variant>
        <vt:i4>4194315</vt:i4>
      </vt:variant>
      <vt:variant>
        <vt:i4>573</vt:i4>
      </vt:variant>
      <vt:variant>
        <vt:i4>0</vt:i4>
      </vt:variant>
      <vt:variant>
        <vt:i4>5</vt:i4>
      </vt:variant>
      <vt:variant>
        <vt:lpwstr/>
      </vt:variant>
      <vt:variant>
        <vt:lpwstr>_ENREF_16</vt:lpwstr>
      </vt:variant>
      <vt:variant>
        <vt:i4>4194315</vt:i4>
      </vt:variant>
      <vt:variant>
        <vt:i4>570</vt:i4>
      </vt:variant>
      <vt:variant>
        <vt:i4>0</vt:i4>
      </vt:variant>
      <vt:variant>
        <vt:i4>5</vt:i4>
      </vt:variant>
      <vt:variant>
        <vt:lpwstr/>
      </vt:variant>
      <vt:variant>
        <vt:lpwstr>_ENREF_15</vt:lpwstr>
      </vt:variant>
      <vt:variant>
        <vt:i4>4653067</vt:i4>
      </vt:variant>
      <vt:variant>
        <vt:i4>566</vt:i4>
      </vt:variant>
      <vt:variant>
        <vt:i4>0</vt:i4>
      </vt:variant>
      <vt:variant>
        <vt:i4>5</vt:i4>
      </vt:variant>
      <vt:variant>
        <vt:lpwstr/>
      </vt:variant>
      <vt:variant>
        <vt:lpwstr>_ENREF_6</vt:lpwstr>
      </vt:variant>
      <vt:variant>
        <vt:i4>1966135</vt:i4>
      </vt:variant>
      <vt:variant>
        <vt:i4>545</vt:i4>
      </vt:variant>
      <vt:variant>
        <vt:i4>0</vt:i4>
      </vt:variant>
      <vt:variant>
        <vt:i4>5</vt:i4>
      </vt:variant>
      <vt:variant>
        <vt:lpwstr/>
      </vt:variant>
      <vt:variant>
        <vt:lpwstr>_Toc477940075</vt:lpwstr>
      </vt:variant>
      <vt:variant>
        <vt:i4>1966135</vt:i4>
      </vt:variant>
      <vt:variant>
        <vt:i4>539</vt:i4>
      </vt:variant>
      <vt:variant>
        <vt:i4>0</vt:i4>
      </vt:variant>
      <vt:variant>
        <vt:i4>5</vt:i4>
      </vt:variant>
      <vt:variant>
        <vt:lpwstr/>
      </vt:variant>
      <vt:variant>
        <vt:lpwstr>_Toc477940074</vt:lpwstr>
      </vt:variant>
      <vt:variant>
        <vt:i4>1966135</vt:i4>
      </vt:variant>
      <vt:variant>
        <vt:i4>530</vt:i4>
      </vt:variant>
      <vt:variant>
        <vt:i4>0</vt:i4>
      </vt:variant>
      <vt:variant>
        <vt:i4>5</vt:i4>
      </vt:variant>
      <vt:variant>
        <vt:lpwstr/>
      </vt:variant>
      <vt:variant>
        <vt:lpwstr>_Toc477940073</vt:lpwstr>
      </vt:variant>
      <vt:variant>
        <vt:i4>1966135</vt:i4>
      </vt:variant>
      <vt:variant>
        <vt:i4>524</vt:i4>
      </vt:variant>
      <vt:variant>
        <vt:i4>0</vt:i4>
      </vt:variant>
      <vt:variant>
        <vt:i4>5</vt:i4>
      </vt:variant>
      <vt:variant>
        <vt:lpwstr/>
      </vt:variant>
      <vt:variant>
        <vt:lpwstr>_Toc477940072</vt:lpwstr>
      </vt:variant>
      <vt:variant>
        <vt:i4>1966135</vt:i4>
      </vt:variant>
      <vt:variant>
        <vt:i4>518</vt:i4>
      </vt:variant>
      <vt:variant>
        <vt:i4>0</vt:i4>
      </vt:variant>
      <vt:variant>
        <vt:i4>5</vt:i4>
      </vt:variant>
      <vt:variant>
        <vt:lpwstr/>
      </vt:variant>
      <vt:variant>
        <vt:lpwstr>_Toc477940071</vt:lpwstr>
      </vt:variant>
      <vt:variant>
        <vt:i4>1966135</vt:i4>
      </vt:variant>
      <vt:variant>
        <vt:i4>512</vt:i4>
      </vt:variant>
      <vt:variant>
        <vt:i4>0</vt:i4>
      </vt:variant>
      <vt:variant>
        <vt:i4>5</vt:i4>
      </vt:variant>
      <vt:variant>
        <vt:lpwstr/>
      </vt:variant>
      <vt:variant>
        <vt:lpwstr>_Toc477940070</vt:lpwstr>
      </vt:variant>
      <vt:variant>
        <vt:i4>2031671</vt:i4>
      </vt:variant>
      <vt:variant>
        <vt:i4>506</vt:i4>
      </vt:variant>
      <vt:variant>
        <vt:i4>0</vt:i4>
      </vt:variant>
      <vt:variant>
        <vt:i4>5</vt:i4>
      </vt:variant>
      <vt:variant>
        <vt:lpwstr/>
      </vt:variant>
      <vt:variant>
        <vt:lpwstr>_Toc477940069</vt:lpwstr>
      </vt:variant>
      <vt:variant>
        <vt:i4>2031671</vt:i4>
      </vt:variant>
      <vt:variant>
        <vt:i4>500</vt:i4>
      </vt:variant>
      <vt:variant>
        <vt:i4>0</vt:i4>
      </vt:variant>
      <vt:variant>
        <vt:i4>5</vt:i4>
      </vt:variant>
      <vt:variant>
        <vt:lpwstr/>
      </vt:variant>
      <vt:variant>
        <vt:lpwstr>_Toc477940068</vt:lpwstr>
      </vt:variant>
      <vt:variant>
        <vt:i4>2031671</vt:i4>
      </vt:variant>
      <vt:variant>
        <vt:i4>494</vt:i4>
      </vt:variant>
      <vt:variant>
        <vt:i4>0</vt:i4>
      </vt:variant>
      <vt:variant>
        <vt:i4>5</vt:i4>
      </vt:variant>
      <vt:variant>
        <vt:lpwstr/>
      </vt:variant>
      <vt:variant>
        <vt:lpwstr>_Toc477940067</vt:lpwstr>
      </vt:variant>
      <vt:variant>
        <vt:i4>2031671</vt:i4>
      </vt:variant>
      <vt:variant>
        <vt:i4>488</vt:i4>
      </vt:variant>
      <vt:variant>
        <vt:i4>0</vt:i4>
      </vt:variant>
      <vt:variant>
        <vt:i4>5</vt:i4>
      </vt:variant>
      <vt:variant>
        <vt:lpwstr/>
      </vt:variant>
      <vt:variant>
        <vt:lpwstr>_Toc477940066</vt:lpwstr>
      </vt:variant>
      <vt:variant>
        <vt:i4>2031671</vt:i4>
      </vt:variant>
      <vt:variant>
        <vt:i4>482</vt:i4>
      </vt:variant>
      <vt:variant>
        <vt:i4>0</vt:i4>
      </vt:variant>
      <vt:variant>
        <vt:i4>5</vt:i4>
      </vt:variant>
      <vt:variant>
        <vt:lpwstr/>
      </vt:variant>
      <vt:variant>
        <vt:lpwstr>_Toc477940065</vt:lpwstr>
      </vt:variant>
      <vt:variant>
        <vt:i4>2031671</vt:i4>
      </vt:variant>
      <vt:variant>
        <vt:i4>476</vt:i4>
      </vt:variant>
      <vt:variant>
        <vt:i4>0</vt:i4>
      </vt:variant>
      <vt:variant>
        <vt:i4>5</vt:i4>
      </vt:variant>
      <vt:variant>
        <vt:lpwstr/>
      </vt:variant>
      <vt:variant>
        <vt:lpwstr>_Toc477940064</vt:lpwstr>
      </vt:variant>
      <vt:variant>
        <vt:i4>2031671</vt:i4>
      </vt:variant>
      <vt:variant>
        <vt:i4>470</vt:i4>
      </vt:variant>
      <vt:variant>
        <vt:i4>0</vt:i4>
      </vt:variant>
      <vt:variant>
        <vt:i4>5</vt:i4>
      </vt:variant>
      <vt:variant>
        <vt:lpwstr/>
      </vt:variant>
      <vt:variant>
        <vt:lpwstr>_Toc477940063</vt:lpwstr>
      </vt:variant>
      <vt:variant>
        <vt:i4>2031671</vt:i4>
      </vt:variant>
      <vt:variant>
        <vt:i4>464</vt:i4>
      </vt:variant>
      <vt:variant>
        <vt:i4>0</vt:i4>
      </vt:variant>
      <vt:variant>
        <vt:i4>5</vt:i4>
      </vt:variant>
      <vt:variant>
        <vt:lpwstr/>
      </vt:variant>
      <vt:variant>
        <vt:lpwstr>_Toc477940062</vt:lpwstr>
      </vt:variant>
      <vt:variant>
        <vt:i4>2031671</vt:i4>
      </vt:variant>
      <vt:variant>
        <vt:i4>458</vt:i4>
      </vt:variant>
      <vt:variant>
        <vt:i4>0</vt:i4>
      </vt:variant>
      <vt:variant>
        <vt:i4>5</vt:i4>
      </vt:variant>
      <vt:variant>
        <vt:lpwstr/>
      </vt:variant>
      <vt:variant>
        <vt:lpwstr>_Toc477940061</vt:lpwstr>
      </vt:variant>
      <vt:variant>
        <vt:i4>2031671</vt:i4>
      </vt:variant>
      <vt:variant>
        <vt:i4>449</vt:i4>
      </vt:variant>
      <vt:variant>
        <vt:i4>0</vt:i4>
      </vt:variant>
      <vt:variant>
        <vt:i4>5</vt:i4>
      </vt:variant>
      <vt:variant>
        <vt:lpwstr/>
      </vt:variant>
      <vt:variant>
        <vt:lpwstr>_Toc477940060</vt:lpwstr>
      </vt:variant>
      <vt:variant>
        <vt:i4>1835063</vt:i4>
      </vt:variant>
      <vt:variant>
        <vt:i4>443</vt:i4>
      </vt:variant>
      <vt:variant>
        <vt:i4>0</vt:i4>
      </vt:variant>
      <vt:variant>
        <vt:i4>5</vt:i4>
      </vt:variant>
      <vt:variant>
        <vt:lpwstr/>
      </vt:variant>
      <vt:variant>
        <vt:lpwstr>_Toc477940059</vt:lpwstr>
      </vt:variant>
      <vt:variant>
        <vt:i4>1835063</vt:i4>
      </vt:variant>
      <vt:variant>
        <vt:i4>437</vt:i4>
      </vt:variant>
      <vt:variant>
        <vt:i4>0</vt:i4>
      </vt:variant>
      <vt:variant>
        <vt:i4>5</vt:i4>
      </vt:variant>
      <vt:variant>
        <vt:lpwstr/>
      </vt:variant>
      <vt:variant>
        <vt:lpwstr>_Toc477940058</vt:lpwstr>
      </vt:variant>
      <vt:variant>
        <vt:i4>1835063</vt:i4>
      </vt:variant>
      <vt:variant>
        <vt:i4>431</vt:i4>
      </vt:variant>
      <vt:variant>
        <vt:i4>0</vt:i4>
      </vt:variant>
      <vt:variant>
        <vt:i4>5</vt:i4>
      </vt:variant>
      <vt:variant>
        <vt:lpwstr/>
      </vt:variant>
      <vt:variant>
        <vt:lpwstr>_Toc477940057</vt:lpwstr>
      </vt:variant>
      <vt:variant>
        <vt:i4>1835063</vt:i4>
      </vt:variant>
      <vt:variant>
        <vt:i4>425</vt:i4>
      </vt:variant>
      <vt:variant>
        <vt:i4>0</vt:i4>
      </vt:variant>
      <vt:variant>
        <vt:i4>5</vt:i4>
      </vt:variant>
      <vt:variant>
        <vt:lpwstr/>
      </vt:variant>
      <vt:variant>
        <vt:lpwstr>_Toc477940056</vt:lpwstr>
      </vt:variant>
      <vt:variant>
        <vt:i4>1835063</vt:i4>
      </vt:variant>
      <vt:variant>
        <vt:i4>419</vt:i4>
      </vt:variant>
      <vt:variant>
        <vt:i4>0</vt:i4>
      </vt:variant>
      <vt:variant>
        <vt:i4>5</vt:i4>
      </vt:variant>
      <vt:variant>
        <vt:lpwstr/>
      </vt:variant>
      <vt:variant>
        <vt:lpwstr>_Toc477940055</vt:lpwstr>
      </vt:variant>
      <vt:variant>
        <vt:i4>1114165</vt:i4>
      </vt:variant>
      <vt:variant>
        <vt:i4>410</vt:i4>
      </vt:variant>
      <vt:variant>
        <vt:i4>0</vt:i4>
      </vt:variant>
      <vt:variant>
        <vt:i4>5</vt:i4>
      </vt:variant>
      <vt:variant>
        <vt:lpwstr/>
      </vt:variant>
      <vt:variant>
        <vt:lpwstr>_Toc477948200</vt:lpwstr>
      </vt:variant>
      <vt:variant>
        <vt:i4>1572918</vt:i4>
      </vt:variant>
      <vt:variant>
        <vt:i4>404</vt:i4>
      </vt:variant>
      <vt:variant>
        <vt:i4>0</vt:i4>
      </vt:variant>
      <vt:variant>
        <vt:i4>5</vt:i4>
      </vt:variant>
      <vt:variant>
        <vt:lpwstr/>
      </vt:variant>
      <vt:variant>
        <vt:lpwstr>_Toc477948199</vt:lpwstr>
      </vt:variant>
      <vt:variant>
        <vt:i4>1572918</vt:i4>
      </vt:variant>
      <vt:variant>
        <vt:i4>398</vt:i4>
      </vt:variant>
      <vt:variant>
        <vt:i4>0</vt:i4>
      </vt:variant>
      <vt:variant>
        <vt:i4>5</vt:i4>
      </vt:variant>
      <vt:variant>
        <vt:lpwstr/>
      </vt:variant>
      <vt:variant>
        <vt:lpwstr>_Toc477948198</vt:lpwstr>
      </vt:variant>
      <vt:variant>
        <vt:i4>1572918</vt:i4>
      </vt:variant>
      <vt:variant>
        <vt:i4>392</vt:i4>
      </vt:variant>
      <vt:variant>
        <vt:i4>0</vt:i4>
      </vt:variant>
      <vt:variant>
        <vt:i4>5</vt:i4>
      </vt:variant>
      <vt:variant>
        <vt:lpwstr/>
      </vt:variant>
      <vt:variant>
        <vt:lpwstr>_Toc477948197</vt:lpwstr>
      </vt:variant>
      <vt:variant>
        <vt:i4>1572918</vt:i4>
      </vt:variant>
      <vt:variant>
        <vt:i4>386</vt:i4>
      </vt:variant>
      <vt:variant>
        <vt:i4>0</vt:i4>
      </vt:variant>
      <vt:variant>
        <vt:i4>5</vt:i4>
      </vt:variant>
      <vt:variant>
        <vt:lpwstr/>
      </vt:variant>
      <vt:variant>
        <vt:lpwstr>_Toc477948196</vt:lpwstr>
      </vt:variant>
      <vt:variant>
        <vt:i4>1572918</vt:i4>
      </vt:variant>
      <vt:variant>
        <vt:i4>380</vt:i4>
      </vt:variant>
      <vt:variant>
        <vt:i4>0</vt:i4>
      </vt:variant>
      <vt:variant>
        <vt:i4>5</vt:i4>
      </vt:variant>
      <vt:variant>
        <vt:lpwstr/>
      </vt:variant>
      <vt:variant>
        <vt:lpwstr>_Toc477948195</vt:lpwstr>
      </vt:variant>
      <vt:variant>
        <vt:i4>1572918</vt:i4>
      </vt:variant>
      <vt:variant>
        <vt:i4>374</vt:i4>
      </vt:variant>
      <vt:variant>
        <vt:i4>0</vt:i4>
      </vt:variant>
      <vt:variant>
        <vt:i4>5</vt:i4>
      </vt:variant>
      <vt:variant>
        <vt:lpwstr/>
      </vt:variant>
      <vt:variant>
        <vt:lpwstr>_Toc477948194</vt:lpwstr>
      </vt:variant>
      <vt:variant>
        <vt:i4>1572918</vt:i4>
      </vt:variant>
      <vt:variant>
        <vt:i4>368</vt:i4>
      </vt:variant>
      <vt:variant>
        <vt:i4>0</vt:i4>
      </vt:variant>
      <vt:variant>
        <vt:i4>5</vt:i4>
      </vt:variant>
      <vt:variant>
        <vt:lpwstr/>
      </vt:variant>
      <vt:variant>
        <vt:lpwstr>_Toc477948193</vt:lpwstr>
      </vt:variant>
      <vt:variant>
        <vt:i4>1572918</vt:i4>
      </vt:variant>
      <vt:variant>
        <vt:i4>362</vt:i4>
      </vt:variant>
      <vt:variant>
        <vt:i4>0</vt:i4>
      </vt:variant>
      <vt:variant>
        <vt:i4>5</vt:i4>
      </vt:variant>
      <vt:variant>
        <vt:lpwstr/>
      </vt:variant>
      <vt:variant>
        <vt:lpwstr>_Toc477948192</vt:lpwstr>
      </vt:variant>
      <vt:variant>
        <vt:i4>1572918</vt:i4>
      </vt:variant>
      <vt:variant>
        <vt:i4>356</vt:i4>
      </vt:variant>
      <vt:variant>
        <vt:i4>0</vt:i4>
      </vt:variant>
      <vt:variant>
        <vt:i4>5</vt:i4>
      </vt:variant>
      <vt:variant>
        <vt:lpwstr/>
      </vt:variant>
      <vt:variant>
        <vt:lpwstr>_Toc477948191</vt:lpwstr>
      </vt:variant>
      <vt:variant>
        <vt:i4>1572918</vt:i4>
      </vt:variant>
      <vt:variant>
        <vt:i4>350</vt:i4>
      </vt:variant>
      <vt:variant>
        <vt:i4>0</vt:i4>
      </vt:variant>
      <vt:variant>
        <vt:i4>5</vt:i4>
      </vt:variant>
      <vt:variant>
        <vt:lpwstr/>
      </vt:variant>
      <vt:variant>
        <vt:lpwstr>_Toc477948190</vt:lpwstr>
      </vt:variant>
      <vt:variant>
        <vt:i4>1638454</vt:i4>
      </vt:variant>
      <vt:variant>
        <vt:i4>344</vt:i4>
      </vt:variant>
      <vt:variant>
        <vt:i4>0</vt:i4>
      </vt:variant>
      <vt:variant>
        <vt:i4>5</vt:i4>
      </vt:variant>
      <vt:variant>
        <vt:lpwstr/>
      </vt:variant>
      <vt:variant>
        <vt:lpwstr>_Toc477948189</vt:lpwstr>
      </vt:variant>
      <vt:variant>
        <vt:i4>1638454</vt:i4>
      </vt:variant>
      <vt:variant>
        <vt:i4>338</vt:i4>
      </vt:variant>
      <vt:variant>
        <vt:i4>0</vt:i4>
      </vt:variant>
      <vt:variant>
        <vt:i4>5</vt:i4>
      </vt:variant>
      <vt:variant>
        <vt:lpwstr/>
      </vt:variant>
      <vt:variant>
        <vt:lpwstr>_Toc477948188</vt:lpwstr>
      </vt:variant>
      <vt:variant>
        <vt:i4>1638454</vt:i4>
      </vt:variant>
      <vt:variant>
        <vt:i4>332</vt:i4>
      </vt:variant>
      <vt:variant>
        <vt:i4>0</vt:i4>
      </vt:variant>
      <vt:variant>
        <vt:i4>5</vt:i4>
      </vt:variant>
      <vt:variant>
        <vt:lpwstr/>
      </vt:variant>
      <vt:variant>
        <vt:lpwstr>_Toc477948187</vt:lpwstr>
      </vt:variant>
      <vt:variant>
        <vt:i4>1638454</vt:i4>
      </vt:variant>
      <vt:variant>
        <vt:i4>326</vt:i4>
      </vt:variant>
      <vt:variant>
        <vt:i4>0</vt:i4>
      </vt:variant>
      <vt:variant>
        <vt:i4>5</vt:i4>
      </vt:variant>
      <vt:variant>
        <vt:lpwstr/>
      </vt:variant>
      <vt:variant>
        <vt:lpwstr>_Toc477948186</vt:lpwstr>
      </vt:variant>
      <vt:variant>
        <vt:i4>1638454</vt:i4>
      </vt:variant>
      <vt:variant>
        <vt:i4>320</vt:i4>
      </vt:variant>
      <vt:variant>
        <vt:i4>0</vt:i4>
      </vt:variant>
      <vt:variant>
        <vt:i4>5</vt:i4>
      </vt:variant>
      <vt:variant>
        <vt:lpwstr/>
      </vt:variant>
      <vt:variant>
        <vt:lpwstr>_Toc477948185</vt:lpwstr>
      </vt:variant>
      <vt:variant>
        <vt:i4>1638454</vt:i4>
      </vt:variant>
      <vt:variant>
        <vt:i4>314</vt:i4>
      </vt:variant>
      <vt:variant>
        <vt:i4>0</vt:i4>
      </vt:variant>
      <vt:variant>
        <vt:i4>5</vt:i4>
      </vt:variant>
      <vt:variant>
        <vt:lpwstr/>
      </vt:variant>
      <vt:variant>
        <vt:lpwstr>_Toc477948184</vt:lpwstr>
      </vt:variant>
      <vt:variant>
        <vt:i4>1638454</vt:i4>
      </vt:variant>
      <vt:variant>
        <vt:i4>308</vt:i4>
      </vt:variant>
      <vt:variant>
        <vt:i4>0</vt:i4>
      </vt:variant>
      <vt:variant>
        <vt:i4>5</vt:i4>
      </vt:variant>
      <vt:variant>
        <vt:lpwstr/>
      </vt:variant>
      <vt:variant>
        <vt:lpwstr>_Toc477948183</vt:lpwstr>
      </vt:variant>
      <vt:variant>
        <vt:i4>1638454</vt:i4>
      </vt:variant>
      <vt:variant>
        <vt:i4>302</vt:i4>
      </vt:variant>
      <vt:variant>
        <vt:i4>0</vt:i4>
      </vt:variant>
      <vt:variant>
        <vt:i4>5</vt:i4>
      </vt:variant>
      <vt:variant>
        <vt:lpwstr/>
      </vt:variant>
      <vt:variant>
        <vt:lpwstr>_Toc477948182</vt:lpwstr>
      </vt:variant>
      <vt:variant>
        <vt:i4>1638454</vt:i4>
      </vt:variant>
      <vt:variant>
        <vt:i4>296</vt:i4>
      </vt:variant>
      <vt:variant>
        <vt:i4>0</vt:i4>
      </vt:variant>
      <vt:variant>
        <vt:i4>5</vt:i4>
      </vt:variant>
      <vt:variant>
        <vt:lpwstr/>
      </vt:variant>
      <vt:variant>
        <vt:lpwstr>_Toc477948181</vt:lpwstr>
      </vt:variant>
      <vt:variant>
        <vt:i4>1638454</vt:i4>
      </vt:variant>
      <vt:variant>
        <vt:i4>290</vt:i4>
      </vt:variant>
      <vt:variant>
        <vt:i4>0</vt:i4>
      </vt:variant>
      <vt:variant>
        <vt:i4>5</vt:i4>
      </vt:variant>
      <vt:variant>
        <vt:lpwstr/>
      </vt:variant>
      <vt:variant>
        <vt:lpwstr>_Toc477948180</vt:lpwstr>
      </vt:variant>
      <vt:variant>
        <vt:i4>1441846</vt:i4>
      </vt:variant>
      <vt:variant>
        <vt:i4>284</vt:i4>
      </vt:variant>
      <vt:variant>
        <vt:i4>0</vt:i4>
      </vt:variant>
      <vt:variant>
        <vt:i4>5</vt:i4>
      </vt:variant>
      <vt:variant>
        <vt:lpwstr/>
      </vt:variant>
      <vt:variant>
        <vt:lpwstr>_Toc477948179</vt:lpwstr>
      </vt:variant>
      <vt:variant>
        <vt:i4>1441846</vt:i4>
      </vt:variant>
      <vt:variant>
        <vt:i4>278</vt:i4>
      </vt:variant>
      <vt:variant>
        <vt:i4>0</vt:i4>
      </vt:variant>
      <vt:variant>
        <vt:i4>5</vt:i4>
      </vt:variant>
      <vt:variant>
        <vt:lpwstr/>
      </vt:variant>
      <vt:variant>
        <vt:lpwstr>_Toc477948178</vt:lpwstr>
      </vt:variant>
      <vt:variant>
        <vt:i4>1441846</vt:i4>
      </vt:variant>
      <vt:variant>
        <vt:i4>272</vt:i4>
      </vt:variant>
      <vt:variant>
        <vt:i4>0</vt:i4>
      </vt:variant>
      <vt:variant>
        <vt:i4>5</vt:i4>
      </vt:variant>
      <vt:variant>
        <vt:lpwstr/>
      </vt:variant>
      <vt:variant>
        <vt:lpwstr>_Toc477948177</vt:lpwstr>
      </vt:variant>
      <vt:variant>
        <vt:i4>1441846</vt:i4>
      </vt:variant>
      <vt:variant>
        <vt:i4>266</vt:i4>
      </vt:variant>
      <vt:variant>
        <vt:i4>0</vt:i4>
      </vt:variant>
      <vt:variant>
        <vt:i4>5</vt:i4>
      </vt:variant>
      <vt:variant>
        <vt:lpwstr/>
      </vt:variant>
      <vt:variant>
        <vt:lpwstr>_Toc477948176</vt:lpwstr>
      </vt:variant>
      <vt:variant>
        <vt:i4>1441846</vt:i4>
      </vt:variant>
      <vt:variant>
        <vt:i4>260</vt:i4>
      </vt:variant>
      <vt:variant>
        <vt:i4>0</vt:i4>
      </vt:variant>
      <vt:variant>
        <vt:i4>5</vt:i4>
      </vt:variant>
      <vt:variant>
        <vt:lpwstr/>
      </vt:variant>
      <vt:variant>
        <vt:lpwstr>_Toc477948175</vt:lpwstr>
      </vt:variant>
      <vt:variant>
        <vt:i4>1441846</vt:i4>
      </vt:variant>
      <vt:variant>
        <vt:i4>254</vt:i4>
      </vt:variant>
      <vt:variant>
        <vt:i4>0</vt:i4>
      </vt:variant>
      <vt:variant>
        <vt:i4>5</vt:i4>
      </vt:variant>
      <vt:variant>
        <vt:lpwstr/>
      </vt:variant>
      <vt:variant>
        <vt:lpwstr>_Toc477948174</vt:lpwstr>
      </vt:variant>
      <vt:variant>
        <vt:i4>1441846</vt:i4>
      </vt:variant>
      <vt:variant>
        <vt:i4>248</vt:i4>
      </vt:variant>
      <vt:variant>
        <vt:i4>0</vt:i4>
      </vt:variant>
      <vt:variant>
        <vt:i4>5</vt:i4>
      </vt:variant>
      <vt:variant>
        <vt:lpwstr/>
      </vt:variant>
      <vt:variant>
        <vt:lpwstr>_Toc477948173</vt:lpwstr>
      </vt:variant>
      <vt:variant>
        <vt:i4>1441846</vt:i4>
      </vt:variant>
      <vt:variant>
        <vt:i4>242</vt:i4>
      </vt:variant>
      <vt:variant>
        <vt:i4>0</vt:i4>
      </vt:variant>
      <vt:variant>
        <vt:i4>5</vt:i4>
      </vt:variant>
      <vt:variant>
        <vt:lpwstr/>
      </vt:variant>
      <vt:variant>
        <vt:lpwstr>_Toc477948172</vt:lpwstr>
      </vt:variant>
      <vt:variant>
        <vt:i4>1441846</vt:i4>
      </vt:variant>
      <vt:variant>
        <vt:i4>236</vt:i4>
      </vt:variant>
      <vt:variant>
        <vt:i4>0</vt:i4>
      </vt:variant>
      <vt:variant>
        <vt:i4>5</vt:i4>
      </vt:variant>
      <vt:variant>
        <vt:lpwstr/>
      </vt:variant>
      <vt:variant>
        <vt:lpwstr>_Toc477948171</vt:lpwstr>
      </vt:variant>
      <vt:variant>
        <vt:i4>1441846</vt:i4>
      </vt:variant>
      <vt:variant>
        <vt:i4>230</vt:i4>
      </vt:variant>
      <vt:variant>
        <vt:i4>0</vt:i4>
      </vt:variant>
      <vt:variant>
        <vt:i4>5</vt:i4>
      </vt:variant>
      <vt:variant>
        <vt:lpwstr/>
      </vt:variant>
      <vt:variant>
        <vt:lpwstr>_Toc477948170</vt:lpwstr>
      </vt:variant>
      <vt:variant>
        <vt:i4>1507382</vt:i4>
      </vt:variant>
      <vt:variant>
        <vt:i4>224</vt:i4>
      </vt:variant>
      <vt:variant>
        <vt:i4>0</vt:i4>
      </vt:variant>
      <vt:variant>
        <vt:i4>5</vt:i4>
      </vt:variant>
      <vt:variant>
        <vt:lpwstr/>
      </vt:variant>
      <vt:variant>
        <vt:lpwstr>_Toc477948169</vt:lpwstr>
      </vt:variant>
      <vt:variant>
        <vt:i4>1507382</vt:i4>
      </vt:variant>
      <vt:variant>
        <vt:i4>218</vt:i4>
      </vt:variant>
      <vt:variant>
        <vt:i4>0</vt:i4>
      </vt:variant>
      <vt:variant>
        <vt:i4>5</vt:i4>
      </vt:variant>
      <vt:variant>
        <vt:lpwstr/>
      </vt:variant>
      <vt:variant>
        <vt:lpwstr>_Toc477948168</vt:lpwstr>
      </vt:variant>
      <vt:variant>
        <vt:i4>1507382</vt:i4>
      </vt:variant>
      <vt:variant>
        <vt:i4>212</vt:i4>
      </vt:variant>
      <vt:variant>
        <vt:i4>0</vt:i4>
      </vt:variant>
      <vt:variant>
        <vt:i4>5</vt:i4>
      </vt:variant>
      <vt:variant>
        <vt:lpwstr/>
      </vt:variant>
      <vt:variant>
        <vt:lpwstr>_Toc477948167</vt:lpwstr>
      </vt:variant>
      <vt:variant>
        <vt:i4>1507382</vt:i4>
      </vt:variant>
      <vt:variant>
        <vt:i4>206</vt:i4>
      </vt:variant>
      <vt:variant>
        <vt:i4>0</vt:i4>
      </vt:variant>
      <vt:variant>
        <vt:i4>5</vt:i4>
      </vt:variant>
      <vt:variant>
        <vt:lpwstr/>
      </vt:variant>
      <vt:variant>
        <vt:lpwstr>_Toc477948166</vt:lpwstr>
      </vt:variant>
      <vt:variant>
        <vt:i4>1507382</vt:i4>
      </vt:variant>
      <vt:variant>
        <vt:i4>200</vt:i4>
      </vt:variant>
      <vt:variant>
        <vt:i4>0</vt:i4>
      </vt:variant>
      <vt:variant>
        <vt:i4>5</vt:i4>
      </vt:variant>
      <vt:variant>
        <vt:lpwstr/>
      </vt:variant>
      <vt:variant>
        <vt:lpwstr>_Toc477948165</vt:lpwstr>
      </vt:variant>
      <vt:variant>
        <vt:i4>1507382</vt:i4>
      </vt:variant>
      <vt:variant>
        <vt:i4>194</vt:i4>
      </vt:variant>
      <vt:variant>
        <vt:i4>0</vt:i4>
      </vt:variant>
      <vt:variant>
        <vt:i4>5</vt:i4>
      </vt:variant>
      <vt:variant>
        <vt:lpwstr/>
      </vt:variant>
      <vt:variant>
        <vt:lpwstr>_Toc477948164</vt:lpwstr>
      </vt:variant>
      <vt:variant>
        <vt:i4>1507382</vt:i4>
      </vt:variant>
      <vt:variant>
        <vt:i4>188</vt:i4>
      </vt:variant>
      <vt:variant>
        <vt:i4>0</vt:i4>
      </vt:variant>
      <vt:variant>
        <vt:i4>5</vt:i4>
      </vt:variant>
      <vt:variant>
        <vt:lpwstr/>
      </vt:variant>
      <vt:variant>
        <vt:lpwstr>_Toc477948163</vt:lpwstr>
      </vt:variant>
      <vt:variant>
        <vt:i4>1507382</vt:i4>
      </vt:variant>
      <vt:variant>
        <vt:i4>182</vt:i4>
      </vt:variant>
      <vt:variant>
        <vt:i4>0</vt:i4>
      </vt:variant>
      <vt:variant>
        <vt:i4>5</vt:i4>
      </vt:variant>
      <vt:variant>
        <vt:lpwstr/>
      </vt:variant>
      <vt:variant>
        <vt:lpwstr>_Toc477948162</vt:lpwstr>
      </vt:variant>
      <vt:variant>
        <vt:i4>1507382</vt:i4>
      </vt:variant>
      <vt:variant>
        <vt:i4>176</vt:i4>
      </vt:variant>
      <vt:variant>
        <vt:i4>0</vt:i4>
      </vt:variant>
      <vt:variant>
        <vt:i4>5</vt:i4>
      </vt:variant>
      <vt:variant>
        <vt:lpwstr/>
      </vt:variant>
      <vt:variant>
        <vt:lpwstr>_Toc477948161</vt:lpwstr>
      </vt:variant>
      <vt:variant>
        <vt:i4>1507382</vt:i4>
      </vt:variant>
      <vt:variant>
        <vt:i4>170</vt:i4>
      </vt:variant>
      <vt:variant>
        <vt:i4>0</vt:i4>
      </vt:variant>
      <vt:variant>
        <vt:i4>5</vt:i4>
      </vt:variant>
      <vt:variant>
        <vt:lpwstr/>
      </vt:variant>
      <vt:variant>
        <vt:lpwstr>_Toc477948160</vt:lpwstr>
      </vt:variant>
      <vt:variant>
        <vt:i4>1310774</vt:i4>
      </vt:variant>
      <vt:variant>
        <vt:i4>164</vt:i4>
      </vt:variant>
      <vt:variant>
        <vt:i4>0</vt:i4>
      </vt:variant>
      <vt:variant>
        <vt:i4>5</vt:i4>
      </vt:variant>
      <vt:variant>
        <vt:lpwstr/>
      </vt:variant>
      <vt:variant>
        <vt:lpwstr>_Toc477948159</vt:lpwstr>
      </vt:variant>
      <vt:variant>
        <vt:i4>1310774</vt:i4>
      </vt:variant>
      <vt:variant>
        <vt:i4>158</vt:i4>
      </vt:variant>
      <vt:variant>
        <vt:i4>0</vt:i4>
      </vt:variant>
      <vt:variant>
        <vt:i4>5</vt:i4>
      </vt:variant>
      <vt:variant>
        <vt:lpwstr/>
      </vt:variant>
      <vt:variant>
        <vt:lpwstr>_Toc477948158</vt:lpwstr>
      </vt:variant>
      <vt:variant>
        <vt:i4>1310774</vt:i4>
      </vt:variant>
      <vt:variant>
        <vt:i4>152</vt:i4>
      </vt:variant>
      <vt:variant>
        <vt:i4>0</vt:i4>
      </vt:variant>
      <vt:variant>
        <vt:i4>5</vt:i4>
      </vt:variant>
      <vt:variant>
        <vt:lpwstr/>
      </vt:variant>
      <vt:variant>
        <vt:lpwstr>_Toc477948157</vt:lpwstr>
      </vt:variant>
      <vt:variant>
        <vt:i4>1310774</vt:i4>
      </vt:variant>
      <vt:variant>
        <vt:i4>146</vt:i4>
      </vt:variant>
      <vt:variant>
        <vt:i4>0</vt:i4>
      </vt:variant>
      <vt:variant>
        <vt:i4>5</vt:i4>
      </vt:variant>
      <vt:variant>
        <vt:lpwstr/>
      </vt:variant>
      <vt:variant>
        <vt:lpwstr>_Toc477948156</vt:lpwstr>
      </vt:variant>
      <vt:variant>
        <vt:i4>1310774</vt:i4>
      </vt:variant>
      <vt:variant>
        <vt:i4>140</vt:i4>
      </vt:variant>
      <vt:variant>
        <vt:i4>0</vt:i4>
      </vt:variant>
      <vt:variant>
        <vt:i4>5</vt:i4>
      </vt:variant>
      <vt:variant>
        <vt:lpwstr/>
      </vt:variant>
      <vt:variant>
        <vt:lpwstr>_Toc477948155</vt:lpwstr>
      </vt:variant>
      <vt:variant>
        <vt:i4>1310774</vt:i4>
      </vt:variant>
      <vt:variant>
        <vt:i4>134</vt:i4>
      </vt:variant>
      <vt:variant>
        <vt:i4>0</vt:i4>
      </vt:variant>
      <vt:variant>
        <vt:i4>5</vt:i4>
      </vt:variant>
      <vt:variant>
        <vt:lpwstr/>
      </vt:variant>
      <vt:variant>
        <vt:lpwstr>_Toc477948154</vt:lpwstr>
      </vt:variant>
      <vt:variant>
        <vt:i4>1310774</vt:i4>
      </vt:variant>
      <vt:variant>
        <vt:i4>128</vt:i4>
      </vt:variant>
      <vt:variant>
        <vt:i4>0</vt:i4>
      </vt:variant>
      <vt:variant>
        <vt:i4>5</vt:i4>
      </vt:variant>
      <vt:variant>
        <vt:lpwstr/>
      </vt:variant>
      <vt:variant>
        <vt:lpwstr>_Toc477948153</vt:lpwstr>
      </vt:variant>
      <vt:variant>
        <vt:i4>1310774</vt:i4>
      </vt:variant>
      <vt:variant>
        <vt:i4>122</vt:i4>
      </vt:variant>
      <vt:variant>
        <vt:i4>0</vt:i4>
      </vt:variant>
      <vt:variant>
        <vt:i4>5</vt:i4>
      </vt:variant>
      <vt:variant>
        <vt:lpwstr/>
      </vt:variant>
      <vt:variant>
        <vt:lpwstr>_Toc477948152</vt:lpwstr>
      </vt:variant>
      <vt:variant>
        <vt:i4>1310774</vt:i4>
      </vt:variant>
      <vt:variant>
        <vt:i4>116</vt:i4>
      </vt:variant>
      <vt:variant>
        <vt:i4>0</vt:i4>
      </vt:variant>
      <vt:variant>
        <vt:i4>5</vt:i4>
      </vt:variant>
      <vt:variant>
        <vt:lpwstr/>
      </vt:variant>
      <vt:variant>
        <vt:lpwstr>_Toc477948151</vt:lpwstr>
      </vt:variant>
      <vt:variant>
        <vt:i4>1310774</vt:i4>
      </vt:variant>
      <vt:variant>
        <vt:i4>110</vt:i4>
      </vt:variant>
      <vt:variant>
        <vt:i4>0</vt:i4>
      </vt:variant>
      <vt:variant>
        <vt:i4>5</vt:i4>
      </vt:variant>
      <vt:variant>
        <vt:lpwstr/>
      </vt:variant>
      <vt:variant>
        <vt:lpwstr>_Toc477948150</vt:lpwstr>
      </vt:variant>
      <vt:variant>
        <vt:i4>1376310</vt:i4>
      </vt:variant>
      <vt:variant>
        <vt:i4>104</vt:i4>
      </vt:variant>
      <vt:variant>
        <vt:i4>0</vt:i4>
      </vt:variant>
      <vt:variant>
        <vt:i4>5</vt:i4>
      </vt:variant>
      <vt:variant>
        <vt:lpwstr/>
      </vt:variant>
      <vt:variant>
        <vt:lpwstr>_Toc477948149</vt:lpwstr>
      </vt:variant>
      <vt:variant>
        <vt:i4>1376310</vt:i4>
      </vt:variant>
      <vt:variant>
        <vt:i4>98</vt:i4>
      </vt:variant>
      <vt:variant>
        <vt:i4>0</vt:i4>
      </vt:variant>
      <vt:variant>
        <vt:i4>5</vt:i4>
      </vt:variant>
      <vt:variant>
        <vt:lpwstr/>
      </vt:variant>
      <vt:variant>
        <vt:lpwstr>_Toc477948148</vt:lpwstr>
      </vt:variant>
      <vt:variant>
        <vt:i4>1376310</vt:i4>
      </vt:variant>
      <vt:variant>
        <vt:i4>92</vt:i4>
      </vt:variant>
      <vt:variant>
        <vt:i4>0</vt:i4>
      </vt:variant>
      <vt:variant>
        <vt:i4>5</vt:i4>
      </vt:variant>
      <vt:variant>
        <vt:lpwstr/>
      </vt:variant>
      <vt:variant>
        <vt:lpwstr>_Toc477948147</vt:lpwstr>
      </vt:variant>
      <vt:variant>
        <vt:i4>1376310</vt:i4>
      </vt:variant>
      <vt:variant>
        <vt:i4>86</vt:i4>
      </vt:variant>
      <vt:variant>
        <vt:i4>0</vt:i4>
      </vt:variant>
      <vt:variant>
        <vt:i4>5</vt:i4>
      </vt:variant>
      <vt:variant>
        <vt:lpwstr/>
      </vt:variant>
      <vt:variant>
        <vt:lpwstr>_Toc477948146</vt:lpwstr>
      </vt:variant>
      <vt:variant>
        <vt:i4>1376310</vt:i4>
      </vt:variant>
      <vt:variant>
        <vt:i4>80</vt:i4>
      </vt:variant>
      <vt:variant>
        <vt:i4>0</vt:i4>
      </vt:variant>
      <vt:variant>
        <vt:i4>5</vt:i4>
      </vt:variant>
      <vt:variant>
        <vt:lpwstr/>
      </vt:variant>
      <vt:variant>
        <vt:lpwstr>_Toc477948145</vt:lpwstr>
      </vt:variant>
      <vt:variant>
        <vt:i4>1376310</vt:i4>
      </vt:variant>
      <vt:variant>
        <vt:i4>74</vt:i4>
      </vt:variant>
      <vt:variant>
        <vt:i4>0</vt:i4>
      </vt:variant>
      <vt:variant>
        <vt:i4>5</vt:i4>
      </vt:variant>
      <vt:variant>
        <vt:lpwstr/>
      </vt:variant>
      <vt:variant>
        <vt:lpwstr>_Toc477948144</vt:lpwstr>
      </vt:variant>
      <vt:variant>
        <vt:i4>1376310</vt:i4>
      </vt:variant>
      <vt:variant>
        <vt:i4>68</vt:i4>
      </vt:variant>
      <vt:variant>
        <vt:i4>0</vt:i4>
      </vt:variant>
      <vt:variant>
        <vt:i4>5</vt:i4>
      </vt:variant>
      <vt:variant>
        <vt:lpwstr/>
      </vt:variant>
      <vt:variant>
        <vt:lpwstr>_Toc477948143</vt:lpwstr>
      </vt:variant>
      <vt:variant>
        <vt:i4>1376310</vt:i4>
      </vt:variant>
      <vt:variant>
        <vt:i4>62</vt:i4>
      </vt:variant>
      <vt:variant>
        <vt:i4>0</vt:i4>
      </vt:variant>
      <vt:variant>
        <vt:i4>5</vt:i4>
      </vt:variant>
      <vt:variant>
        <vt:lpwstr/>
      </vt:variant>
      <vt:variant>
        <vt:lpwstr>_Toc477948142</vt:lpwstr>
      </vt:variant>
      <vt:variant>
        <vt:i4>1376310</vt:i4>
      </vt:variant>
      <vt:variant>
        <vt:i4>56</vt:i4>
      </vt:variant>
      <vt:variant>
        <vt:i4>0</vt:i4>
      </vt:variant>
      <vt:variant>
        <vt:i4>5</vt:i4>
      </vt:variant>
      <vt:variant>
        <vt:lpwstr/>
      </vt:variant>
      <vt:variant>
        <vt:lpwstr>_Toc477948141</vt:lpwstr>
      </vt:variant>
      <vt:variant>
        <vt:i4>1376310</vt:i4>
      </vt:variant>
      <vt:variant>
        <vt:i4>50</vt:i4>
      </vt:variant>
      <vt:variant>
        <vt:i4>0</vt:i4>
      </vt:variant>
      <vt:variant>
        <vt:i4>5</vt:i4>
      </vt:variant>
      <vt:variant>
        <vt:lpwstr/>
      </vt:variant>
      <vt:variant>
        <vt:lpwstr>_Toc477948140</vt:lpwstr>
      </vt:variant>
      <vt:variant>
        <vt:i4>1179702</vt:i4>
      </vt:variant>
      <vt:variant>
        <vt:i4>44</vt:i4>
      </vt:variant>
      <vt:variant>
        <vt:i4>0</vt:i4>
      </vt:variant>
      <vt:variant>
        <vt:i4>5</vt:i4>
      </vt:variant>
      <vt:variant>
        <vt:lpwstr/>
      </vt:variant>
      <vt:variant>
        <vt:lpwstr>_Toc477948139</vt:lpwstr>
      </vt:variant>
      <vt:variant>
        <vt:i4>1179702</vt:i4>
      </vt:variant>
      <vt:variant>
        <vt:i4>38</vt:i4>
      </vt:variant>
      <vt:variant>
        <vt:i4>0</vt:i4>
      </vt:variant>
      <vt:variant>
        <vt:i4>5</vt:i4>
      </vt:variant>
      <vt:variant>
        <vt:lpwstr/>
      </vt:variant>
      <vt:variant>
        <vt:lpwstr>_Toc477948138</vt:lpwstr>
      </vt:variant>
      <vt:variant>
        <vt:i4>1179702</vt:i4>
      </vt:variant>
      <vt:variant>
        <vt:i4>32</vt:i4>
      </vt:variant>
      <vt:variant>
        <vt:i4>0</vt:i4>
      </vt:variant>
      <vt:variant>
        <vt:i4>5</vt:i4>
      </vt:variant>
      <vt:variant>
        <vt:lpwstr/>
      </vt:variant>
      <vt:variant>
        <vt:lpwstr>_Toc477948137</vt:lpwstr>
      </vt:variant>
      <vt:variant>
        <vt:i4>1179702</vt:i4>
      </vt:variant>
      <vt:variant>
        <vt:i4>26</vt:i4>
      </vt:variant>
      <vt:variant>
        <vt:i4>0</vt:i4>
      </vt:variant>
      <vt:variant>
        <vt:i4>5</vt:i4>
      </vt:variant>
      <vt:variant>
        <vt:lpwstr/>
      </vt:variant>
      <vt:variant>
        <vt:lpwstr>_Toc477948136</vt:lpwstr>
      </vt:variant>
      <vt:variant>
        <vt:i4>1179702</vt:i4>
      </vt:variant>
      <vt:variant>
        <vt:i4>20</vt:i4>
      </vt:variant>
      <vt:variant>
        <vt:i4>0</vt:i4>
      </vt:variant>
      <vt:variant>
        <vt:i4>5</vt:i4>
      </vt:variant>
      <vt:variant>
        <vt:lpwstr/>
      </vt:variant>
      <vt:variant>
        <vt:lpwstr>_Toc477948135</vt:lpwstr>
      </vt:variant>
      <vt:variant>
        <vt:i4>1179702</vt:i4>
      </vt:variant>
      <vt:variant>
        <vt:i4>14</vt:i4>
      </vt:variant>
      <vt:variant>
        <vt:i4>0</vt:i4>
      </vt:variant>
      <vt:variant>
        <vt:i4>5</vt:i4>
      </vt:variant>
      <vt:variant>
        <vt:lpwstr/>
      </vt:variant>
      <vt:variant>
        <vt:lpwstr>_Toc477948134</vt:lpwstr>
      </vt:variant>
      <vt:variant>
        <vt:i4>1179702</vt:i4>
      </vt:variant>
      <vt:variant>
        <vt:i4>8</vt:i4>
      </vt:variant>
      <vt:variant>
        <vt:i4>0</vt:i4>
      </vt:variant>
      <vt:variant>
        <vt:i4>5</vt:i4>
      </vt:variant>
      <vt:variant>
        <vt:lpwstr/>
      </vt:variant>
      <vt:variant>
        <vt:lpwstr>_Toc477948133</vt:lpwstr>
      </vt:variant>
      <vt:variant>
        <vt:i4>4194351</vt:i4>
      </vt:variant>
      <vt:variant>
        <vt:i4>3</vt:i4>
      </vt:variant>
      <vt:variant>
        <vt:i4>0</vt:i4>
      </vt:variant>
      <vt:variant>
        <vt:i4>5</vt:i4>
      </vt:variant>
      <vt:variant>
        <vt:lpwstr>mailto:icrc@act.gov.au</vt:lpwstr>
      </vt:variant>
      <vt:variant>
        <vt:lpwstr/>
      </vt:variant>
      <vt:variant>
        <vt:i4>6750261</vt:i4>
      </vt:variant>
      <vt:variant>
        <vt:i4>0</vt:i4>
      </vt:variant>
      <vt:variant>
        <vt:i4>0</vt:i4>
      </vt:variant>
      <vt:variant>
        <vt:i4>5</vt:i4>
      </vt:variant>
      <vt:variant>
        <vt:lpwstr>http://www.icrc.act.gov.au/</vt:lpwstr>
      </vt:variant>
      <vt:variant>
        <vt:lpwstr/>
      </vt:variant>
      <vt:variant>
        <vt:i4>2359330</vt:i4>
      </vt:variant>
      <vt:variant>
        <vt:i4>24</vt:i4>
      </vt:variant>
      <vt:variant>
        <vt:i4>0</vt:i4>
      </vt:variant>
      <vt:variant>
        <vt:i4>5</vt:i4>
      </vt:variant>
      <vt:variant>
        <vt:lpwstr>https://www.iconwater.com.au/Water-and-Sewerage-System/Dams/Cotter-Dam.aspx</vt:lpwstr>
      </vt:variant>
      <vt:variant>
        <vt:lpwstr/>
      </vt:variant>
      <vt:variant>
        <vt:i4>2359330</vt:i4>
      </vt:variant>
      <vt:variant>
        <vt:i4>9</vt:i4>
      </vt:variant>
      <vt:variant>
        <vt:i4>0</vt:i4>
      </vt:variant>
      <vt:variant>
        <vt:i4>5</vt:i4>
      </vt:variant>
      <vt:variant>
        <vt:lpwstr>https://www.iconwater.com.au/Water-and-Sewerage-System/Dams/Cotter-Dam.aspx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subject/>
  <dc:creator>ICRC@act.gov.au</dc:creator>
  <cp:keywords/>
  <cp:lastModifiedBy>Fahey, Andy</cp:lastModifiedBy>
  <cp:revision>2</cp:revision>
  <cp:lastPrinted>2017-03-27T04:18:00Z</cp:lastPrinted>
  <dcterms:created xsi:type="dcterms:W3CDTF">2017-03-29T22:25:00Z</dcterms:created>
  <dcterms:modified xsi:type="dcterms:W3CDTF">2017-03-29T22:25:00Z</dcterms:modified>
</cp:coreProperties>
</file>